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F5" w:rsidRPr="00E36AC7" w:rsidRDefault="00240475" w:rsidP="00E36AC7">
      <w:pPr>
        <w:pStyle w:val="Ttulo"/>
        <w:rPr>
          <w:b/>
          <w:color w:val="8F5201" w:themeColor="accent1" w:themeShade="80"/>
        </w:rPr>
      </w:pPr>
      <w:bookmarkStart w:id="0" w:name="_Toc517944503"/>
      <w:r w:rsidRPr="00E36AC7">
        <w:rPr>
          <w:b/>
          <w:color w:val="8F5201" w:themeColor="accent1" w:themeShade="80"/>
        </w:rPr>
        <w:t>Resumen ejecutivo del informe de rendición de cuentas FISDL</w:t>
      </w:r>
      <w:r w:rsidR="00E818F5" w:rsidRPr="00E36AC7">
        <w:rPr>
          <w:b/>
          <w:color w:val="8F5201" w:themeColor="accent1" w:themeShade="80"/>
        </w:rPr>
        <w:t xml:space="preserve"> 2018</w:t>
      </w:r>
      <w:bookmarkEnd w:id="0"/>
    </w:p>
    <w:p w:rsidR="00E818F5" w:rsidRPr="00E36AC7" w:rsidRDefault="00E818F5" w:rsidP="00E818F5">
      <w:pPr>
        <w:rPr>
          <w:sz w:val="2"/>
        </w:rPr>
      </w:pPr>
    </w:p>
    <w:p w:rsidR="00E36AC7" w:rsidRPr="006F325D" w:rsidRDefault="00E36AC7" w:rsidP="00E36AC7">
      <w:pPr>
        <w:pStyle w:val="Ttulo1"/>
      </w:pPr>
      <w:r>
        <w:t xml:space="preserve">Inversión en nueve años </w:t>
      </w:r>
      <w:r w:rsidRPr="006F325D">
        <w:t>(junio 20</w:t>
      </w:r>
      <w:r>
        <w:t>09</w:t>
      </w:r>
      <w:r w:rsidRPr="006F325D">
        <w:t xml:space="preserve"> a mayo 201</w:t>
      </w:r>
      <w:r>
        <w:t>8</w:t>
      </w:r>
      <w:r w:rsidRPr="006F325D">
        <w:t>)</w:t>
      </w:r>
    </w:p>
    <w:p w:rsidR="00E36AC7" w:rsidRPr="00E36AC7" w:rsidRDefault="00E36AC7" w:rsidP="00E818F5">
      <w:pPr>
        <w:rPr>
          <w:sz w:val="20"/>
        </w:rPr>
      </w:pPr>
    </w:p>
    <w:p w:rsidR="00E818F5" w:rsidRPr="00E36AC7" w:rsidRDefault="00E818F5" w:rsidP="00E818F5">
      <w:pPr>
        <w:rPr>
          <w:sz w:val="20"/>
        </w:rPr>
      </w:pPr>
      <w:r w:rsidRPr="00E36AC7">
        <w:rPr>
          <w:sz w:val="20"/>
        </w:rPr>
        <w:t xml:space="preserve">Durante estos </w:t>
      </w:r>
      <w:r w:rsidR="00240475" w:rsidRPr="00E36AC7">
        <w:rPr>
          <w:sz w:val="20"/>
        </w:rPr>
        <w:t>nueve</w:t>
      </w:r>
      <w:r w:rsidRPr="00E36AC7">
        <w:rPr>
          <w:sz w:val="20"/>
        </w:rPr>
        <w:t xml:space="preserve"> años el FISDL ha invertido US$713.10 millones.</w:t>
      </w:r>
    </w:p>
    <w:p w:rsidR="0087715A" w:rsidRPr="00E36AC7" w:rsidRDefault="00D35C23" w:rsidP="00E818F5">
      <w:pPr>
        <w:rPr>
          <w:sz w:val="20"/>
        </w:rPr>
      </w:pPr>
      <w:r w:rsidRPr="00E36AC7">
        <w:rPr>
          <w:sz w:val="20"/>
        </w:rPr>
        <w:t>Algunos</w:t>
      </w:r>
      <w:r w:rsidR="00157F99" w:rsidRPr="00E36AC7">
        <w:rPr>
          <w:sz w:val="20"/>
        </w:rPr>
        <w:t xml:space="preserve"> de los logros más importantes en este período (junio 2009 a mayo 2018) </w:t>
      </w:r>
      <w:r w:rsidR="0087715A" w:rsidRPr="00E36AC7">
        <w:rPr>
          <w:sz w:val="20"/>
        </w:rPr>
        <w:t>se puede detallar:</w:t>
      </w:r>
    </w:p>
    <w:p w:rsidR="0087715A" w:rsidRPr="00E36AC7" w:rsidRDefault="0087715A" w:rsidP="0087715A">
      <w:pPr>
        <w:pStyle w:val="Prrafodelista"/>
        <w:numPr>
          <w:ilvl w:val="0"/>
          <w:numId w:val="25"/>
        </w:numPr>
        <w:rPr>
          <w:lang w:val="es-SV"/>
        </w:rPr>
      </w:pPr>
      <w:r w:rsidRPr="00E36AC7">
        <w:rPr>
          <w:lang w:val="es-SV"/>
        </w:rPr>
        <w:t>I</w:t>
      </w:r>
      <w:r w:rsidR="00157F99" w:rsidRPr="00E36AC7">
        <w:rPr>
          <w:lang w:val="es-SV"/>
        </w:rPr>
        <w:t>nversión de US$88</w:t>
      </w:r>
      <w:r w:rsidR="002906BC" w:rsidRPr="00E36AC7">
        <w:rPr>
          <w:lang w:val="es-SV"/>
        </w:rPr>
        <w:t>.6</w:t>
      </w:r>
      <w:r w:rsidR="004D43BF" w:rsidRPr="00E36AC7">
        <w:rPr>
          <w:lang w:val="es-SV"/>
        </w:rPr>
        <w:t>2</w:t>
      </w:r>
      <w:r w:rsidR="00157F99" w:rsidRPr="00E36AC7">
        <w:rPr>
          <w:lang w:val="es-SV"/>
        </w:rPr>
        <w:t xml:space="preserve"> millones en proyectos de Agua Potable y Saneamiento Básico, beneficiando a más de </w:t>
      </w:r>
      <w:r w:rsidR="002906BC" w:rsidRPr="00E36AC7">
        <w:rPr>
          <w:lang w:val="es-SV"/>
        </w:rPr>
        <w:t>132</w:t>
      </w:r>
      <w:r w:rsidR="004D43BF" w:rsidRPr="00E36AC7">
        <w:rPr>
          <w:lang w:val="es-SV"/>
        </w:rPr>
        <w:t xml:space="preserve"> </w:t>
      </w:r>
      <w:r w:rsidR="002906BC" w:rsidRPr="00E36AC7">
        <w:rPr>
          <w:lang w:val="es-SV"/>
        </w:rPr>
        <w:t>mil</w:t>
      </w:r>
      <w:r w:rsidR="00157F99" w:rsidRPr="00E36AC7">
        <w:rPr>
          <w:lang w:val="es-SV"/>
        </w:rPr>
        <w:t xml:space="preserve"> personas </w:t>
      </w:r>
      <w:r w:rsidR="002906BC" w:rsidRPr="00E36AC7">
        <w:rPr>
          <w:lang w:val="es-SV"/>
        </w:rPr>
        <w:t xml:space="preserve">que residen en </w:t>
      </w:r>
      <w:r w:rsidR="00157F99" w:rsidRPr="00E36AC7">
        <w:rPr>
          <w:lang w:val="es-SV"/>
        </w:rPr>
        <w:t>3</w:t>
      </w:r>
      <w:r w:rsidR="002906BC" w:rsidRPr="00E36AC7">
        <w:rPr>
          <w:lang w:val="es-SV"/>
        </w:rPr>
        <w:t>1,525</w:t>
      </w:r>
      <w:r w:rsidR="00157F99" w:rsidRPr="00E36AC7">
        <w:rPr>
          <w:lang w:val="es-SV"/>
        </w:rPr>
        <w:t xml:space="preserve"> hogares, que cuentan con acceso a este servicio básico.</w:t>
      </w:r>
      <w:r w:rsidR="00367C6F" w:rsidRPr="00E36AC7">
        <w:rPr>
          <w:lang w:val="es-SV"/>
        </w:rPr>
        <w:t xml:space="preserve"> </w:t>
      </w:r>
    </w:p>
    <w:p w:rsidR="004E6823" w:rsidRPr="00E36AC7" w:rsidRDefault="0087715A" w:rsidP="0087715A">
      <w:pPr>
        <w:pStyle w:val="Prrafodelista"/>
        <w:numPr>
          <w:ilvl w:val="0"/>
          <w:numId w:val="25"/>
        </w:numPr>
        <w:rPr>
          <w:lang w:val="es-SV"/>
        </w:rPr>
      </w:pPr>
      <w:r w:rsidRPr="00E36AC7">
        <w:rPr>
          <w:lang w:val="es-SV"/>
        </w:rPr>
        <w:t>El cierre del Proy</w:t>
      </w:r>
      <w:r w:rsidR="00367C6F" w:rsidRPr="00E36AC7">
        <w:rPr>
          <w:lang w:val="es-SV"/>
        </w:rPr>
        <w:t xml:space="preserve">ecto de Fortalecimiento </w:t>
      </w:r>
      <w:r w:rsidRPr="00E36AC7">
        <w:rPr>
          <w:lang w:val="es-SV"/>
        </w:rPr>
        <w:t>a los</w:t>
      </w:r>
      <w:r w:rsidR="00367C6F" w:rsidRPr="00E36AC7">
        <w:rPr>
          <w:lang w:val="es-SV"/>
        </w:rPr>
        <w:t xml:space="preserve"> Gobiernos Locales – PFGL, </w:t>
      </w:r>
      <w:r w:rsidRPr="00E36AC7">
        <w:rPr>
          <w:lang w:val="es-SV"/>
        </w:rPr>
        <w:t xml:space="preserve">ejecutado en los 262 municipios del país, </w:t>
      </w:r>
      <w:r w:rsidR="00367C6F" w:rsidRPr="00E36AC7">
        <w:rPr>
          <w:lang w:val="es-SV"/>
        </w:rPr>
        <w:t>cuya inversión en estos 9 años asciende a US$67</w:t>
      </w:r>
      <w:r w:rsidR="00092385" w:rsidRPr="00E36AC7">
        <w:rPr>
          <w:lang w:val="es-SV"/>
        </w:rPr>
        <w:t>.85</w:t>
      </w:r>
      <w:r w:rsidR="00367C6F" w:rsidRPr="00E36AC7">
        <w:rPr>
          <w:lang w:val="es-SV"/>
        </w:rPr>
        <w:t xml:space="preserve"> millones</w:t>
      </w:r>
      <w:r w:rsidRPr="00E36AC7">
        <w:rPr>
          <w:lang w:val="es-SV"/>
        </w:rPr>
        <w:t>, de los cuales US$50</w:t>
      </w:r>
      <w:r w:rsidR="00092385" w:rsidRPr="00E36AC7">
        <w:rPr>
          <w:lang w:val="es-SV"/>
        </w:rPr>
        <w:t>.93</w:t>
      </w:r>
      <w:r w:rsidRPr="00E36AC7">
        <w:rPr>
          <w:lang w:val="es-SV"/>
        </w:rPr>
        <w:t xml:space="preserve"> millones fueron ejecutados en proyectos de infraestructura (Componente 1) y US$1</w:t>
      </w:r>
      <w:r w:rsidR="00092385" w:rsidRPr="00E36AC7">
        <w:rPr>
          <w:lang w:val="es-SV"/>
        </w:rPr>
        <w:t>6.91</w:t>
      </w:r>
      <w:r w:rsidRPr="00E36AC7">
        <w:rPr>
          <w:lang w:val="es-SV"/>
        </w:rPr>
        <w:t xml:space="preserve"> millones fueron utilizados en proyectos de asistencia técnica a los gobiernos locales (Componente 2).</w:t>
      </w:r>
    </w:p>
    <w:p w:rsidR="0087715A" w:rsidRPr="00E36AC7" w:rsidRDefault="002906BC" w:rsidP="0087715A">
      <w:pPr>
        <w:pStyle w:val="Prrafodelista"/>
        <w:numPr>
          <w:ilvl w:val="0"/>
          <w:numId w:val="25"/>
        </w:numPr>
        <w:rPr>
          <w:lang w:val="es-SV"/>
        </w:rPr>
      </w:pPr>
      <w:r w:rsidRPr="00E36AC7">
        <w:rPr>
          <w:lang w:val="es-SV"/>
        </w:rPr>
        <w:t>Se ha entregado US$129</w:t>
      </w:r>
      <w:r w:rsidR="00092385" w:rsidRPr="00E36AC7">
        <w:rPr>
          <w:lang w:val="es-SV"/>
        </w:rPr>
        <w:t>.49</w:t>
      </w:r>
      <w:r w:rsidRPr="00E36AC7">
        <w:rPr>
          <w:lang w:val="es-SV"/>
        </w:rPr>
        <w:t xml:space="preserve"> millones en Bonos para la Salud y Educación</w:t>
      </w:r>
      <w:r w:rsidR="00092385" w:rsidRPr="00E36AC7">
        <w:rPr>
          <w:lang w:val="es-SV"/>
        </w:rPr>
        <w:t>, beneficiando</w:t>
      </w:r>
      <w:r w:rsidRPr="00E36AC7">
        <w:rPr>
          <w:lang w:val="es-SV"/>
        </w:rPr>
        <w:t xml:space="preserve"> a </w:t>
      </w:r>
      <w:r w:rsidR="00092385" w:rsidRPr="00E36AC7">
        <w:rPr>
          <w:lang w:val="es-SV"/>
        </w:rPr>
        <w:t xml:space="preserve">más de </w:t>
      </w:r>
      <w:r w:rsidRPr="00E36AC7">
        <w:rPr>
          <w:lang w:val="es-SV"/>
        </w:rPr>
        <w:t xml:space="preserve">105 mil familias del </w:t>
      </w:r>
      <w:r w:rsidR="00092385" w:rsidRPr="00E36AC7">
        <w:rPr>
          <w:lang w:val="es-SV"/>
        </w:rPr>
        <w:t>área rural.</w:t>
      </w:r>
    </w:p>
    <w:p w:rsidR="000634E0" w:rsidRPr="006F325D" w:rsidRDefault="000634E0" w:rsidP="0000294A">
      <w:pPr>
        <w:pStyle w:val="Ttulo1"/>
      </w:pPr>
      <w:bookmarkStart w:id="1" w:name="_Toc517944504"/>
      <w:r w:rsidRPr="00F56E06">
        <w:t xml:space="preserve">Inversión de </w:t>
      </w:r>
      <w:r w:rsidR="001C4371">
        <w:t xml:space="preserve">los </w:t>
      </w:r>
      <w:r w:rsidR="00E818F5">
        <w:t>cuatro</w:t>
      </w:r>
      <w:r w:rsidR="001C4371">
        <w:t xml:space="preserve"> años de</w:t>
      </w:r>
      <w:r w:rsidRPr="00F56E06">
        <w:t xml:space="preserve"> Gestión </w:t>
      </w:r>
      <w:r w:rsidRPr="006F325D">
        <w:t>(junio 2014 a mayo 201</w:t>
      </w:r>
      <w:r w:rsidR="00B000A5">
        <w:t>8</w:t>
      </w:r>
      <w:r w:rsidRPr="006F325D">
        <w:t>)</w:t>
      </w:r>
      <w:bookmarkEnd w:id="1"/>
    </w:p>
    <w:p w:rsidR="000634E0" w:rsidRDefault="000634E0" w:rsidP="0000294A"/>
    <w:p w:rsidR="000634E0" w:rsidRPr="00E36AC7" w:rsidRDefault="000634E0" w:rsidP="0000294A">
      <w:pPr>
        <w:rPr>
          <w:sz w:val="20"/>
        </w:rPr>
      </w:pPr>
      <w:r w:rsidRPr="00E36AC7">
        <w:rPr>
          <w:sz w:val="20"/>
        </w:rPr>
        <w:t xml:space="preserve">Durante estos </w:t>
      </w:r>
      <w:r w:rsidR="00E818F5" w:rsidRPr="00E36AC7">
        <w:rPr>
          <w:sz w:val="20"/>
        </w:rPr>
        <w:t>cuatro</w:t>
      </w:r>
      <w:r w:rsidRPr="00E36AC7">
        <w:rPr>
          <w:sz w:val="20"/>
        </w:rPr>
        <w:t xml:space="preserve"> años de</w:t>
      </w:r>
      <w:r w:rsidR="0076080D" w:rsidRPr="00E36AC7">
        <w:rPr>
          <w:sz w:val="20"/>
        </w:rPr>
        <w:t xml:space="preserve"> gestión, el FISDL ha invertido</w:t>
      </w:r>
      <w:r w:rsidRPr="00E36AC7">
        <w:rPr>
          <w:sz w:val="20"/>
        </w:rPr>
        <w:t xml:space="preserve"> US$</w:t>
      </w:r>
      <w:r w:rsidR="00D35C23" w:rsidRPr="00E36AC7">
        <w:rPr>
          <w:sz w:val="20"/>
        </w:rPr>
        <w:t>2</w:t>
      </w:r>
      <w:r w:rsidR="00EC5999">
        <w:rPr>
          <w:sz w:val="20"/>
        </w:rPr>
        <w:t>65</w:t>
      </w:r>
      <w:r w:rsidR="00D35C23" w:rsidRPr="00E36AC7">
        <w:rPr>
          <w:sz w:val="20"/>
        </w:rPr>
        <w:t>.56</w:t>
      </w:r>
      <w:r w:rsidRPr="00E36AC7">
        <w:rPr>
          <w:sz w:val="20"/>
        </w:rPr>
        <w:t xml:space="preserve"> millones.</w:t>
      </w:r>
    </w:p>
    <w:p w:rsidR="00633B6D" w:rsidRPr="00E36AC7" w:rsidRDefault="00633B6D" w:rsidP="0000294A">
      <w:pPr>
        <w:rPr>
          <w:sz w:val="20"/>
        </w:rPr>
      </w:pPr>
      <w:r w:rsidRPr="00E36AC7">
        <w:rPr>
          <w:sz w:val="20"/>
        </w:rPr>
        <w:t>Con e</w:t>
      </w:r>
      <w:r w:rsidR="000634E0" w:rsidRPr="00E36AC7">
        <w:rPr>
          <w:sz w:val="20"/>
        </w:rPr>
        <w:t xml:space="preserve">l </w:t>
      </w:r>
      <w:r w:rsidR="0076080D" w:rsidRPr="00E36AC7">
        <w:rPr>
          <w:sz w:val="20"/>
        </w:rPr>
        <w:t>64.37</w:t>
      </w:r>
      <w:r w:rsidR="00442728" w:rsidRPr="00E36AC7">
        <w:rPr>
          <w:sz w:val="20"/>
        </w:rPr>
        <w:t>%</w:t>
      </w:r>
      <w:r w:rsidR="000634E0" w:rsidRPr="00E36AC7">
        <w:rPr>
          <w:sz w:val="20"/>
        </w:rPr>
        <w:t xml:space="preserve"> de esta inversión</w:t>
      </w:r>
      <w:r w:rsidRPr="00E36AC7">
        <w:rPr>
          <w:sz w:val="20"/>
        </w:rPr>
        <w:t xml:space="preserve"> se</w:t>
      </w:r>
      <w:r w:rsidR="000634E0" w:rsidRPr="00E36AC7">
        <w:rPr>
          <w:sz w:val="20"/>
        </w:rPr>
        <w:t xml:space="preserve"> ha fortalecido el Capital Humano de las comunidades </w:t>
      </w:r>
      <w:r w:rsidRPr="00E36AC7">
        <w:rPr>
          <w:sz w:val="20"/>
        </w:rPr>
        <w:t>participantes. E</w:t>
      </w:r>
      <w:r w:rsidR="000634E0" w:rsidRPr="00E36AC7">
        <w:rPr>
          <w:sz w:val="20"/>
        </w:rPr>
        <w:t xml:space="preserve">sta inversión incluye intervenciones como las Transferencias Monetarias </w:t>
      </w:r>
      <w:r w:rsidRPr="00E36AC7">
        <w:rPr>
          <w:sz w:val="20"/>
        </w:rPr>
        <w:t>C</w:t>
      </w:r>
      <w:r w:rsidR="000634E0" w:rsidRPr="00E36AC7">
        <w:rPr>
          <w:sz w:val="20"/>
        </w:rPr>
        <w:t xml:space="preserve">ondicionadas y no Condicionadas (bono </w:t>
      </w:r>
      <w:r w:rsidRPr="00E36AC7">
        <w:rPr>
          <w:sz w:val="20"/>
        </w:rPr>
        <w:t xml:space="preserve">de </w:t>
      </w:r>
      <w:r w:rsidR="000634E0" w:rsidRPr="00E36AC7">
        <w:rPr>
          <w:sz w:val="20"/>
        </w:rPr>
        <w:t>salud</w:t>
      </w:r>
      <w:r w:rsidRPr="00E36AC7">
        <w:rPr>
          <w:sz w:val="20"/>
        </w:rPr>
        <w:t xml:space="preserve"> y </w:t>
      </w:r>
      <w:r w:rsidR="000634E0" w:rsidRPr="00E36AC7">
        <w:rPr>
          <w:sz w:val="20"/>
        </w:rPr>
        <w:t xml:space="preserve">educación rural, bono </w:t>
      </w:r>
      <w:r w:rsidRPr="00E36AC7">
        <w:rPr>
          <w:sz w:val="20"/>
        </w:rPr>
        <w:t xml:space="preserve">de </w:t>
      </w:r>
      <w:r w:rsidR="000634E0" w:rsidRPr="00E36AC7">
        <w:rPr>
          <w:sz w:val="20"/>
        </w:rPr>
        <w:t>educación urbano, pensión básica universal rural, urbana y a veteranos de guerra</w:t>
      </w:r>
      <w:r w:rsidRPr="00E36AC7">
        <w:rPr>
          <w:sz w:val="20"/>
        </w:rPr>
        <w:t>,</w:t>
      </w:r>
      <w:r w:rsidR="000634E0" w:rsidRPr="00E36AC7">
        <w:rPr>
          <w:sz w:val="20"/>
        </w:rPr>
        <w:t xml:space="preserve"> así como el Apoyo Monetario </w:t>
      </w:r>
      <w:r w:rsidRPr="00E36AC7">
        <w:rPr>
          <w:sz w:val="20"/>
        </w:rPr>
        <w:t>a participantes</w:t>
      </w:r>
      <w:r w:rsidR="000634E0" w:rsidRPr="00E36AC7">
        <w:rPr>
          <w:sz w:val="20"/>
        </w:rPr>
        <w:t xml:space="preserve"> PATI), Asistencias Técnicas y Gestión Territorial (Apoyo familiar y </w:t>
      </w:r>
      <w:r w:rsidRPr="00E36AC7">
        <w:rPr>
          <w:sz w:val="20"/>
        </w:rPr>
        <w:t>acompañamiento a actores locales</w:t>
      </w:r>
      <w:r w:rsidR="000634E0" w:rsidRPr="00E36AC7">
        <w:rPr>
          <w:sz w:val="20"/>
        </w:rPr>
        <w:t xml:space="preserve">). </w:t>
      </w:r>
    </w:p>
    <w:p w:rsidR="00633B6D" w:rsidRPr="00E36AC7" w:rsidRDefault="00633B6D" w:rsidP="0000294A">
      <w:pPr>
        <w:rPr>
          <w:sz w:val="20"/>
        </w:rPr>
      </w:pPr>
      <w:r w:rsidRPr="00E36AC7">
        <w:rPr>
          <w:sz w:val="20"/>
        </w:rPr>
        <w:t>Por otro lado, e</w:t>
      </w:r>
      <w:r w:rsidR="000634E0" w:rsidRPr="00E36AC7">
        <w:rPr>
          <w:sz w:val="20"/>
        </w:rPr>
        <w:t xml:space="preserve">l </w:t>
      </w:r>
      <w:r w:rsidR="0076080D" w:rsidRPr="00E36AC7">
        <w:rPr>
          <w:sz w:val="20"/>
        </w:rPr>
        <w:t>34.17</w:t>
      </w:r>
      <w:r w:rsidR="00442728" w:rsidRPr="00E36AC7">
        <w:rPr>
          <w:sz w:val="20"/>
        </w:rPr>
        <w:t>%</w:t>
      </w:r>
      <w:r w:rsidR="000634E0" w:rsidRPr="00E36AC7">
        <w:rPr>
          <w:sz w:val="20"/>
        </w:rPr>
        <w:t xml:space="preserve"> de la inversión ha sido ejecutada en proyectos de infraestructura social básica (Agua Potable y Saneamiento, </w:t>
      </w:r>
      <w:r w:rsidRPr="00E36AC7">
        <w:rPr>
          <w:sz w:val="20"/>
        </w:rPr>
        <w:t>E</w:t>
      </w:r>
      <w:r w:rsidR="000634E0" w:rsidRPr="00E36AC7">
        <w:rPr>
          <w:sz w:val="20"/>
        </w:rPr>
        <w:t xml:space="preserve">lectrificación, Salud, Caminos y </w:t>
      </w:r>
      <w:r w:rsidRPr="00E36AC7">
        <w:rPr>
          <w:sz w:val="20"/>
        </w:rPr>
        <w:t xml:space="preserve">Puentes, entre otras tipologías). </w:t>
      </w:r>
    </w:p>
    <w:p w:rsidR="0076080D" w:rsidRPr="00E36AC7" w:rsidRDefault="0076080D" w:rsidP="0000294A">
      <w:pPr>
        <w:rPr>
          <w:sz w:val="20"/>
        </w:rPr>
      </w:pPr>
      <w:r w:rsidRPr="00E36AC7">
        <w:rPr>
          <w:sz w:val="20"/>
        </w:rPr>
        <w:t>Y el 1.46% restante, corresponde a los gastos asociados a la inversión del período de enero 2017 a mayo 2018 (</w:t>
      </w:r>
      <w:r w:rsidR="00602136" w:rsidRPr="00E36AC7">
        <w:rPr>
          <w:sz w:val="20"/>
        </w:rPr>
        <w:t>consultorías y equipamientos varios).</w:t>
      </w:r>
    </w:p>
    <w:p w:rsidR="000634E0" w:rsidRPr="00E36AC7" w:rsidRDefault="00633B6D" w:rsidP="0000294A">
      <w:pPr>
        <w:rPr>
          <w:sz w:val="20"/>
        </w:rPr>
      </w:pPr>
      <w:r w:rsidRPr="00E36AC7">
        <w:rPr>
          <w:sz w:val="20"/>
        </w:rPr>
        <w:t>A partir de estas intervenciones y con las acciones complementarias desde otras instituciones, los gobiernos locales y las comunidades, se va logrando el prop</w:t>
      </w:r>
      <w:r w:rsidR="00F930C9" w:rsidRPr="00E36AC7">
        <w:rPr>
          <w:sz w:val="20"/>
        </w:rPr>
        <w:t>ó</w:t>
      </w:r>
      <w:r w:rsidRPr="00E36AC7">
        <w:rPr>
          <w:sz w:val="20"/>
        </w:rPr>
        <w:t xml:space="preserve">sito de mejorar </w:t>
      </w:r>
      <w:r w:rsidR="000634E0" w:rsidRPr="00E36AC7">
        <w:rPr>
          <w:sz w:val="20"/>
        </w:rPr>
        <w:t xml:space="preserve">la calidad de vida de las personas que residen en las comunidades </w:t>
      </w:r>
      <w:r w:rsidRPr="00E36AC7">
        <w:rPr>
          <w:sz w:val="20"/>
        </w:rPr>
        <w:t>atendidas</w:t>
      </w:r>
      <w:r w:rsidR="000634E0" w:rsidRPr="00E36AC7">
        <w:rPr>
          <w:sz w:val="20"/>
        </w:rPr>
        <w:t>.</w:t>
      </w:r>
    </w:p>
    <w:p w:rsidR="000634E0" w:rsidRPr="00E36AC7" w:rsidRDefault="000634E0" w:rsidP="0000294A">
      <w:pPr>
        <w:rPr>
          <w:sz w:val="20"/>
        </w:rPr>
      </w:pPr>
      <w:r w:rsidRPr="00E36AC7">
        <w:rPr>
          <w:sz w:val="20"/>
        </w:rPr>
        <w:t>Los departamentos con mayor inversión han sido Usulután, con más de US$</w:t>
      </w:r>
      <w:r w:rsidR="00FF3CF6" w:rsidRPr="00E36AC7">
        <w:rPr>
          <w:sz w:val="20"/>
        </w:rPr>
        <w:t>43.20</w:t>
      </w:r>
      <w:r w:rsidRPr="00E36AC7">
        <w:rPr>
          <w:sz w:val="20"/>
        </w:rPr>
        <w:t xml:space="preserve"> millones y Morazán, con más de USD$</w:t>
      </w:r>
      <w:r w:rsidR="00FF3CF6" w:rsidRPr="00E36AC7">
        <w:rPr>
          <w:sz w:val="20"/>
        </w:rPr>
        <w:t>32.50</w:t>
      </w:r>
      <w:r w:rsidRPr="00E36AC7">
        <w:rPr>
          <w:sz w:val="20"/>
        </w:rPr>
        <w:t xml:space="preserve"> millones ejecutados.</w:t>
      </w:r>
    </w:p>
    <w:p w:rsidR="000634E0" w:rsidRPr="00E36AC7" w:rsidRDefault="000634E0" w:rsidP="0000294A">
      <w:pPr>
        <w:rPr>
          <w:sz w:val="20"/>
        </w:rPr>
      </w:pPr>
      <w:r w:rsidRPr="00E36AC7">
        <w:rPr>
          <w:sz w:val="20"/>
        </w:rPr>
        <w:lastRenderedPageBreak/>
        <w:t xml:space="preserve">El FISDL ha ejecutado el </w:t>
      </w:r>
      <w:r w:rsidR="00D52B53" w:rsidRPr="00E36AC7">
        <w:rPr>
          <w:sz w:val="20"/>
        </w:rPr>
        <w:t>74.71</w:t>
      </w:r>
      <w:r w:rsidR="00C61045" w:rsidRPr="00E36AC7">
        <w:rPr>
          <w:sz w:val="20"/>
        </w:rPr>
        <w:t>%</w:t>
      </w:r>
      <w:r w:rsidRPr="00E36AC7">
        <w:rPr>
          <w:sz w:val="20"/>
        </w:rPr>
        <w:t xml:space="preserve"> de su inversión en municipios gobernados por los </w:t>
      </w:r>
      <w:r w:rsidR="00F930C9" w:rsidRPr="00E36AC7">
        <w:rPr>
          <w:sz w:val="20"/>
        </w:rPr>
        <w:t>dos</w:t>
      </w:r>
      <w:r w:rsidRPr="00E36AC7">
        <w:rPr>
          <w:sz w:val="20"/>
        </w:rPr>
        <w:t xml:space="preserve"> partidos mayoritarios, </w:t>
      </w:r>
      <w:r w:rsidR="00D52B53" w:rsidRPr="00E36AC7">
        <w:rPr>
          <w:sz w:val="20"/>
        </w:rPr>
        <w:t>43.62</w:t>
      </w:r>
      <w:r w:rsidR="00C61045" w:rsidRPr="00E36AC7">
        <w:rPr>
          <w:sz w:val="20"/>
        </w:rPr>
        <w:t>%</w:t>
      </w:r>
      <w:r w:rsidRPr="00E36AC7">
        <w:rPr>
          <w:sz w:val="20"/>
        </w:rPr>
        <w:t xml:space="preserve"> en municipios </w:t>
      </w:r>
      <w:r w:rsidR="00F930C9" w:rsidRPr="00E36AC7">
        <w:rPr>
          <w:sz w:val="20"/>
        </w:rPr>
        <w:t>bajo la administración del</w:t>
      </w:r>
      <w:r w:rsidRPr="00E36AC7">
        <w:rPr>
          <w:sz w:val="20"/>
        </w:rPr>
        <w:t xml:space="preserve"> partido ARENA y el </w:t>
      </w:r>
      <w:r w:rsidR="00C61045" w:rsidRPr="00E36AC7">
        <w:rPr>
          <w:sz w:val="20"/>
        </w:rPr>
        <w:t>31.</w:t>
      </w:r>
      <w:r w:rsidR="00D52B53" w:rsidRPr="00E36AC7">
        <w:rPr>
          <w:sz w:val="20"/>
        </w:rPr>
        <w:t>09</w:t>
      </w:r>
      <w:r w:rsidR="00C61045" w:rsidRPr="00E36AC7">
        <w:rPr>
          <w:sz w:val="20"/>
        </w:rPr>
        <w:t>%</w:t>
      </w:r>
      <w:r w:rsidRPr="00E36AC7">
        <w:rPr>
          <w:sz w:val="20"/>
        </w:rPr>
        <w:t xml:space="preserve"> en municipios gobernados por el FMLN. </w:t>
      </w:r>
      <w:r w:rsidR="00FC0674" w:rsidRPr="00E36AC7">
        <w:rPr>
          <w:sz w:val="20"/>
        </w:rPr>
        <w:t xml:space="preserve">El </w:t>
      </w:r>
      <w:r w:rsidR="00D52B53" w:rsidRPr="00E36AC7">
        <w:rPr>
          <w:sz w:val="20"/>
        </w:rPr>
        <w:t>25.90</w:t>
      </w:r>
      <w:r w:rsidR="00FC0674" w:rsidRPr="00E36AC7">
        <w:rPr>
          <w:sz w:val="20"/>
        </w:rPr>
        <w:t>% restante corresponde a inversión en los demás partidos políticos y coaliciones.</w:t>
      </w:r>
    </w:p>
    <w:p w:rsidR="000634E0" w:rsidRPr="00E36AC7" w:rsidRDefault="00FC0674" w:rsidP="0000294A">
      <w:pPr>
        <w:rPr>
          <w:sz w:val="20"/>
        </w:rPr>
      </w:pPr>
      <w:r w:rsidRPr="00E36AC7">
        <w:rPr>
          <w:sz w:val="20"/>
        </w:rPr>
        <w:t xml:space="preserve">Es importante destacar, que la </w:t>
      </w:r>
      <w:r w:rsidR="00643E7E" w:rsidRPr="00E36AC7">
        <w:rPr>
          <w:sz w:val="20"/>
        </w:rPr>
        <w:t>distribución</w:t>
      </w:r>
      <w:r w:rsidRPr="00E36AC7">
        <w:rPr>
          <w:sz w:val="20"/>
        </w:rPr>
        <w:t xml:space="preserve"> de la inversión por </w:t>
      </w:r>
      <w:r w:rsidR="00643E7E" w:rsidRPr="00E36AC7">
        <w:rPr>
          <w:sz w:val="20"/>
        </w:rPr>
        <w:t>p</w:t>
      </w:r>
      <w:r w:rsidRPr="00E36AC7">
        <w:rPr>
          <w:sz w:val="20"/>
        </w:rPr>
        <w:t xml:space="preserve">artido político o coalición </w:t>
      </w:r>
      <w:r w:rsidR="00643E7E" w:rsidRPr="00E36AC7">
        <w:rPr>
          <w:sz w:val="20"/>
        </w:rPr>
        <w:t xml:space="preserve">gobernante en cada municipio es proporcional a la cantidad de alcaldías ganadas por cada uno en las elecciones municipales del año </w:t>
      </w:r>
      <w:r w:rsidR="00D52B53" w:rsidRPr="00E36AC7">
        <w:rPr>
          <w:sz w:val="20"/>
        </w:rPr>
        <w:t xml:space="preserve">2012, </w:t>
      </w:r>
      <w:r w:rsidR="00643E7E" w:rsidRPr="00E36AC7">
        <w:rPr>
          <w:sz w:val="20"/>
        </w:rPr>
        <w:t>2015</w:t>
      </w:r>
      <w:r w:rsidR="00D52B53" w:rsidRPr="00E36AC7">
        <w:rPr>
          <w:sz w:val="20"/>
        </w:rPr>
        <w:t xml:space="preserve"> y 2018</w:t>
      </w:r>
      <w:r w:rsidR="00643E7E" w:rsidRPr="00E36AC7">
        <w:rPr>
          <w:sz w:val="20"/>
        </w:rPr>
        <w:t>.</w:t>
      </w:r>
    </w:p>
    <w:p w:rsidR="000634E0" w:rsidRPr="006F325D" w:rsidRDefault="00F930C9" w:rsidP="0000294A">
      <w:pPr>
        <w:pStyle w:val="Ttulo1"/>
      </w:pPr>
      <w:bookmarkStart w:id="2" w:name="_Toc517944505"/>
      <w:r w:rsidRPr="00F56E06">
        <w:t xml:space="preserve">Principales resultados </w:t>
      </w:r>
      <w:r>
        <w:t xml:space="preserve">de los </w:t>
      </w:r>
      <w:r w:rsidR="0054180D">
        <w:t>cuatro</w:t>
      </w:r>
      <w:r>
        <w:t xml:space="preserve"> años</w:t>
      </w:r>
      <w:r w:rsidRPr="00F56E06">
        <w:t xml:space="preserve"> de gestión</w:t>
      </w:r>
      <w:r>
        <w:t xml:space="preserve"> </w:t>
      </w:r>
      <w:r w:rsidRPr="00F56E06">
        <w:t>por tipo de intervención</w:t>
      </w:r>
      <w:r w:rsidR="001C4371" w:rsidRPr="006F325D">
        <w:t xml:space="preserve"> </w:t>
      </w:r>
      <w:r w:rsidR="000634E0" w:rsidRPr="006F325D">
        <w:t>(junio 201</w:t>
      </w:r>
      <w:r w:rsidR="006F376F">
        <w:t>4</w:t>
      </w:r>
      <w:r w:rsidR="000634E0" w:rsidRPr="006F325D">
        <w:t xml:space="preserve"> a mayo 201</w:t>
      </w:r>
      <w:r w:rsidR="00B000A5">
        <w:t>8</w:t>
      </w:r>
      <w:r w:rsidR="000634E0" w:rsidRPr="006F325D">
        <w:t>)</w:t>
      </w:r>
      <w:bookmarkEnd w:id="2"/>
    </w:p>
    <w:p w:rsidR="00186CB5" w:rsidRPr="00E36AC7" w:rsidRDefault="00186CB5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3" w:name="_Toc517944507"/>
      <w:r w:rsidRPr="00E36AC7">
        <w:rPr>
          <w:sz w:val="20"/>
        </w:rPr>
        <w:t>Agua Potable y Saneamiento</w:t>
      </w:r>
      <w:r w:rsidR="00937719" w:rsidRPr="00E36AC7">
        <w:rPr>
          <w:sz w:val="20"/>
        </w:rPr>
        <w:t xml:space="preserve"> </w:t>
      </w:r>
      <w:r w:rsidR="00E41EDA" w:rsidRPr="00E36AC7">
        <w:rPr>
          <w:sz w:val="20"/>
        </w:rPr>
        <w:t>B</w:t>
      </w:r>
      <w:r w:rsidR="00937719" w:rsidRPr="00E36AC7">
        <w:rPr>
          <w:sz w:val="20"/>
        </w:rPr>
        <w:t>ásico</w:t>
      </w:r>
      <w:bookmarkEnd w:id="3"/>
    </w:p>
    <w:p w:rsidR="00061897" w:rsidRPr="00E36AC7" w:rsidRDefault="000634E0" w:rsidP="00A04318">
      <w:pPr>
        <w:spacing w:before="240" w:after="240"/>
        <w:rPr>
          <w:sz w:val="20"/>
        </w:rPr>
      </w:pPr>
      <w:r w:rsidRPr="00E36AC7">
        <w:rPr>
          <w:sz w:val="20"/>
        </w:rPr>
        <w:t xml:space="preserve">En </w:t>
      </w:r>
      <w:r w:rsidR="00D46E9E" w:rsidRPr="00E36AC7">
        <w:rPr>
          <w:sz w:val="20"/>
        </w:rPr>
        <w:t xml:space="preserve">los </w:t>
      </w:r>
      <w:r w:rsidR="001F60D5" w:rsidRPr="00E36AC7">
        <w:rPr>
          <w:sz w:val="20"/>
        </w:rPr>
        <w:t>cuatro</w:t>
      </w:r>
      <w:r w:rsidR="00D46E9E" w:rsidRPr="00E36AC7">
        <w:rPr>
          <w:sz w:val="20"/>
        </w:rPr>
        <w:t xml:space="preserve"> años</w:t>
      </w:r>
      <w:r w:rsidRPr="00E36AC7">
        <w:rPr>
          <w:sz w:val="20"/>
        </w:rPr>
        <w:t xml:space="preserve"> de gestión (de junio 201</w:t>
      </w:r>
      <w:r w:rsidR="001C4371" w:rsidRPr="00E36AC7">
        <w:rPr>
          <w:sz w:val="20"/>
        </w:rPr>
        <w:t>4</w:t>
      </w:r>
      <w:r w:rsidRPr="00E36AC7">
        <w:rPr>
          <w:sz w:val="20"/>
        </w:rPr>
        <w:t xml:space="preserve"> a mayo 201</w:t>
      </w:r>
      <w:r w:rsidR="001F60D5" w:rsidRPr="00E36AC7">
        <w:rPr>
          <w:sz w:val="20"/>
        </w:rPr>
        <w:t>8</w:t>
      </w:r>
      <w:r w:rsidRPr="00E36AC7">
        <w:rPr>
          <w:sz w:val="20"/>
        </w:rPr>
        <w:t xml:space="preserve">), el FISDL ha </w:t>
      </w:r>
      <w:r w:rsidR="00937719" w:rsidRPr="00E36AC7">
        <w:rPr>
          <w:sz w:val="20"/>
        </w:rPr>
        <w:t>intervenido</w:t>
      </w:r>
      <w:r w:rsidR="007419F8" w:rsidRPr="00E36AC7">
        <w:rPr>
          <w:sz w:val="20"/>
        </w:rPr>
        <w:t xml:space="preserve"> en </w:t>
      </w:r>
      <w:r w:rsidR="00F5749E" w:rsidRPr="00E36AC7">
        <w:rPr>
          <w:sz w:val="20"/>
        </w:rPr>
        <w:t>31</w:t>
      </w:r>
      <w:r w:rsidR="007419F8" w:rsidRPr="00E36AC7">
        <w:rPr>
          <w:sz w:val="20"/>
        </w:rPr>
        <w:t xml:space="preserve"> de los 100 municipios de Pobreza Extrema Severa (PES) y Alta (PEA), ejecutando un total de </w:t>
      </w:r>
      <w:r w:rsidR="00F5749E" w:rsidRPr="00E36AC7">
        <w:rPr>
          <w:sz w:val="20"/>
        </w:rPr>
        <w:t>51</w:t>
      </w:r>
      <w:r w:rsidR="007419F8" w:rsidRPr="00E36AC7">
        <w:rPr>
          <w:sz w:val="20"/>
        </w:rPr>
        <w:t xml:space="preserve"> proyectos de Agua Potable y</w:t>
      </w:r>
      <w:r w:rsidRPr="00E36AC7">
        <w:rPr>
          <w:sz w:val="20"/>
        </w:rPr>
        <w:t xml:space="preserve"> Saneamient</w:t>
      </w:r>
      <w:r w:rsidR="007419F8" w:rsidRPr="00E36AC7">
        <w:rPr>
          <w:sz w:val="20"/>
        </w:rPr>
        <w:t>o por un monto de</w:t>
      </w:r>
      <w:r w:rsidRPr="00E36AC7">
        <w:rPr>
          <w:sz w:val="20"/>
        </w:rPr>
        <w:t xml:space="preserve"> US$</w:t>
      </w:r>
      <w:r w:rsidR="00F5749E" w:rsidRPr="00E36AC7">
        <w:rPr>
          <w:sz w:val="20"/>
        </w:rPr>
        <w:t>27.77</w:t>
      </w:r>
      <w:r w:rsidR="001C4371" w:rsidRPr="00E36AC7">
        <w:rPr>
          <w:sz w:val="20"/>
        </w:rPr>
        <w:t xml:space="preserve"> millones</w:t>
      </w:r>
      <w:r w:rsidRPr="00E36AC7">
        <w:rPr>
          <w:sz w:val="20"/>
        </w:rPr>
        <w:t xml:space="preserve">. </w:t>
      </w:r>
      <w:r w:rsidR="00937719" w:rsidRPr="00E36AC7">
        <w:rPr>
          <w:sz w:val="20"/>
        </w:rPr>
        <w:t>Con é</w:t>
      </w:r>
      <w:r w:rsidRPr="00E36AC7">
        <w:rPr>
          <w:sz w:val="20"/>
        </w:rPr>
        <w:t xml:space="preserve">sta inversión </w:t>
      </w:r>
      <w:r w:rsidR="00937719" w:rsidRPr="00E36AC7">
        <w:rPr>
          <w:sz w:val="20"/>
        </w:rPr>
        <w:t xml:space="preserve">se </w:t>
      </w:r>
      <w:r w:rsidRPr="00E36AC7">
        <w:rPr>
          <w:sz w:val="20"/>
        </w:rPr>
        <w:t xml:space="preserve">ha beneficiado a </w:t>
      </w:r>
      <w:r w:rsidR="00F5749E" w:rsidRPr="00E36AC7">
        <w:rPr>
          <w:sz w:val="20"/>
        </w:rPr>
        <w:t>9,284</w:t>
      </w:r>
      <w:r w:rsidRPr="00E36AC7">
        <w:rPr>
          <w:sz w:val="20"/>
        </w:rPr>
        <w:t xml:space="preserve"> familias (</w:t>
      </w:r>
      <w:r w:rsidR="00F5749E" w:rsidRPr="00E36AC7">
        <w:rPr>
          <w:sz w:val="20"/>
        </w:rPr>
        <w:t>65.369</w:t>
      </w:r>
      <w:r w:rsidRPr="00E36AC7">
        <w:rPr>
          <w:sz w:val="20"/>
        </w:rPr>
        <w:t xml:space="preserve"> personas), </w:t>
      </w:r>
      <w:r w:rsidRPr="00E36AC7">
        <w:rPr>
          <w:b/>
          <w:color w:val="FDA023" w:themeColor="accent1"/>
          <w:sz w:val="20"/>
        </w:rPr>
        <w:t xml:space="preserve">incrementado en </w:t>
      </w:r>
      <w:r w:rsidR="00F5749E" w:rsidRPr="00E36AC7">
        <w:rPr>
          <w:b/>
          <w:color w:val="FDA023" w:themeColor="accent1"/>
          <w:sz w:val="20"/>
        </w:rPr>
        <w:t>5.52</w:t>
      </w:r>
      <w:r w:rsidR="00AB1712" w:rsidRPr="00E36AC7">
        <w:rPr>
          <w:b/>
          <w:color w:val="FDA023" w:themeColor="accent1"/>
          <w:sz w:val="20"/>
        </w:rPr>
        <w:t>%</w:t>
      </w:r>
      <w:r w:rsidRPr="00E36AC7">
        <w:rPr>
          <w:b/>
          <w:color w:val="FDA023" w:themeColor="accent1"/>
          <w:sz w:val="20"/>
        </w:rPr>
        <w:t xml:space="preserve"> la cobertura de Agua Potable</w:t>
      </w:r>
      <w:r w:rsidR="00937719" w:rsidRPr="00E36AC7">
        <w:rPr>
          <w:sz w:val="20"/>
        </w:rPr>
        <w:t xml:space="preserve"> en los 100 municipios de PES y PEA</w:t>
      </w:r>
      <w:r w:rsidR="007419F8" w:rsidRPr="00E36AC7">
        <w:rPr>
          <w:sz w:val="20"/>
        </w:rPr>
        <w:t xml:space="preserve">, </w:t>
      </w:r>
      <w:r w:rsidR="00937719" w:rsidRPr="00E36AC7">
        <w:rPr>
          <w:sz w:val="20"/>
        </w:rPr>
        <w:t>pasando</w:t>
      </w:r>
      <w:r w:rsidR="007419F8" w:rsidRPr="00E36AC7">
        <w:rPr>
          <w:sz w:val="20"/>
        </w:rPr>
        <w:t xml:space="preserve"> </w:t>
      </w:r>
      <w:r w:rsidRPr="00E36AC7">
        <w:rPr>
          <w:sz w:val="20"/>
        </w:rPr>
        <w:t xml:space="preserve">de </w:t>
      </w:r>
      <w:r w:rsidR="00AB1712" w:rsidRPr="00E36AC7">
        <w:rPr>
          <w:sz w:val="20"/>
        </w:rPr>
        <w:t>68.60%</w:t>
      </w:r>
      <w:r w:rsidRPr="00E36AC7">
        <w:rPr>
          <w:sz w:val="20"/>
        </w:rPr>
        <w:t xml:space="preserve"> en may</w:t>
      </w:r>
      <w:r w:rsidR="007419F8" w:rsidRPr="00E36AC7">
        <w:rPr>
          <w:sz w:val="20"/>
        </w:rPr>
        <w:t>o 201</w:t>
      </w:r>
      <w:r w:rsidR="00AB1712" w:rsidRPr="00E36AC7">
        <w:rPr>
          <w:sz w:val="20"/>
        </w:rPr>
        <w:t>4</w:t>
      </w:r>
      <w:r w:rsidR="007419F8" w:rsidRPr="00E36AC7">
        <w:rPr>
          <w:sz w:val="20"/>
        </w:rPr>
        <w:t xml:space="preserve"> a </w:t>
      </w:r>
      <w:r w:rsidR="00F5749E" w:rsidRPr="00E36AC7">
        <w:rPr>
          <w:sz w:val="20"/>
        </w:rPr>
        <w:t>74.12</w:t>
      </w:r>
      <w:r w:rsidR="00AB1712" w:rsidRPr="00E36AC7">
        <w:rPr>
          <w:sz w:val="20"/>
        </w:rPr>
        <w:t>%</w:t>
      </w:r>
      <w:r w:rsidR="007419F8" w:rsidRPr="00E36AC7">
        <w:rPr>
          <w:sz w:val="20"/>
        </w:rPr>
        <w:t xml:space="preserve"> en mayo de 201</w:t>
      </w:r>
      <w:r w:rsidR="00F5749E" w:rsidRPr="00E36AC7">
        <w:rPr>
          <w:sz w:val="20"/>
        </w:rPr>
        <w:t>8</w:t>
      </w:r>
      <w:r w:rsidR="00A04318" w:rsidRPr="00E36AC7">
        <w:rPr>
          <w:sz w:val="20"/>
        </w:rPr>
        <w:t>.</w:t>
      </w:r>
    </w:p>
    <w:p w:rsidR="000634E0" w:rsidRPr="00E36AC7" w:rsidRDefault="00937719" w:rsidP="0000294A">
      <w:pPr>
        <w:rPr>
          <w:sz w:val="20"/>
        </w:rPr>
      </w:pPr>
      <w:r w:rsidRPr="00E36AC7">
        <w:rPr>
          <w:sz w:val="20"/>
        </w:rPr>
        <w:t xml:space="preserve">Con relación a </w:t>
      </w:r>
      <w:r w:rsidR="007419F8" w:rsidRPr="00E36AC7">
        <w:rPr>
          <w:sz w:val="20"/>
        </w:rPr>
        <w:t xml:space="preserve">los </w:t>
      </w:r>
      <w:r w:rsidRPr="00E36AC7">
        <w:rPr>
          <w:sz w:val="20"/>
        </w:rPr>
        <w:t>segmento</w:t>
      </w:r>
      <w:r w:rsidR="007419F8" w:rsidRPr="00E36AC7">
        <w:rPr>
          <w:sz w:val="20"/>
        </w:rPr>
        <w:t>s de Pobreza Extrema Moderada (PEM) y Baja (PEB) se</w:t>
      </w:r>
      <w:r w:rsidR="000634E0" w:rsidRPr="00E36AC7">
        <w:rPr>
          <w:sz w:val="20"/>
        </w:rPr>
        <w:t xml:space="preserve"> ha invertido en </w:t>
      </w:r>
      <w:r w:rsidR="00E524EA" w:rsidRPr="00E36AC7">
        <w:rPr>
          <w:sz w:val="20"/>
        </w:rPr>
        <w:t>12</w:t>
      </w:r>
      <w:r w:rsidR="007419F8" w:rsidRPr="00E36AC7">
        <w:rPr>
          <w:sz w:val="20"/>
        </w:rPr>
        <w:t xml:space="preserve"> municipios un monto de </w:t>
      </w:r>
      <w:r w:rsidR="000634E0" w:rsidRPr="00E36AC7">
        <w:rPr>
          <w:sz w:val="20"/>
        </w:rPr>
        <w:t>US$</w:t>
      </w:r>
      <w:r w:rsidR="00E524EA" w:rsidRPr="00E36AC7">
        <w:rPr>
          <w:sz w:val="20"/>
        </w:rPr>
        <w:t>8.06</w:t>
      </w:r>
      <w:r w:rsidR="003E4C83" w:rsidRPr="00E36AC7">
        <w:rPr>
          <w:sz w:val="20"/>
        </w:rPr>
        <w:t xml:space="preserve"> millones</w:t>
      </w:r>
      <w:r w:rsidR="000634E0" w:rsidRPr="00E36AC7">
        <w:rPr>
          <w:sz w:val="20"/>
        </w:rPr>
        <w:t xml:space="preserve">. </w:t>
      </w:r>
      <w:r w:rsidR="007419F8" w:rsidRPr="00E36AC7">
        <w:rPr>
          <w:sz w:val="20"/>
        </w:rPr>
        <w:t xml:space="preserve">Ejecutando </w:t>
      </w:r>
      <w:r w:rsidR="001F13AC" w:rsidRPr="00E36AC7">
        <w:rPr>
          <w:sz w:val="20"/>
        </w:rPr>
        <w:t>1</w:t>
      </w:r>
      <w:r w:rsidR="00E524EA" w:rsidRPr="00E36AC7">
        <w:rPr>
          <w:sz w:val="20"/>
        </w:rPr>
        <w:t>3</w:t>
      </w:r>
      <w:r w:rsidR="007419F8" w:rsidRPr="00E36AC7">
        <w:rPr>
          <w:sz w:val="20"/>
        </w:rPr>
        <w:t xml:space="preserve"> proyectos los cuales han beneficiado a </w:t>
      </w:r>
      <w:r w:rsidR="003968E8" w:rsidRPr="00E36AC7">
        <w:rPr>
          <w:sz w:val="20"/>
        </w:rPr>
        <w:t>1,8</w:t>
      </w:r>
      <w:r w:rsidR="00CB1828" w:rsidRPr="00E36AC7">
        <w:rPr>
          <w:sz w:val="20"/>
        </w:rPr>
        <w:t>17</w:t>
      </w:r>
      <w:r w:rsidR="000634E0" w:rsidRPr="00E36AC7">
        <w:rPr>
          <w:sz w:val="20"/>
        </w:rPr>
        <w:t xml:space="preserve"> familias (</w:t>
      </w:r>
      <w:r w:rsidR="00E524EA" w:rsidRPr="00E36AC7">
        <w:rPr>
          <w:sz w:val="20"/>
        </w:rPr>
        <w:t>1</w:t>
      </w:r>
      <w:r w:rsidR="003968E8" w:rsidRPr="00E36AC7">
        <w:rPr>
          <w:sz w:val="20"/>
        </w:rPr>
        <w:t>1,</w:t>
      </w:r>
      <w:r w:rsidR="00E524EA" w:rsidRPr="00E36AC7">
        <w:rPr>
          <w:sz w:val="20"/>
        </w:rPr>
        <w:t>071</w:t>
      </w:r>
      <w:r w:rsidR="000634E0" w:rsidRPr="00E36AC7">
        <w:rPr>
          <w:sz w:val="20"/>
        </w:rPr>
        <w:t xml:space="preserve"> personas).</w:t>
      </w:r>
    </w:p>
    <w:p w:rsidR="000634E0" w:rsidRPr="00E36AC7" w:rsidRDefault="00186CB5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4" w:name="_Toc517944508"/>
      <w:r w:rsidRPr="00E36AC7">
        <w:rPr>
          <w:sz w:val="20"/>
        </w:rPr>
        <w:t>Energía Eléctrica</w:t>
      </w:r>
      <w:bookmarkEnd w:id="4"/>
    </w:p>
    <w:p w:rsidR="000634E0" w:rsidRPr="00E36AC7" w:rsidRDefault="007419F8" w:rsidP="00473FDC">
      <w:pPr>
        <w:spacing w:before="240"/>
        <w:rPr>
          <w:sz w:val="20"/>
        </w:rPr>
      </w:pPr>
      <w:r w:rsidRPr="00E36AC7">
        <w:rPr>
          <w:sz w:val="20"/>
        </w:rPr>
        <w:t xml:space="preserve">En </w:t>
      </w:r>
      <w:r w:rsidR="000634E0" w:rsidRPr="00E36AC7">
        <w:rPr>
          <w:sz w:val="20"/>
        </w:rPr>
        <w:t xml:space="preserve">proyectos de Electrificación, </w:t>
      </w:r>
      <w:r w:rsidRPr="00E36AC7">
        <w:rPr>
          <w:sz w:val="20"/>
        </w:rPr>
        <w:t xml:space="preserve">el FISDL ha invertido en </w:t>
      </w:r>
      <w:r w:rsidR="00B86ED9" w:rsidRPr="00E36AC7">
        <w:rPr>
          <w:sz w:val="20"/>
        </w:rPr>
        <w:t>40</w:t>
      </w:r>
      <w:r w:rsidRPr="00E36AC7">
        <w:rPr>
          <w:sz w:val="20"/>
        </w:rPr>
        <w:t xml:space="preserve"> municipios de PEA y PES ejecutando </w:t>
      </w:r>
      <w:r w:rsidR="00B86ED9" w:rsidRPr="00E36AC7">
        <w:rPr>
          <w:sz w:val="20"/>
        </w:rPr>
        <w:t>9</w:t>
      </w:r>
      <w:r w:rsidR="00E213C9" w:rsidRPr="00E36AC7">
        <w:rPr>
          <w:sz w:val="20"/>
        </w:rPr>
        <w:t>7</w:t>
      </w:r>
      <w:r w:rsidRPr="00E36AC7">
        <w:rPr>
          <w:sz w:val="20"/>
        </w:rPr>
        <w:t xml:space="preserve"> proyectos por un monto d</w:t>
      </w:r>
      <w:r w:rsidR="000634E0" w:rsidRPr="00E36AC7">
        <w:rPr>
          <w:sz w:val="20"/>
        </w:rPr>
        <w:t>e US$</w:t>
      </w:r>
      <w:r w:rsidR="00B86ED9" w:rsidRPr="00E36AC7">
        <w:rPr>
          <w:sz w:val="20"/>
        </w:rPr>
        <w:t>7.19</w:t>
      </w:r>
      <w:r w:rsidR="00627465" w:rsidRPr="00E36AC7">
        <w:rPr>
          <w:sz w:val="20"/>
        </w:rPr>
        <w:t xml:space="preserve"> millones</w:t>
      </w:r>
      <w:r w:rsidR="000634E0" w:rsidRPr="00E36AC7">
        <w:rPr>
          <w:sz w:val="20"/>
        </w:rPr>
        <w:t xml:space="preserve">.  Esta inversión ha beneficiado a </w:t>
      </w:r>
      <w:r w:rsidR="00B86ED9" w:rsidRPr="00E36AC7">
        <w:rPr>
          <w:sz w:val="20"/>
        </w:rPr>
        <w:t>5,</w:t>
      </w:r>
      <w:r w:rsidR="00E213C9" w:rsidRPr="00E36AC7">
        <w:rPr>
          <w:sz w:val="20"/>
        </w:rPr>
        <w:t>770</w:t>
      </w:r>
      <w:r w:rsidR="000634E0" w:rsidRPr="00E36AC7">
        <w:rPr>
          <w:sz w:val="20"/>
        </w:rPr>
        <w:t xml:space="preserve"> familias (</w:t>
      </w:r>
      <w:r w:rsidR="00B86ED9" w:rsidRPr="00E36AC7">
        <w:rPr>
          <w:sz w:val="20"/>
        </w:rPr>
        <w:t>4</w:t>
      </w:r>
      <w:r w:rsidR="00E213C9" w:rsidRPr="00E36AC7">
        <w:rPr>
          <w:sz w:val="20"/>
        </w:rPr>
        <w:t>5</w:t>
      </w:r>
      <w:r w:rsidR="00B86ED9" w:rsidRPr="00E36AC7">
        <w:rPr>
          <w:sz w:val="20"/>
        </w:rPr>
        <w:t>,</w:t>
      </w:r>
      <w:r w:rsidR="00E213C9" w:rsidRPr="00E36AC7">
        <w:rPr>
          <w:sz w:val="20"/>
        </w:rPr>
        <w:t>4</w:t>
      </w:r>
      <w:r w:rsidR="00B86ED9" w:rsidRPr="00E36AC7">
        <w:rPr>
          <w:sz w:val="20"/>
        </w:rPr>
        <w:t>69</w:t>
      </w:r>
      <w:r w:rsidR="000634E0" w:rsidRPr="00E36AC7">
        <w:rPr>
          <w:sz w:val="20"/>
        </w:rPr>
        <w:t xml:space="preserve"> personas),</w:t>
      </w:r>
      <w:r w:rsidRPr="00E36AC7">
        <w:rPr>
          <w:sz w:val="20"/>
        </w:rPr>
        <w:t xml:space="preserve"> esta inversión ha </w:t>
      </w:r>
      <w:r w:rsidR="00A01782" w:rsidRPr="00E36AC7">
        <w:rPr>
          <w:b/>
          <w:color w:val="FDA023" w:themeColor="accent1"/>
          <w:sz w:val="20"/>
        </w:rPr>
        <w:t xml:space="preserve">incrementado </w:t>
      </w:r>
      <w:r w:rsidR="00B86ED9" w:rsidRPr="00E36AC7">
        <w:rPr>
          <w:b/>
          <w:color w:val="FDA023" w:themeColor="accent1"/>
          <w:sz w:val="20"/>
        </w:rPr>
        <w:t>4.39</w:t>
      </w:r>
      <w:r w:rsidRPr="00E36AC7">
        <w:rPr>
          <w:b/>
          <w:color w:val="FDA023" w:themeColor="accent1"/>
          <w:sz w:val="20"/>
        </w:rPr>
        <w:t xml:space="preserve"> puntos porcentuales</w:t>
      </w:r>
      <w:r w:rsidR="003B033F" w:rsidRPr="00E36AC7">
        <w:rPr>
          <w:b/>
          <w:color w:val="FDA023" w:themeColor="accent1"/>
          <w:sz w:val="20"/>
        </w:rPr>
        <w:t xml:space="preserve"> en los 100 municipios</w:t>
      </w:r>
      <w:r w:rsidR="003B033F" w:rsidRPr="00E36AC7">
        <w:rPr>
          <w:color w:val="FDA023" w:themeColor="accent1"/>
          <w:sz w:val="20"/>
        </w:rPr>
        <w:t xml:space="preserve"> </w:t>
      </w:r>
      <w:r w:rsidR="003B033F" w:rsidRPr="00E36AC7">
        <w:rPr>
          <w:sz w:val="20"/>
        </w:rPr>
        <w:t>de PES y PEA</w:t>
      </w:r>
      <w:r w:rsidRPr="00E36AC7">
        <w:rPr>
          <w:sz w:val="20"/>
        </w:rPr>
        <w:t xml:space="preserve">, pasando </w:t>
      </w:r>
      <w:r w:rsidR="000634E0" w:rsidRPr="00E36AC7">
        <w:rPr>
          <w:sz w:val="20"/>
        </w:rPr>
        <w:t xml:space="preserve">de </w:t>
      </w:r>
      <w:r w:rsidRPr="00E36AC7">
        <w:rPr>
          <w:sz w:val="20"/>
        </w:rPr>
        <w:t xml:space="preserve">ser </w:t>
      </w:r>
      <w:r w:rsidR="00EC1C05" w:rsidRPr="00E36AC7">
        <w:rPr>
          <w:sz w:val="20"/>
        </w:rPr>
        <w:t>82.51%</w:t>
      </w:r>
      <w:r w:rsidR="000634E0" w:rsidRPr="00E36AC7">
        <w:rPr>
          <w:sz w:val="20"/>
        </w:rPr>
        <w:t xml:space="preserve"> </w:t>
      </w:r>
      <w:r w:rsidRPr="00E36AC7">
        <w:rPr>
          <w:sz w:val="20"/>
        </w:rPr>
        <w:t xml:space="preserve">a </w:t>
      </w:r>
      <w:r w:rsidR="00B86ED9" w:rsidRPr="00E36AC7">
        <w:rPr>
          <w:sz w:val="20"/>
        </w:rPr>
        <w:t>89.90</w:t>
      </w:r>
      <w:r w:rsidRPr="00E36AC7">
        <w:rPr>
          <w:sz w:val="20"/>
        </w:rPr>
        <w:t>%.</w:t>
      </w:r>
    </w:p>
    <w:p w:rsidR="000634E0" w:rsidRPr="00E36AC7" w:rsidRDefault="00473FDC" w:rsidP="0000294A">
      <w:pPr>
        <w:rPr>
          <w:sz w:val="20"/>
        </w:rPr>
      </w:pPr>
      <w:r w:rsidRPr="00E36AC7">
        <w:rPr>
          <w:sz w:val="20"/>
        </w:rPr>
        <w:t>La inversión en municipios de Pobreza Extrema Moderada (PEM) y Baja (PEB) fue de USD</w:t>
      </w:r>
      <w:r w:rsidR="00EC1C05" w:rsidRPr="00E36AC7">
        <w:rPr>
          <w:sz w:val="20"/>
        </w:rPr>
        <w:t>1.</w:t>
      </w:r>
      <w:r w:rsidR="00B86ED9" w:rsidRPr="00E36AC7">
        <w:rPr>
          <w:sz w:val="20"/>
        </w:rPr>
        <w:t>61</w:t>
      </w:r>
      <w:r w:rsidRPr="00E36AC7">
        <w:rPr>
          <w:sz w:val="20"/>
        </w:rPr>
        <w:t xml:space="preserve"> mil</w:t>
      </w:r>
      <w:r w:rsidR="00EC1C05" w:rsidRPr="00E36AC7">
        <w:rPr>
          <w:sz w:val="20"/>
        </w:rPr>
        <w:t>lones</w:t>
      </w:r>
      <w:r w:rsidRPr="00E36AC7">
        <w:rPr>
          <w:sz w:val="20"/>
        </w:rPr>
        <w:t xml:space="preserve">, invirtiendo en </w:t>
      </w:r>
      <w:r w:rsidR="00B86ED9" w:rsidRPr="00E36AC7">
        <w:rPr>
          <w:sz w:val="20"/>
        </w:rPr>
        <w:t>15</w:t>
      </w:r>
      <w:r w:rsidRPr="00E36AC7">
        <w:rPr>
          <w:sz w:val="20"/>
        </w:rPr>
        <w:t xml:space="preserve"> municipios con la ejecución de </w:t>
      </w:r>
      <w:r w:rsidR="00B86ED9" w:rsidRPr="00E36AC7">
        <w:rPr>
          <w:sz w:val="20"/>
        </w:rPr>
        <w:t>22</w:t>
      </w:r>
      <w:r w:rsidRPr="00E36AC7">
        <w:rPr>
          <w:sz w:val="20"/>
        </w:rPr>
        <w:t xml:space="preserve"> proyetos de energía eléctrica y</w:t>
      </w:r>
      <w:r w:rsidR="00186CB5" w:rsidRPr="00E36AC7">
        <w:rPr>
          <w:sz w:val="20"/>
        </w:rPr>
        <w:t xml:space="preserve"> beneficia</w:t>
      </w:r>
      <w:r w:rsidRPr="00E36AC7">
        <w:rPr>
          <w:sz w:val="20"/>
        </w:rPr>
        <w:t xml:space="preserve">ndo a </w:t>
      </w:r>
      <w:r w:rsidR="00B86ED9" w:rsidRPr="00E36AC7">
        <w:rPr>
          <w:sz w:val="20"/>
        </w:rPr>
        <w:t>722</w:t>
      </w:r>
      <w:r w:rsidRPr="00E36AC7">
        <w:rPr>
          <w:sz w:val="20"/>
        </w:rPr>
        <w:t xml:space="preserve"> familias, equivalente a </w:t>
      </w:r>
      <w:r w:rsidR="00B86ED9" w:rsidRPr="00E36AC7">
        <w:rPr>
          <w:sz w:val="20"/>
        </w:rPr>
        <w:t>3,457</w:t>
      </w:r>
      <w:r w:rsidR="00186CB5" w:rsidRPr="00E36AC7">
        <w:rPr>
          <w:sz w:val="20"/>
        </w:rPr>
        <w:t xml:space="preserve"> personas</w:t>
      </w:r>
      <w:r w:rsidRPr="00E36AC7">
        <w:rPr>
          <w:sz w:val="20"/>
        </w:rPr>
        <w:t>.</w:t>
      </w:r>
    </w:p>
    <w:p w:rsidR="000634E0" w:rsidRPr="00E36AC7" w:rsidRDefault="00186CB5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5" w:name="_Toc517944509"/>
      <w:r w:rsidRPr="00E36AC7">
        <w:rPr>
          <w:sz w:val="20"/>
        </w:rPr>
        <w:t>Energía Eléctrica - FINET</w:t>
      </w:r>
      <w:bookmarkEnd w:id="5"/>
    </w:p>
    <w:p w:rsidR="00473FDC" w:rsidRPr="00E36AC7" w:rsidRDefault="00473FDC" w:rsidP="00473FDC">
      <w:pPr>
        <w:spacing w:before="240" w:after="0"/>
        <w:rPr>
          <w:sz w:val="20"/>
        </w:rPr>
      </w:pPr>
      <w:r w:rsidRPr="00E36AC7">
        <w:rPr>
          <w:sz w:val="20"/>
        </w:rPr>
        <w:t xml:space="preserve">El FINET es uno de los fondos que contribuye a la ejecución de proyectos de energía eléctrica, para el período al que se refiere este informe, se invirtió en </w:t>
      </w:r>
      <w:r w:rsidR="00A90D9E" w:rsidRPr="00E36AC7">
        <w:rPr>
          <w:sz w:val="20"/>
        </w:rPr>
        <w:t>1</w:t>
      </w:r>
      <w:r w:rsidR="00CE5383" w:rsidRPr="00E36AC7">
        <w:rPr>
          <w:sz w:val="20"/>
        </w:rPr>
        <w:t>8</w:t>
      </w:r>
      <w:r w:rsidRPr="00E36AC7">
        <w:rPr>
          <w:sz w:val="20"/>
        </w:rPr>
        <w:t xml:space="preserve"> </w:t>
      </w:r>
      <w:r w:rsidR="000634E0" w:rsidRPr="00E36AC7">
        <w:rPr>
          <w:sz w:val="20"/>
        </w:rPr>
        <w:t>municipios de Pobreza Extr</w:t>
      </w:r>
      <w:r w:rsidRPr="00E36AC7">
        <w:rPr>
          <w:sz w:val="20"/>
        </w:rPr>
        <w:t xml:space="preserve">ema Moderada (PEM) y Baja (PEB) un monto de </w:t>
      </w:r>
      <w:r w:rsidR="000634E0" w:rsidRPr="00E36AC7">
        <w:rPr>
          <w:sz w:val="20"/>
        </w:rPr>
        <w:t xml:space="preserve"> US$</w:t>
      </w:r>
      <w:r w:rsidR="00A90D9E" w:rsidRPr="00E36AC7">
        <w:rPr>
          <w:sz w:val="20"/>
        </w:rPr>
        <w:t>1.8</w:t>
      </w:r>
      <w:r w:rsidR="00CE5383" w:rsidRPr="00E36AC7">
        <w:rPr>
          <w:sz w:val="20"/>
        </w:rPr>
        <w:t>8</w:t>
      </w:r>
      <w:r w:rsidR="000634E0" w:rsidRPr="00E36AC7">
        <w:rPr>
          <w:sz w:val="20"/>
        </w:rPr>
        <w:t xml:space="preserve"> mil</w:t>
      </w:r>
      <w:r w:rsidR="00A90D9E" w:rsidRPr="00E36AC7">
        <w:rPr>
          <w:sz w:val="20"/>
        </w:rPr>
        <w:t>lones</w:t>
      </w:r>
      <w:r w:rsidR="000634E0" w:rsidRPr="00E36AC7">
        <w:rPr>
          <w:sz w:val="20"/>
        </w:rPr>
        <w:t xml:space="preserve">, </w:t>
      </w:r>
      <w:r w:rsidRPr="00E36AC7">
        <w:rPr>
          <w:sz w:val="20"/>
        </w:rPr>
        <w:t xml:space="preserve">y se ejecutaron un total de </w:t>
      </w:r>
      <w:r w:rsidR="00CE5383" w:rsidRPr="00E36AC7">
        <w:rPr>
          <w:sz w:val="20"/>
        </w:rPr>
        <w:t>50</w:t>
      </w:r>
      <w:r w:rsidRPr="00E36AC7">
        <w:rPr>
          <w:sz w:val="20"/>
        </w:rPr>
        <w:t xml:space="preserve"> proyectos, los cuales beneficiaron </w:t>
      </w:r>
      <w:r w:rsidR="000634E0" w:rsidRPr="00E36AC7">
        <w:rPr>
          <w:sz w:val="20"/>
        </w:rPr>
        <w:t xml:space="preserve">a </w:t>
      </w:r>
      <w:r w:rsidR="00A90D9E" w:rsidRPr="00E36AC7">
        <w:rPr>
          <w:sz w:val="20"/>
        </w:rPr>
        <w:t>1,</w:t>
      </w:r>
      <w:r w:rsidR="00CE5383" w:rsidRPr="00E36AC7">
        <w:rPr>
          <w:sz w:val="20"/>
        </w:rPr>
        <w:t xml:space="preserve">506 </w:t>
      </w:r>
      <w:r w:rsidR="000634E0" w:rsidRPr="00E36AC7">
        <w:rPr>
          <w:sz w:val="20"/>
        </w:rPr>
        <w:t>familias (</w:t>
      </w:r>
      <w:r w:rsidR="00EC5999">
        <w:rPr>
          <w:sz w:val="20"/>
        </w:rPr>
        <w:t>7,530</w:t>
      </w:r>
      <w:r w:rsidR="000634E0" w:rsidRPr="00E36AC7">
        <w:rPr>
          <w:sz w:val="20"/>
        </w:rPr>
        <w:t xml:space="preserve"> personas)</w:t>
      </w:r>
      <w:r w:rsidRPr="00E36AC7">
        <w:rPr>
          <w:sz w:val="20"/>
        </w:rPr>
        <w:t>.</w:t>
      </w:r>
    </w:p>
    <w:p w:rsidR="000634E0" w:rsidRPr="00E36AC7" w:rsidRDefault="00473FDC" w:rsidP="0000294A">
      <w:pPr>
        <w:rPr>
          <w:sz w:val="20"/>
        </w:rPr>
      </w:pPr>
      <w:r w:rsidRPr="00E36AC7">
        <w:rPr>
          <w:sz w:val="20"/>
        </w:rPr>
        <w:t xml:space="preserve">La inversión total </w:t>
      </w:r>
      <w:r w:rsidR="001A3B36" w:rsidRPr="00E36AC7">
        <w:rPr>
          <w:sz w:val="20"/>
        </w:rPr>
        <w:t xml:space="preserve">en los </w:t>
      </w:r>
      <w:r w:rsidR="00CE5383" w:rsidRPr="00E36AC7">
        <w:rPr>
          <w:sz w:val="20"/>
        </w:rPr>
        <w:t>cuatro</w:t>
      </w:r>
      <w:r w:rsidR="001A3B36" w:rsidRPr="00E36AC7">
        <w:rPr>
          <w:sz w:val="20"/>
        </w:rPr>
        <w:t xml:space="preserve"> años</w:t>
      </w:r>
      <w:r w:rsidRPr="00E36AC7">
        <w:rPr>
          <w:sz w:val="20"/>
        </w:rPr>
        <w:t xml:space="preserve"> de gestión realizada por el FISDL y por FINET </w:t>
      </w:r>
      <w:r w:rsidR="00A90D9E" w:rsidRPr="00E36AC7">
        <w:rPr>
          <w:sz w:val="20"/>
        </w:rPr>
        <w:t xml:space="preserve">(exceptuando PFGL) </w:t>
      </w:r>
      <w:r w:rsidRPr="00E36AC7">
        <w:rPr>
          <w:sz w:val="20"/>
        </w:rPr>
        <w:t>en energía electrica para los municipios de pobreza extrema moderada y baja asciende a US$</w:t>
      </w:r>
      <w:r w:rsidR="00A90D9E" w:rsidRPr="00E36AC7">
        <w:rPr>
          <w:sz w:val="20"/>
        </w:rPr>
        <w:t>3.</w:t>
      </w:r>
      <w:r w:rsidR="00CE5383" w:rsidRPr="00E36AC7">
        <w:rPr>
          <w:sz w:val="20"/>
        </w:rPr>
        <w:t>47</w:t>
      </w:r>
      <w:r w:rsidRPr="00E36AC7">
        <w:rPr>
          <w:sz w:val="20"/>
        </w:rPr>
        <w:t xml:space="preserve"> mil</w:t>
      </w:r>
      <w:r w:rsidR="00A90D9E" w:rsidRPr="00E36AC7">
        <w:rPr>
          <w:sz w:val="20"/>
        </w:rPr>
        <w:t>lones</w:t>
      </w:r>
      <w:r w:rsidRPr="00E36AC7">
        <w:rPr>
          <w:sz w:val="20"/>
        </w:rPr>
        <w:t>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6" w:name="_Toc517944511"/>
      <w:r w:rsidRPr="00E36AC7">
        <w:rPr>
          <w:sz w:val="20"/>
        </w:rPr>
        <w:t xml:space="preserve">Establecimientos de </w:t>
      </w:r>
      <w:r w:rsidR="00C25F79" w:rsidRPr="00E36AC7">
        <w:rPr>
          <w:sz w:val="20"/>
        </w:rPr>
        <w:t>s</w:t>
      </w:r>
      <w:r w:rsidRPr="00E36AC7">
        <w:rPr>
          <w:sz w:val="20"/>
        </w:rPr>
        <w:t>alud</w:t>
      </w:r>
      <w:bookmarkEnd w:id="6"/>
    </w:p>
    <w:p w:rsidR="000634E0" w:rsidRPr="00E36AC7" w:rsidRDefault="00ED3EDA" w:rsidP="0000294A">
      <w:pPr>
        <w:rPr>
          <w:sz w:val="20"/>
        </w:rPr>
      </w:pPr>
      <w:r w:rsidRPr="00E36AC7">
        <w:rPr>
          <w:sz w:val="20"/>
        </w:rPr>
        <w:t xml:space="preserve">En esta categoría la institución </w:t>
      </w:r>
      <w:r w:rsidR="000634E0" w:rsidRPr="00E36AC7">
        <w:rPr>
          <w:sz w:val="20"/>
        </w:rPr>
        <w:t>ha invertid</w:t>
      </w:r>
      <w:r w:rsidRPr="00E36AC7">
        <w:rPr>
          <w:sz w:val="20"/>
        </w:rPr>
        <w:t>o US$</w:t>
      </w:r>
      <w:r w:rsidR="00802CCF" w:rsidRPr="00E36AC7">
        <w:rPr>
          <w:sz w:val="20"/>
        </w:rPr>
        <w:t>7.09</w:t>
      </w:r>
      <w:r w:rsidRPr="00E36AC7">
        <w:rPr>
          <w:sz w:val="20"/>
        </w:rPr>
        <w:t xml:space="preserve"> mi</w:t>
      </w:r>
      <w:r w:rsidR="001F5933" w:rsidRPr="00E36AC7">
        <w:rPr>
          <w:sz w:val="20"/>
        </w:rPr>
        <w:t xml:space="preserve">llones ejecutando un total de </w:t>
      </w:r>
      <w:r w:rsidR="00251DED" w:rsidRPr="00E36AC7">
        <w:rPr>
          <w:sz w:val="20"/>
        </w:rPr>
        <w:t>8</w:t>
      </w:r>
      <w:r w:rsidR="00802CCF" w:rsidRPr="00E36AC7">
        <w:rPr>
          <w:sz w:val="20"/>
        </w:rPr>
        <w:t>4</w:t>
      </w:r>
      <w:r w:rsidRPr="00E36AC7">
        <w:rPr>
          <w:sz w:val="20"/>
        </w:rPr>
        <w:t xml:space="preserve"> </w:t>
      </w:r>
      <w:r w:rsidR="000634E0" w:rsidRPr="00E36AC7">
        <w:rPr>
          <w:sz w:val="20"/>
        </w:rPr>
        <w:t>proyectos de construcción y equipamientos de Unidades Comunitarias de Salud Familiar Básica</w:t>
      </w:r>
      <w:r w:rsidR="00E827EA" w:rsidRPr="00E36AC7">
        <w:rPr>
          <w:sz w:val="20"/>
        </w:rPr>
        <w:t xml:space="preserve"> - UCSFB</w:t>
      </w:r>
      <w:r w:rsidR="000634E0" w:rsidRPr="00E36AC7">
        <w:rPr>
          <w:sz w:val="20"/>
        </w:rPr>
        <w:t>.</w:t>
      </w:r>
    </w:p>
    <w:p w:rsidR="000634E0" w:rsidRPr="00E36AC7" w:rsidRDefault="00C3449A" w:rsidP="0000294A">
      <w:pPr>
        <w:rPr>
          <w:sz w:val="20"/>
        </w:rPr>
      </w:pPr>
      <w:r w:rsidRPr="00E36AC7">
        <w:rPr>
          <w:sz w:val="20"/>
        </w:rPr>
        <w:t xml:space="preserve">Con la construcción de </w:t>
      </w:r>
      <w:r w:rsidR="00251DED" w:rsidRPr="00E36AC7">
        <w:rPr>
          <w:sz w:val="20"/>
        </w:rPr>
        <w:t>3</w:t>
      </w:r>
      <w:r w:rsidR="00802CCF" w:rsidRPr="00E36AC7">
        <w:rPr>
          <w:sz w:val="20"/>
        </w:rPr>
        <w:t>7</w:t>
      </w:r>
      <w:r w:rsidRPr="00E36AC7">
        <w:rPr>
          <w:sz w:val="20"/>
        </w:rPr>
        <w:t xml:space="preserve"> UCSFB en </w:t>
      </w:r>
      <w:r w:rsidR="00251DED" w:rsidRPr="00E36AC7">
        <w:rPr>
          <w:sz w:val="20"/>
        </w:rPr>
        <w:t>2</w:t>
      </w:r>
      <w:r w:rsidR="00802CCF" w:rsidRPr="00E36AC7">
        <w:rPr>
          <w:sz w:val="20"/>
        </w:rPr>
        <w:t>3</w:t>
      </w:r>
      <w:r w:rsidRPr="00E36AC7">
        <w:rPr>
          <w:sz w:val="20"/>
        </w:rPr>
        <w:t xml:space="preserve"> municipios </w:t>
      </w:r>
      <w:r w:rsidR="00ED3EDA" w:rsidRPr="00E36AC7">
        <w:rPr>
          <w:sz w:val="20"/>
        </w:rPr>
        <w:t>se</w:t>
      </w:r>
      <w:r w:rsidR="000634E0" w:rsidRPr="00E36AC7">
        <w:rPr>
          <w:sz w:val="20"/>
        </w:rPr>
        <w:t xml:space="preserve"> ha beneficiado a más de </w:t>
      </w:r>
      <w:r w:rsidR="00251DED" w:rsidRPr="00E36AC7">
        <w:rPr>
          <w:sz w:val="20"/>
        </w:rPr>
        <w:t>116</w:t>
      </w:r>
      <w:r w:rsidR="000634E0" w:rsidRPr="00E36AC7">
        <w:rPr>
          <w:sz w:val="20"/>
        </w:rPr>
        <w:t xml:space="preserve"> mil personas, y </w:t>
      </w:r>
      <w:r w:rsidR="001F5933" w:rsidRPr="00E36AC7">
        <w:rPr>
          <w:sz w:val="20"/>
        </w:rPr>
        <w:t xml:space="preserve">con </w:t>
      </w:r>
      <w:r w:rsidR="00251DED" w:rsidRPr="00E36AC7">
        <w:rPr>
          <w:sz w:val="20"/>
        </w:rPr>
        <w:t>4</w:t>
      </w:r>
      <w:r w:rsidR="00E76866" w:rsidRPr="00E36AC7">
        <w:rPr>
          <w:sz w:val="20"/>
        </w:rPr>
        <w:t>5</w:t>
      </w:r>
      <w:r w:rsidR="00251DED" w:rsidRPr="00E36AC7">
        <w:rPr>
          <w:sz w:val="20"/>
        </w:rPr>
        <w:t xml:space="preserve"> proyectos de </w:t>
      </w:r>
      <w:r w:rsidR="001F5933" w:rsidRPr="00E36AC7">
        <w:rPr>
          <w:sz w:val="20"/>
        </w:rPr>
        <w:t xml:space="preserve"> equipamiento de </w:t>
      </w:r>
      <w:r w:rsidRPr="00E36AC7">
        <w:rPr>
          <w:sz w:val="20"/>
        </w:rPr>
        <w:t xml:space="preserve">UCSFB </w:t>
      </w:r>
      <w:r w:rsidR="00C25F79" w:rsidRPr="00E36AC7">
        <w:rPr>
          <w:sz w:val="20"/>
        </w:rPr>
        <w:t>que</w:t>
      </w:r>
      <w:r w:rsidR="00524837" w:rsidRPr="00E36AC7">
        <w:rPr>
          <w:sz w:val="20"/>
        </w:rPr>
        <w:t xml:space="preserve"> ha</w:t>
      </w:r>
      <w:r w:rsidR="00C25F79" w:rsidRPr="00E36AC7">
        <w:rPr>
          <w:sz w:val="20"/>
        </w:rPr>
        <w:t>n</w:t>
      </w:r>
      <w:r w:rsidR="00524837" w:rsidRPr="00E36AC7">
        <w:rPr>
          <w:sz w:val="20"/>
        </w:rPr>
        <w:t xml:space="preserve"> beneficiado a</w:t>
      </w:r>
      <w:r w:rsidR="000634E0" w:rsidRPr="00E36AC7">
        <w:rPr>
          <w:sz w:val="20"/>
        </w:rPr>
        <w:t xml:space="preserve"> </w:t>
      </w:r>
      <w:r w:rsidR="00251DED" w:rsidRPr="00E36AC7">
        <w:rPr>
          <w:sz w:val="20"/>
        </w:rPr>
        <w:t xml:space="preserve">más de </w:t>
      </w:r>
      <w:r w:rsidR="00E76866" w:rsidRPr="00E36AC7">
        <w:rPr>
          <w:sz w:val="20"/>
        </w:rPr>
        <w:t>496</w:t>
      </w:r>
      <w:r w:rsidR="00251DED" w:rsidRPr="00E36AC7">
        <w:rPr>
          <w:sz w:val="20"/>
        </w:rPr>
        <w:t xml:space="preserve"> mil</w:t>
      </w:r>
      <w:r w:rsidR="000634E0" w:rsidRPr="00E36AC7">
        <w:rPr>
          <w:sz w:val="20"/>
        </w:rPr>
        <w:t xml:space="preserve"> personas. 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7" w:name="_Toc517944512"/>
      <w:r w:rsidRPr="00E36AC7">
        <w:rPr>
          <w:sz w:val="20"/>
        </w:rPr>
        <w:t xml:space="preserve">Centros </w:t>
      </w:r>
      <w:r w:rsidR="00C25F79" w:rsidRPr="00E36AC7">
        <w:rPr>
          <w:sz w:val="20"/>
        </w:rPr>
        <w:t>e</w:t>
      </w:r>
      <w:r w:rsidRPr="00E36AC7">
        <w:rPr>
          <w:sz w:val="20"/>
        </w:rPr>
        <w:t>scolares</w:t>
      </w:r>
      <w:bookmarkEnd w:id="7"/>
    </w:p>
    <w:p w:rsidR="000634E0" w:rsidRPr="00E36AC7" w:rsidRDefault="003B62F7" w:rsidP="0000294A">
      <w:pPr>
        <w:rPr>
          <w:sz w:val="20"/>
          <w:highlight w:val="yellow"/>
        </w:rPr>
      </w:pPr>
      <w:r w:rsidRPr="00E36AC7">
        <w:rPr>
          <w:sz w:val="20"/>
        </w:rPr>
        <w:t>E</w:t>
      </w:r>
      <w:r w:rsidR="000634E0" w:rsidRPr="00E36AC7">
        <w:rPr>
          <w:sz w:val="20"/>
        </w:rPr>
        <w:t>l FISDL ha invertido US$</w:t>
      </w:r>
      <w:r w:rsidR="001A5598" w:rsidRPr="00E36AC7">
        <w:rPr>
          <w:sz w:val="20"/>
        </w:rPr>
        <w:t>7.39</w:t>
      </w:r>
      <w:r w:rsidR="000634E0" w:rsidRPr="00E36AC7">
        <w:rPr>
          <w:sz w:val="20"/>
        </w:rPr>
        <w:t xml:space="preserve"> millones en </w:t>
      </w:r>
      <w:r w:rsidR="00C3449A" w:rsidRPr="00E36AC7">
        <w:rPr>
          <w:sz w:val="20"/>
        </w:rPr>
        <w:t xml:space="preserve">proyectos de </w:t>
      </w:r>
      <w:r w:rsidR="000634E0" w:rsidRPr="00E36AC7">
        <w:rPr>
          <w:sz w:val="20"/>
        </w:rPr>
        <w:t>Infraestruc</w:t>
      </w:r>
      <w:r w:rsidR="00E827EA" w:rsidRPr="00E36AC7">
        <w:rPr>
          <w:sz w:val="20"/>
        </w:rPr>
        <w:t>tura y Equipamiento en Educación</w:t>
      </w:r>
      <w:r w:rsidR="00DA7B13" w:rsidRPr="00E36AC7">
        <w:rPr>
          <w:sz w:val="20"/>
        </w:rPr>
        <w:t xml:space="preserve">.  </w:t>
      </w:r>
    </w:p>
    <w:p w:rsidR="000634E0" w:rsidRPr="00E36AC7" w:rsidRDefault="000634E0" w:rsidP="0000294A">
      <w:pPr>
        <w:rPr>
          <w:sz w:val="20"/>
        </w:rPr>
      </w:pPr>
      <w:r w:rsidRPr="00E36AC7">
        <w:rPr>
          <w:sz w:val="20"/>
        </w:rPr>
        <w:lastRenderedPageBreak/>
        <w:t xml:space="preserve">Esta inversión ha permitido la ampliación, mejoramiento, construcción y rehabilitación de </w:t>
      </w:r>
      <w:r w:rsidR="001A5598" w:rsidRPr="00E36AC7">
        <w:rPr>
          <w:sz w:val="20"/>
        </w:rPr>
        <w:t>53</w:t>
      </w:r>
      <w:r w:rsidRPr="00E36AC7">
        <w:rPr>
          <w:sz w:val="20"/>
        </w:rPr>
        <w:t xml:space="preserve"> Centros Escolares en </w:t>
      </w:r>
      <w:r w:rsidR="001A5598" w:rsidRPr="00E36AC7">
        <w:rPr>
          <w:sz w:val="20"/>
        </w:rPr>
        <w:t>40</w:t>
      </w:r>
      <w:r w:rsidRPr="00E36AC7">
        <w:rPr>
          <w:sz w:val="20"/>
        </w:rPr>
        <w:t xml:space="preserve"> municipios, beneficiando a </w:t>
      </w:r>
      <w:r w:rsidR="001A5598" w:rsidRPr="00E36AC7">
        <w:rPr>
          <w:sz w:val="20"/>
        </w:rPr>
        <w:t>119,636</w:t>
      </w:r>
      <w:r w:rsidRPr="00E36AC7">
        <w:rPr>
          <w:sz w:val="20"/>
        </w:rPr>
        <w:t xml:space="preserve"> personas; así mismo se han equipado </w:t>
      </w:r>
      <w:r w:rsidR="005B1ACA" w:rsidRPr="00E36AC7">
        <w:rPr>
          <w:sz w:val="20"/>
        </w:rPr>
        <w:t>6</w:t>
      </w:r>
      <w:r w:rsidRPr="00E36AC7">
        <w:rPr>
          <w:sz w:val="20"/>
        </w:rPr>
        <w:t xml:space="preserve"> Centros Escolares en varios municipios, </w:t>
      </w:r>
      <w:r w:rsidR="00DA7B13" w:rsidRPr="00E36AC7">
        <w:rPr>
          <w:sz w:val="20"/>
        </w:rPr>
        <w:t xml:space="preserve">beneficiando a </w:t>
      </w:r>
      <w:r w:rsidR="005B1ACA" w:rsidRPr="00E36AC7">
        <w:rPr>
          <w:sz w:val="20"/>
        </w:rPr>
        <w:t>21,685</w:t>
      </w:r>
      <w:r w:rsidR="00DA7B13" w:rsidRPr="00E36AC7">
        <w:rPr>
          <w:sz w:val="20"/>
        </w:rPr>
        <w:t xml:space="preserve"> personas.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8" w:name="_Toc517944513"/>
      <w:r w:rsidRPr="00E36AC7">
        <w:rPr>
          <w:sz w:val="20"/>
        </w:rPr>
        <w:t xml:space="preserve">Espacios para </w:t>
      </w:r>
      <w:r w:rsidR="0086759C" w:rsidRPr="00E36AC7">
        <w:rPr>
          <w:sz w:val="20"/>
        </w:rPr>
        <w:t xml:space="preserve">la prevención de violencia, </w:t>
      </w:r>
      <w:r w:rsidRPr="00E36AC7">
        <w:rPr>
          <w:sz w:val="20"/>
        </w:rPr>
        <w:t xml:space="preserve"> esparcimiento y desarrollo personal</w:t>
      </w:r>
      <w:bookmarkEnd w:id="8"/>
    </w:p>
    <w:p w:rsidR="000634E0" w:rsidRPr="00E36AC7" w:rsidRDefault="00C3449A" w:rsidP="00A04318">
      <w:pPr>
        <w:spacing w:before="240"/>
        <w:rPr>
          <w:sz w:val="20"/>
        </w:rPr>
      </w:pPr>
      <w:r w:rsidRPr="00E36AC7">
        <w:rPr>
          <w:sz w:val="20"/>
        </w:rPr>
        <w:t xml:space="preserve">En infraestructura para </w:t>
      </w:r>
      <w:r w:rsidR="0086759C" w:rsidRPr="00E36AC7">
        <w:rPr>
          <w:sz w:val="20"/>
        </w:rPr>
        <w:t>la prevención de violencia,</w:t>
      </w:r>
      <w:r w:rsidRPr="00E36AC7">
        <w:rPr>
          <w:sz w:val="20"/>
        </w:rPr>
        <w:t xml:space="preserve"> esparcimiento y desarrollo personal</w:t>
      </w:r>
      <w:r w:rsidR="003B033F" w:rsidRPr="00E36AC7">
        <w:rPr>
          <w:sz w:val="20"/>
        </w:rPr>
        <w:t>,</w:t>
      </w:r>
      <w:r w:rsidRPr="00E36AC7">
        <w:rPr>
          <w:sz w:val="20"/>
        </w:rPr>
        <w:t xml:space="preserve"> </w:t>
      </w:r>
      <w:r w:rsidR="000634E0" w:rsidRPr="00E36AC7">
        <w:rPr>
          <w:sz w:val="20"/>
        </w:rPr>
        <w:t xml:space="preserve">el FISDL ha invertido </w:t>
      </w:r>
      <w:r w:rsidRPr="00E36AC7">
        <w:rPr>
          <w:sz w:val="20"/>
        </w:rPr>
        <w:t xml:space="preserve">un monto de </w:t>
      </w:r>
      <w:r w:rsidR="000634E0" w:rsidRPr="00E36AC7">
        <w:rPr>
          <w:sz w:val="20"/>
        </w:rPr>
        <w:t>US$</w:t>
      </w:r>
      <w:r w:rsidR="000615BB" w:rsidRPr="00E36AC7">
        <w:rPr>
          <w:sz w:val="20"/>
        </w:rPr>
        <w:t>8.61</w:t>
      </w:r>
      <w:r w:rsidR="000634E0" w:rsidRPr="00E36AC7">
        <w:rPr>
          <w:sz w:val="20"/>
        </w:rPr>
        <w:t xml:space="preserve"> mil</w:t>
      </w:r>
      <w:r w:rsidR="00467B9D" w:rsidRPr="00E36AC7">
        <w:rPr>
          <w:sz w:val="20"/>
        </w:rPr>
        <w:t>lones</w:t>
      </w:r>
      <w:r w:rsidRPr="00E36AC7">
        <w:rPr>
          <w:sz w:val="20"/>
        </w:rPr>
        <w:t>.</w:t>
      </w:r>
    </w:p>
    <w:p w:rsidR="0086759C" w:rsidRPr="00E36AC7" w:rsidRDefault="009853F4" w:rsidP="0000294A">
      <w:pPr>
        <w:rPr>
          <w:sz w:val="20"/>
        </w:rPr>
      </w:pPr>
      <w:r w:rsidRPr="00E36AC7">
        <w:rPr>
          <w:sz w:val="20"/>
        </w:rPr>
        <w:t>Esta inversión</w:t>
      </w:r>
      <w:r w:rsidR="000634E0" w:rsidRPr="00E36AC7">
        <w:rPr>
          <w:sz w:val="20"/>
        </w:rPr>
        <w:t xml:space="preserve"> incluye</w:t>
      </w:r>
      <w:r w:rsidR="0086759C" w:rsidRPr="00E36AC7">
        <w:rPr>
          <w:sz w:val="20"/>
        </w:rPr>
        <w:t>:</w:t>
      </w:r>
    </w:p>
    <w:tbl>
      <w:tblPr>
        <w:tblStyle w:val="Listaclara-nfasis1"/>
        <w:tblW w:w="0" w:type="auto"/>
        <w:tblLook w:val="0460" w:firstRow="1" w:lastRow="1" w:firstColumn="0" w:lastColumn="0" w:noHBand="0" w:noVBand="1"/>
      </w:tblPr>
      <w:tblGrid>
        <w:gridCol w:w="3744"/>
        <w:gridCol w:w="2334"/>
        <w:gridCol w:w="2507"/>
        <w:gridCol w:w="1603"/>
      </w:tblGrid>
      <w:tr w:rsidR="00223E25" w:rsidRPr="00223E25" w:rsidTr="0022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  <w:t>Tipo de proyecto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  <w:t>Cantidad de proyectos ejecutados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  <w:t>Cantidad de municipios beneficiados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  <w:t>Personas beneficiadas</w:t>
            </w:r>
          </w:p>
        </w:tc>
      </w:tr>
      <w:tr w:rsidR="00223E25" w:rsidRPr="00223E25" w:rsidTr="0022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Prevención de violencia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69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1,462,397</w:t>
            </w:r>
          </w:p>
        </w:tc>
      </w:tr>
      <w:tr w:rsidR="00223E25" w:rsidRPr="00223E25" w:rsidTr="00223E25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Adecuaciones de espacios para personas adultas mayores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55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54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47,944</w:t>
            </w:r>
          </w:p>
        </w:tc>
      </w:tr>
      <w:tr w:rsidR="00223E25" w:rsidRPr="00223E25" w:rsidTr="0022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Desarrollo Comunal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9,613</w:t>
            </w:r>
          </w:p>
        </w:tc>
      </w:tr>
      <w:tr w:rsidR="00223E25" w:rsidRPr="00223E25" w:rsidTr="00223E25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Finalización de Ciudad Mujer Morazán y Santa Ana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181,535</w:t>
            </w:r>
          </w:p>
        </w:tc>
      </w:tr>
      <w:tr w:rsidR="00223E25" w:rsidRPr="00223E25" w:rsidTr="00223E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81</w:t>
            </w:r>
          </w:p>
        </w:tc>
        <w:tc>
          <w:tcPr>
            <w:tcW w:w="0" w:type="auto"/>
            <w:noWrap/>
            <w:vAlign w:val="center"/>
            <w:hideMark/>
          </w:tcPr>
          <w:p w:rsidR="003C751A" w:rsidRPr="00223E25" w:rsidRDefault="003C751A" w:rsidP="003C751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1,701,489</w:t>
            </w:r>
          </w:p>
        </w:tc>
      </w:tr>
    </w:tbl>
    <w:p w:rsidR="00C67348" w:rsidRPr="00E36AC7" w:rsidRDefault="00C67348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9" w:name="_Toc517944514"/>
      <w:r w:rsidRPr="00E36AC7">
        <w:rPr>
          <w:sz w:val="20"/>
        </w:rPr>
        <w:t xml:space="preserve">Infraestructura para </w:t>
      </w:r>
      <w:r w:rsidR="00C25F79" w:rsidRPr="00E36AC7">
        <w:rPr>
          <w:sz w:val="20"/>
        </w:rPr>
        <w:t>la gestión de riesgos</w:t>
      </w:r>
      <w:bookmarkEnd w:id="9"/>
    </w:p>
    <w:p w:rsidR="00C67348" w:rsidRPr="00E36AC7" w:rsidRDefault="00C67348" w:rsidP="00C67348">
      <w:pPr>
        <w:spacing w:before="240"/>
        <w:rPr>
          <w:sz w:val="20"/>
        </w:rPr>
      </w:pPr>
      <w:r w:rsidRPr="00E36AC7">
        <w:rPr>
          <w:sz w:val="20"/>
        </w:rPr>
        <w:t>El FISDL ha invertido un monto de US$0.22 millones en proyectos de Gestión de Riesgos.</w:t>
      </w:r>
    </w:p>
    <w:p w:rsidR="00C67348" w:rsidRPr="00E36AC7" w:rsidRDefault="00C67348" w:rsidP="00C67348">
      <w:pPr>
        <w:rPr>
          <w:sz w:val="20"/>
        </w:rPr>
      </w:pPr>
      <w:r w:rsidRPr="00E36AC7">
        <w:rPr>
          <w:sz w:val="20"/>
        </w:rPr>
        <w:t>Esta inversión incluyen:</w:t>
      </w:r>
    </w:p>
    <w:p w:rsidR="00C67348" w:rsidRPr="00E36AC7" w:rsidRDefault="00C67348" w:rsidP="00C67348">
      <w:pPr>
        <w:pStyle w:val="Prrafodelista"/>
        <w:numPr>
          <w:ilvl w:val="0"/>
          <w:numId w:val="21"/>
        </w:numPr>
        <w:spacing w:after="0" w:line="240" w:lineRule="auto"/>
        <w:jc w:val="left"/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</w:pPr>
      <w:r w:rsidRPr="00E36AC7"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  <w:t xml:space="preserve">Estudios de </w:t>
      </w:r>
      <w:r w:rsidR="00C25F79" w:rsidRPr="00E36AC7"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  <w:t>impacto ambiental</w:t>
      </w:r>
    </w:p>
    <w:p w:rsidR="00C67348" w:rsidRPr="00E36AC7" w:rsidRDefault="00C67348" w:rsidP="00C67348">
      <w:pPr>
        <w:pStyle w:val="Prrafodelista"/>
        <w:numPr>
          <w:ilvl w:val="0"/>
          <w:numId w:val="21"/>
        </w:numPr>
        <w:spacing w:after="0" w:line="240" w:lineRule="auto"/>
        <w:jc w:val="left"/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</w:pPr>
      <w:r w:rsidRPr="00E36AC7"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  <w:t xml:space="preserve">Proyectos de </w:t>
      </w:r>
      <w:r w:rsidR="00C25F79" w:rsidRPr="00E36AC7"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  <w:t xml:space="preserve">obras de protección </w:t>
      </w:r>
    </w:p>
    <w:p w:rsidR="00C67348" w:rsidRPr="00E36AC7" w:rsidRDefault="00C67348" w:rsidP="00C67348">
      <w:pPr>
        <w:pStyle w:val="Prrafodelista"/>
        <w:numPr>
          <w:ilvl w:val="0"/>
          <w:numId w:val="21"/>
        </w:numPr>
        <w:spacing w:after="0" w:line="240" w:lineRule="auto"/>
        <w:jc w:val="left"/>
        <w:rPr>
          <w:sz w:val="18"/>
          <w:lang w:val="es-SV"/>
        </w:rPr>
      </w:pPr>
      <w:r w:rsidRPr="00E36AC7"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  <w:t xml:space="preserve">Proyectos de </w:t>
      </w:r>
      <w:r w:rsidR="00C25F79" w:rsidRPr="00E36AC7">
        <w:rPr>
          <w:rFonts w:ascii="Calibri" w:eastAsia="Times New Roman" w:hAnsi="Calibri" w:cs="Times New Roman"/>
          <w:noProof w:val="0"/>
          <w:color w:val="000000"/>
          <w:sz w:val="18"/>
          <w:lang w:val="es-SV" w:eastAsia="es-SV"/>
        </w:rPr>
        <w:t xml:space="preserve">obras de mitigación de riesgos 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10" w:name="_Toc485995128"/>
      <w:bookmarkStart w:id="11" w:name="_Toc485995129"/>
      <w:bookmarkStart w:id="12" w:name="_Toc517097164"/>
      <w:bookmarkStart w:id="13" w:name="_Toc517791578"/>
      <w:bookmarkStart w:id="14" w:name="_Toc517791659"/>
      <w:bookmarkStart w:id="15" w:name="_Toc517794215"/>
      <w:bookmarkStart w:id="16" w:name="_Toc517944439"/>
      <w:bookmarkStart w:id="17" w:name="_Toc517944478"/>
      <w:bookmarkStart w:id="18" w:name="_Toc517944517"/>
      <w:bookmarkStart w:id="19" w:name="_Toc485995130"/>
      <w:bookmarkStart w:id="20" w:name="_Toc517097165"/>
      <w:bookmarkStart w:id="21" w:name="_Toc517791579"/>
      <w:bookmarkStart w:id="22" w:name="_Toc517791660"/>
      <w:bookmarkStart w:id="23" w:name="_Toc517794216"/>
      <w:bookmarkStart w:id="24" w:name="_Toc517944440"/>
      <w:bookmarkStart w:id="25" w:name="_Toc517944479"/>
      <w:bookmarkStart w:id="26" w:name="_Toc517944518"/>
      <w:bookmarkStart w:id="27" w:name="_Toc51794451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36AC7">
        <w:rPr>
          <w:sz w:val="20"/>
        </w:rPr>
        <w:t xml:space="preserve">Transferencias monetarias a las familias en el área </w:t>
      </w:r>
      <w:bookmarkEnd w:id="27"/>
    </w:p>
    <w:p w:rsidR="000634E0" w:rsidRPr="00E36AC7" w:rsidRDefault="004507D0" w:rsidP="004507D0">
      <w:pPr>
        <w:spacing w:before="240"/>
        <w:rPr>
          <w:sz w:val="20"/>
        </w:rPr>
      </w:pPr>
      <w:r w:rsidRPr="00E36AC7">
        <w:rPr>
          <w:sz w:val="20"/>
        </w:rPr>
        <w:t>A</w:t>
      </w:r>
      <w:r w:rsidR="000634E0" w:rsidRPr="00E36AC7">
        <w:rPr>
          <w:sz w:val="20"/>
        </w:rPr>
        <w:t xml:space="preserve"> través del programa Comunidades Solidarias Rurales</w:t>
      </w:r>
      <w:r w:rsidR="00394B6C" w:rsidRPr="00E36AC7">
        <w:rPr>
          <w:sz w:val="20"/>
        </w:rPr>
        <w:t xml:space="preserve"> </w:t>
      </w:r>
      <w:r w:rsidRPr="00E36AC7">
        <w:rPr>
          <w:sz w:val="20"/>
        </w:rPr>
        <w:t xml:space="preserve">se hizo </w:t>
      </w:r>
      <w:r w:rsidR="000634E0" w:rsidRPr="00E36AC7">
        <w:rPr>
          <w:sz w:val="20"/>
        </w:rPr>
        <w:t>entreg</w:t>
      </w:r>
      <w:r w:rsidRPr="00E36AC7">
        <w:rPr>
          <w:sz w:val="20"/>
        </w:rPr>
        <w:t>a</w:t>
      </w:r>
      <w:r w:rsidR="000634E0" w:rsidRPr="00E36AC7">
        <w:rPr>
          <w:sz w:val="20"/>
        </w:rPr>
        <w:t xml:space="preserve"> </w:t>
      </w:r>
      <w:r w:rsidRPr="00E36AC7">
        <w:rPr>
          <w:sz w:val="20"/>
        </w:rPr>
        <w:t>d</w:t>
      </w:r>
      <w:r w:rsidR="000634E0" w:rsidRPr="00E36AC7">
        <w:rPr>
          <w:sz w:val="20"/>
        </w:rPr>
        <w:t xml:space="preserve">el Bono de Salud y Educación a </w:t>
      </w:r>
      <w:r w:rsidR="00966322" w:rsidRPr="00E36AC7">
        <w:rPr>
          <w:sz w:val="20"/>
        </w:rPr>
        <w:t>66,628</w:t>
      </w:r>
      <w:r w:rsidR="000634E0" w:rsidRPr="00E36AC7">
        <w:rPr>
          <w:sz w:val="20"/>
        </w:rPr>
        <w:t xml:space="preserve"> familias que cumplieron con sus corresponsabilidades en los 100 municipios de </w:t>
      </w:r>
      <w:r w:rsidR="00C25F79" w:rsidRPr="00E36AC7">
        <w:rPr>
          <w:sz w:val="20"/>
        </w:rPr>
        <w:t xml:space="preserve">Pobreza Extrema Severa y Alta </w:t>
      </w:r>
      <w:r w:rsidR="000634E0" w:rsidRPr="00E36AC7">
        <w:rPr>
          <w:sz w:val="20"/>
        </w:rPr>
        <w:t>del país</w:t>
      </w:r>
      <w:r w:rsidR="006A501C" w:rsidRPr="00E36AC7">
        <w:rPr>
          <w:sz w:val="20"/>
        </w:rPr>
        <w:t xml:space="preserve">; </w:t>
      </w:r>
      <w:r w:rsidR="006A501C" w:rsidRPr="00E36AC7">
        <w:rPr>
          <w:sz w:val="20"/>
        </w:rPr>
        <w:t xml:space="preserve">y </w:t>
      </w:r>
      <w:r w:rsidR="006A501C" w:rsidRPr="00E36AC7">
        <w:rPr>
          <w:sz w:val="20"/>
        </w:rPr>
        <w:t>a través de</w:t>
      </w:r>
      <w:r w:rsidR="006A501C" w:rsidRPr="00E36AC7">
        <w:rPr>
          <w:sz w:val="20"/>
        </w:rPr>
        <w:t xml:space="preserve"> la Estrategia de Erradicación de la Pobreza, lanzada en 2017,</w:t>
      </w:r>
      <w:r w:rsidR="006A501C" w:rsidRPr="00E36AC7">
        <w:rPr>
          <w:sz w:val="20"/>
        </w:rPr>
        <w:t xml:space="preserve"> se entregó el bono de salud y ducación a 8,501 familias de 24 municipios</w:t>
      </w:r>
      <w:r w:rsidR="000634E0" w:rsidRPr="00E36AC7">
        <w:rPr>
          <w:sz w:val="20"/>
        </w:rPr>
        <w:t>.  El monto entregado asciende a</w:t>
      </w:r>
      <w:r w:rsidR="00394B6C" w:rsidRPr="00E36AC7">
        <w:rPr>
          <w:sz w:val="20"/>
        </w:rPr>
        <w:t xml:space="preserve"> US</w:t>
      </w:r>
      <w:r w:rsidR="000634E0" w:rsidRPr="00E36AC7">
        <w:rPr>
          <w:sz w:val="20"/>
        </w:rPr>
        <w:t>$</w:t>
      </w:r>
      <w:r w:rsidR="00394B6C" w:rsidRPr="00E36AC7">
        <w:rPr>
          <w:sz w:val="20"/>
        </w:rPr>
        <w:t>54.30</w:t>
      </w:r>
      <w:r w:rsidR="000634E0" w:rsidRPr="00E36AC7">
        <w:rPr>
          <w:sz w:val="20"/>
        </w:rPr>
        <w:t xml:space="preserve"> millones</w:t>
      </w:r>
      <w:r w:rsidR="001B0F09" w:rsidRPr="00E36AC7">
        <w:rPr>
          <w:sz w:val="20"/>
        </w:rPr>
        <w:t>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28" w:name="_Toc517944520"/>
      <w:r w:rsidRPr="00E36AC7">
        <w:rPr>
          <w:sz w:val="20"/>
        </w:rPr>
        <w:t>Transferencias monetarias a las familias en el área urbana</w:t>
      </w:r>
      <w:bookmarkEnd w:id="28"/>
    </w:p>
    <w:p w:rsidR="000634E0" w:rsidRPr="00E36AC7" w:rsidRDefault="000634E0" w:rsidP="004B45C9">
      <w:pPr>
        <w:spacing w:before="240"/>
        <w:rPr>
          <w:sz w:val="20"/>
        </w:rPr>
      </w:pPr>
      <w:r w:rsidRPr="00E36AC7">
        <w:rPr>
          <w:sz w:val="20"/>
        </w:rPr>
        <w:t xml:space="preserve">Como parte </w:t>
      </w:r>
      <w:r w:rsidR="00394B6C" w:rsidRPr="00E36AC7">
        <w:rPr>
          <w:sz w:val="20"/>
        </w:rPr>
        <w:t xml:space="preserve">de la Estrategia de Erradicación de la Pobreza y </w:t>
      </w:r>
      <w:r w:rsidRPr="00E36AC7">
        <w:rPr>
          <w:sz w:val="20"/>
        </w:rPr>
        <w:t xml:space="preserve">del programa Comunidades Solidarias Urbanas, </w:t>
      </w:r>
      <w:r w:rsidR="00066B6D" w:rsidRPr="00E36AC7">
        <w:rPr>
          <w:sz w:val="20"/>
        </w:rPr>
        <w:t xml:space="preserve">un total de </w:t>
      </w:r>
      <w:r w:rsidR="00661BEA" w:rsidRPr="00E36AC7">
        <w:rPr>
          <w:sz w:val="20"/>
        </w:rPr>
        <w:t>6,244</w:t>
      </w:r>
      <w:r w:rsidRPr="00E36AC7">
        <w:rPr>
          <w:sz w:val="20"/>
        </w:rPr>
        <w:t xml:space="preserve"> jóvenes </w:t>
      </w:r>
      <w:r w:rsidR="00066B6D" w:rsidRPr="00E36AC7">
        <w:rPr>
          <w:sz w:val="20"/>
        </w:rPr>
        <w:t xml:space="preserve">que habitan en </w:t>
      </w:r>
      <w:r w:rsidR="00661BEA" w:rsidRPr="00E36AC7">
        <w:rPr>
          <w:sz w:val="20"/>
        </w:rPr>
        <w:t>15</w:t>
      </w:r>
      <w:r w:rsidRPr="00E36AC7">
        <w:rPr>
          <w:sz w:val="20"/>
        </w:rPr>
        <w:t xml:space="preserve"> municipios fueron beneficiados con el Bono de Educación Urbano</w:t>
      </w:r>
      <w:r w:rsidR="00066B6D" w:rsidRPr="00E36AC7">
        <w:rPr>
          <w:sz w:val="20"/>
        </w:rPr>
        <w:t xml:space="preserve">, de dicho total el </w:t>
      </w:r>
      <w:r w:rsidR="00661BEA" w:rsidRPr="00E36AC7">
        <w:rPr>
          <w:sz w:val="20"/>
        </w:rPr>
        <w:t>85.33%</w:t>
      </w:r>
      <w:r w:rsidR="00066B6D" w:rsidRPr="00E36AC7">
        <w:rPr>
          <w:sz w:val="20"/>
        </w:rPr>
        <w:t xml:space="preserve"> son mujeres.</w:t>
      </w:r>
      <w:r w:rsidRPr="00E36AC7">
        <w:rPr>
          <w:sz w:val="20"/>
        </w:rPr>
        <w:t xml:space="preserve"> La inversión en este rubro, asciende a US$</w:t>
      </w:r>
      <w:r w:rsidR="00394B6C" w:rsidRPr="00E36AC7">
        <w:rPr>
          <w:sz w:val="20"/>
        </w:rPr>
        <w:t>5.28</w:t>
      </w:r>
      <w:r w:rsidRPr="00E36AC7">
        <w:rPr>
          <w:sz w:val="20"/>
        </w:rPr>
        <w:t xml:space="preserve"> millones</w:t>
      </w:r>
      <w:r w:rsidR="00066B6D" w:rsidRPr="00E36AC7">
        <w:rPr>
          <w:sz w:val="20"/>
        </w:rPr>
        <w:t>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29" w:name="_Toc517944521"/>
      <w:r w:rsidRPr="00E36AC7">
        <w:rPr>
          <w:sz w:val="20"/>
        </w:rPr>
        <w:t>Transferencias monetarias a las personas adultas mayores en el área rural</w:t>
      </w:r>
      <w:bookmarkEnd w:id="29"/>
      <w:r w:rsidRPr="00E36AC7">
        <w:rPr>
          <w:sz w:val="20"/>
        </w:rPr>
        <w:t xml:space="preserve"> </w:t>
      </w:r>
    </w:p>
    <w:p w:rsidR="000634E0" w:rsidRPr="00E36AC7" w:rsidRDefault="00066B6D" w:rsidP="004B45C9">
      <w:pPr>
        <w:spacing w:before="240"/>
        <w:rPr>
          <w:sz w:val="20"/>
        </w:rPr>
      </w:pPr>
      <w:r w:rsidRPr="00E36AC7">
        <w:rPr>
          <w:sz w:val="20"/>
        </w:rPr>
        <w:t>Con la entrega de l</w:t>
      </w:r>
      <w:r w:rsidR="000634E0" w:rsidRPr="00E36AC7">
        <w:rPr>
          <w:sz w:val="20"/>
        </w:rPr>
        <w:t xml:space="preserve">a Pensión Básica Universal </w:t>
      </w:r>
      <w:r w:rsidRPr="00E36AC7">
        <w:rPr>
          <w:sz w:val="20"/>
        </w:rPr>
        <w:t xml:space="preserve">en </w:t>
      </w:r>
      <w:r w:rsidR="00C06A58" w:rsidRPr="00E36AC7">
        <w:rPr>
          <w:sz w:val="20"/>
        </w:rPr>
        <w:t>81</w:t>
      </w:r>
      <w:r w:rsidRPr="00E36AC7">
        <w:rPr>
          <w:sz w:val="20"/>
        </w:rPr>
        <w:t xml:space="preserve"> municipios de los 100 de </w:t>
      </w:r>
      <w:r w:rsidR="00C25F79" w:rsidRPr="00E36AC7">
        <w:rPr>
          <w:sz w:val="20"/>
        </w:rPr>
        <w:t>Pobreza Extrema Severa y Alta</w:t>
      </w:r>
      <w:r w:rsidRPr="00E36AC7">
        <w:rPr>
          <w:sz w:val="20"/>
        </w:rPr>
        <w:t>, se ha beneficiado a</w:t>
      </w:r>
      <w:r w:rsidR="000634E0" w:rsidRPr="00E36AC7">
        <w:rPr>
          <w:sz w:val="20"/>
        </w:rPr>
        <w:t xml:space="preserve"> </w:t>
      </w:r>
      <w:r w:rsidR="00C06A58" w:rsidRPr="00E36AC7">
        <w:rPr>
          <w:sz w:val="20"/>
        </w:rPr>
        <w:t>27,887</w:t>
      </w:r>
      <w:r w:rsidR="000634E0" w:rsidRPr="00E36AC7">
        <w:rPr>
          <w:sz w:val="20"/>
        </w:rPr>
        <w:t xml:space="preserve"> personas adultas mayores</w:t>
      </w:r>
      <w:r w:rsidRPr="00E36AC7">
        <w:rPr>
          <w:sz w:val="20"/>
        </w:rPr>
        <w:t xml:space="preserve"> que habitan en el área rural</w:t>
      </w:r>
      <w:r w:rsidR="000634E0" w:rsidRPr="00E36AC7">
        <w:rPr>
          <w:sz w:val="20"/>
        </w:rPr>
        <w:t xml:space="preserve">, de </w:t>
      </w:r>
      <w:r w:rsidRPr="00E36AC7">
        <w:rPr>
          <w:sz w:val="20"/>
        </w:rPr>
        <w:t>las cuales el</w:t>
      </w:r>
      <w:r w:rsidR="004B45C9" w:rsidRPr="00E36AC7">
        <w:rPr>
          <w:sz w:val="20"/>
          <w:lang w:val="es-MX" w:eastAsia="es-MX"/>
        </w:rPr>
        <w:t xml:space="preserve"> </w:t>
      </w:r>
      <w:r w:rsidRPr="00E36AC7">
        <w:rPr>
          <w:sz w:val="20"/>
        </w:rPr>
        <w:t xml:space="preserve"> </w:t>
      </w:r>
      <w:r w:rsidR="00C06A58" w:rsidRPr="00E36AC7">
        <w:rPr>
          <w:sz w:val="20"/>
        </w:rPr>
        <w:t>52.55%</w:t>
      </w:r>
      <w:r w:rsidRPr="00E36AC7">
        <w:rPr>
          <w:sz w:val="20"/>
        </w:rPr>
        <w:t xml:space="preserve"> son mujeres. </w:t>
      </w:r>
      <w:r w:rsidR="00C25F79" w:rsidRPr="00E36AC7">
        <w:rPr>
          <w:sz w:val="20"/>
        </w:rPr>
        <w:t>U</w:t>
      </w:r>
      <w:r w:rsidR="00394B6C" w:rsidRPr="00E36AC7">
        <w:rPr>
          <w:sz w:val="20"/>
        </w:rPr>
        <w:t>n monto de US</w:t>
      </w:r>
      <w:r w:rsidRPr="00E36AC7">
        <w:rPr>
          <w:sz w:val="20"/>
        </w:rPr>
        <w:t>$</w:t>
      </w:r>
      <w:r w:rsidR="00394B6C" w:rsidRPr="00E36AC7">
        <w:rPr>
          <w:sz w:val="20"/>
        </w:rPr>
        <w:t>69.27</w:t>
      </w:r>
      <w:r w:rsidRPr="00E36AC7">
        <w:rPr>
          <w:sz w:val="20"/>
        </w:rPr>
        <w:t xml:space="preserve"> millones</w:t>
      </w:r>
      <w:r w:rsidR="00C25F79" w:rsidRPr="00E36AC7">
        <w:rPr>
          <w:sz w:val="20"/>
        </w:rPr>
        <w:t>, fue invertido.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30" w:name="_Toc517944522"/>
      <w:r w:rsidRPr="00E36AC7">
        <w:rPr>
          <w:sz w:val="20"/>
        </w:rPr>
        <w:t>Transferencias monetarias a las personas adultas mayores en el área urbana</w:t>
      </w:r>
      <w:bookmarkEnd w:id="30"/>
    </w:p>
    <w:p w:rsidR="000634E0" w:rsidRPr="00E36AC7" w:rsidRDefault="00066B6D" w:rsidP="0000294A">
      <w:pPr>
        <w:rPr>
          <w:sz w:val="20"/>
        </w:rPr>
      </w:pPr>
      <w:r w:rsidRPr="00E36AC7">
        <w:rPr>
          <w:sz w:val="20"/>
        </w:rPr>
        <w:t>En el área urbana se</w:t>
      </w:r>
      <w:r w:rsidR="000634E0" w:rsidRPr="00E36AC7">
        <w:rPr>
          <w:sz w:val="20"/>
        </w:rPr>
        <w:t xml:space="preserve"> ha entregado la Pensión Básica Universal a 4,848 personas adultas mayores que residen de los 15 munici</w:t>
      </w:r>
      <w:r w:rsidRPr="00E36AC7">
        <w:rPr>
          <w:sz w:val="20"/>
        </w:rPr>
        <w:t>pios priorizados, de las cuales</w:t>
      </w:r>
      <w:r w:rsidR="000634E0" w:rsidRPr="00E36AC7">
        <w:rPr>
          <w:sz w:val="20"/>
        </w:rPr>
        <w:t xml:space="preserve"> el </w:t>
      </w:r>
      <w:r w:rsidR="003F090C" w:rsidRPr="00E36AC7">
        <w:rPr>
          <w:sz w:val="20"/>
        </w:rPr>
        <w:t>58.29%</w:t>
      </w:r>
      <w:r w:rsidR="000634E0" w:rsidRPr="00E36AC7">
        <w:rPr>
          <w:sz w:val="20"/>
        </w:rPr>
        <w:t xml:space="preserve"> son mujeres.</w:t>
      </w:r>
      <w:r w:rsidRPr="00E36AC7">
        <w:rPr>
          <w:sz w:val="20"/>
        </w:rPr>
        <w:t xml:space="preserve"> </w:t>
      </w:r>
      <w:r w:rsidR="000634E0" w:rsidRPr="00E36AC7">
        <w:rPr>
          <w:sz w:val="20"/>
        </w:rPr>
        <w:t xml:space="preserve">La inversión </w:t>
      </w:r>
      <w:r w:rsidRPr="00E36AC7">
        <w:rPr>
          <w:sz w:val="20"/>
        </w:rPr>
        <w:t>fue de</w:t>
      </w:r>
      <w:r w:rsidR="000634E0" w:rsidRPr="00E36AC7">
        <w:rPr>
          <w:sz w:val="20"/>
        </w:rPr>
        <w:t xml:space="preserve"> US$</w:t>
      </w:r>
      <w:r w:rsidR="00AC0C4D" w:rsidRPr="00E36AC7">
        <w:rPr>
          <w:sz w:val="20"/>
        </w:rPr>
        <w:t>10.25</w:t>
      </w:r>
      <w:r w:rsidR="00C722F7" w:rsidRPr="00E36AC7">
        <w:rPr>
          <w:sz w:val="20"/>
        </w:rPr>
        <w:t xml:space="preserve"> millones</w:t>
      </w:r>
      <w:r w:rsidR="000634E0" w:rsidRPr="00E36AC7">
        <w:rPr>
          <w:sz w:val="20"/>
        </w:rPr>
        <w:t>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31" w:name="_Toc517944523"/>
      <w:r w:rsidRPr="00E36AC7">
        <w:rPr>
          <w:sz w:val="20"/>
        </w:rPr>
        <w:lastRenderedPageBreak/>
        <w:t>Apoyo al ingreso y fortalecimiento de capacidades</w:t>
      </w:r>
      <w:bookmarkEnd w:id="31"/>
    </w:p>
    <w:p w:rsidR="000634E0" w:rsidRPr="00E36AC7" w:rsidRDefault="00841DC4" w:rsidP="0000294A">
      <w:pPr>
        <w:rPr>
          <w:sz w:val="20"/>
          <w:lang w:val="es-MX" w:eastAsia="es-MX"/>
        </w:rPr>
      </w:pPr>
      <w:r w:rsidRPr="00841DC4">
        <w:rPr>
          <w:sz w:val="20"/>
          <w:lang w:val="es-MX"/>
        </w:rPr>
        <w:t xml:space="preserve">El Programa de Apoyo Temporal al Ingreso, PATI, el cual finalizó su ejecución en el tercer de gestión, ha sido ejecutado en 16 municipios, </w:t>
      </w:r>
      <w:r w:rsidR="00066B6D" w:rsidRPr="00E36AC7">
        <w:rPr>
          <w:sz w:val="20"/>
          <w:lang w:val="es-MX"/>
        </w:rPr>
        <w:t xml:space="preserve">beneficiando a más de </w:t>
      </w:r>
      <w:r w:rsidR="00234E5C" w:rsidRPr="00E36AC7">
        <w:rPr>
          <w:sz w:val="20"/>
          <w:lang w:val="es-MX"/>
        </w:rPr>
        <w:t>5 mil</w:t>
      </w:r>
      <w:r w:rsidR="00066B6D" w:rsidRPr="00E36AC7">
        <w:rPr>
          <w:sz w:val="20"/>
          <w:lang w:val="es-MX"/>
        </w:rPr>
        <w:t xml:space="preserve"> mujeres y más de </w:t>
      </w:r>
      <w:r w:rsidR="00234E5C" w:rsidRPr="00E36AC7">
        <w:rPr>
          <w:sz w:val="20"/>
          <w:lang w:val="es-MX"/>
        </w:rPr>
        <w:t>2 mil</w:t>
      </w:r>
      <w:r w:rsidR="00066B6D" w:rsidRPr="00E36AC7">
        <w:rPr>
          <w:sz w:val="20"/>
          <w:lang w:val="es-MX"/>
        </w:rPr>
        <w:t xml:space="preserve"> hombres. </w:t>
      </w:r>
      <w:r w:rsidR="002B569B" w:rsidRPr="00E36AC7">
        <w:rPr>
          <w:sz w:val="20"/>
        </w:rPr>
        <w:t>Con</w:t>
      </w:r>
      <w:r w:rsidR="00066B6D" w:rsidRPr="00E36AC7">
        <w:rPr>
          <w:sz w:val="20"/>
        </w:rPr>
        <w:t xml:space="preserve"> </w:t>
      </w:r>
      <w:r w:rsidR="002B569B" w:rsidRPr="00E36AC7">
        <w:rPr>
          <w:sz w:val="20"/>
        </w:rPr>
        <w:t xml:space="preserve">la entrega de este apoyo monetario el FISDL </w:t>
      </w:r>
      <w:r w:rsidR="000634E0" w:rsidRPr="00E36AC7">
        <w:rPr>
          <w:sz w:val="20"/>
        </w:rPr>
        <w:t>ha invertido US$</w:t>
      </w:r>
      <w:r w:rsidR="00AF588D" w:rsidRPr="00E36AC7">
        <w:rPr>
          <w:sz w:val="20"/>
        </w:rPr>
        <w:t>6.</w:t>
      </w:r>
      <w:r w:rsidR="00AC0C4D" w:rsidRPr="00E36AC7">
        <w:rPr>
          <w:sz w:val="20"/>
        </w:rPr>
        <w:t>74</w:t>
      </w:r>
      <w:r w:rsidR="000634E0" w:rsidRPr="00E36AC7">
        <w:rPr>
          <w:sz w:val="20"/>
        </w:rPr>
        <w:t xml:space="preserve"> millones</w:t>
      </w:r>
      <w:r w:rsidR="002B569B" w:rsidRPr="00E36AC7">
        <w:rPr>
          <w:sz w:val="20"/>
        </w:rPr>
        <w:t>, apoyando</w:t>
      </w:r>
      <w:r w:rsidR="000634E0" w:rsidRPr="00E36AC7">
        <w:rPr>
          <w:sz w:val="20"/>
        </w:rPr>
        <w:t xml:space="preserve"> a </w:t>
      </w:r>
      <w:r w:rsidR="00234E5C" w:rsidRPr="00E36AC7">
        <w:rPr>
          <w:sz w:val="20"/>
        </w:rPr>
        <w:t>7,926</w:t>
      </w:r>
      <w:r w:rsidR="00C722F7" w:rsidRPr="00E36AC7">
        <w:rPr>
          <w:sz w:val="20"/>
        </w:rPr>
        <w:t xml:space="preserve"> personas</w:t>
      </w:r>
      <w:r w:rsidR="000634E0" w:rsidRPr="00E36AC7">
        <w:rPr>
          <w:sz w:val="20"/>
        </w:rPr>
        <w:t xml:space="preserve">.  Esta inversión incluye las capacitaciones </w:t>
      </w:r>
      <w:r w:rsidR="002B569B" w:rsidRPr="00E36AC7">
        <w:rPr>
          <w:sz w:val="20"/>
        </w:rPr>
        <w:t xml:space="preserve">brindadas a los participantes </w:t>
      </w:r>
      <w:r w:rsidR="000634E0" w:rsidRPr="00E36AC7">
        <w:rPr>
          <w:sz w:val="20"/>
        </w:rPr>
        <w:t>y los gastos administrativos realizados.</w:t>
      </w:r>
      <w:r w:rsidR="004B45C9" w:rsidRPr="00E36AC7">
        <w:rPr>
          <w:sz w:val="20"/>
          <w:lang w:val="es-MX" w:eastAsia="es-MX"/>
        </w:rPr>
        <w:t xml:space="preserve"> </w:t>
      </w:r>
    </w:p>
    <w:p w:rsidR="002974C5" w:rsidRPr="00E36AC7" w:rsidRDefault="002974C5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32" w:name="_Toc517944524"/>
      <w:r w:rsidRPr="00E36AC7">
        <w:rPr>
          <w:sz w:val="20"/>
        </w:rPr>
        <w:t>Tra</w:t>
      </w:r>
      <w:r w:rsidR="00D17454" w:rsidRPr="00E36AC7">
        <w:rPr>
          <w:sz w:val="20"/>
        </w:rPr>
        <w:t>n</w:t>
      </w:r>
      <w:r w:rsidRPr="00E36AC7">
        <w:rPr>
          <w:sz w:val="20"/>
        </w:rPr>
        <w:t>sferencias Monetarias a Veteranos de Guerra y Víctimas de Graves Violaciones</w:t>
      </w:r>
      <w:r w:rsidR="00C25F79" w:rsidRPr="00E36AC7">
        <w:rPr>
          <w:sz w:val="20"/>
        </w:rPr>
        <w:t xml:space="preserve"> a los Derechos Humanos durante el conflicto armado.</w:t>
      </w:r>
      <w:bookmarkEnd w:id="32"/>
    </w:p>
    <w:p w:rsidR="00AE1864" w:rsidRPr="00E36AC7" w:rsidRDefault="00ED38D1" w:rsidP="00AE1864">
      <w:pPr>
        <w:rPr>
          <w:sz w:val="20"/>
        </w:rPr>
      </w:pPr>
      <w:r w:rsidRPr="00E36AC7">
        <w:rPr>
          <w:sz w:val="20"/>
        </w:rPr>
        <w:t xml:space="preserve">En cumplimiento al Decreto Ejecutivo No. 31 (año 2012), </w:t>
      </w:r>
      <w:r w:rsidR="00C17915">
        <w:rPr>
          <w:sz w:val="20"/>
        </w:rPr>
        <w:t>en el que</w:t>
      </w:r>
      <w:r w:rsidRPr="00E36AC7">
        <w:rPr>
          <w:sz w:val="20"/>
        </w:rPr>
        <w:t xml:space="preserve"> se establece el otorgamiento de una transferencia monetaria a los veteranos de guerra mayores de setenta años de edad, del histórico Frente Farabundo Martí para la Liberación Nacional , FMLN, eL FISDL ha invertido US$</w:t>
      </w:r>
      <w:r w:rsidR="00BF0620" w:rsidRPr="00E36AC7">
        <w:rPr>
          <w:sz w:val="20"/>
        </w:rPr>
        <w:t>4.46</w:t>
      </w:r>
      <w:r w:rsidRPr="00E36AC7">
        <w:rPr>
          <w:sz w:val="20"/>
        </w:rPr>
        <w:t xml:space="preserve"> millones, beneficiando a 1,982 personas de 148 municipios, de las cuales 737 personas, son mujeres. </w:t>
      </w:r>
    </w:p>
    <w:p w:rsidR="002974C5" w:rsidRPr="00E36AC7" w:rsidRDefault="00BB7103" w:rsidP="00AE1864">
      <w:pPr>
        <w:rPr>
          <w:sz w:val="20"/>
          <w:lang w:val="es-MX" w:eastAsia="es-MX"/>
        </w:rPr>
      </w:pPr>
      <w:r w:rsidRPr="00BB7103">
        <w:rPr>
          <w:sz w:val="20"/>
        </w:rPr>
        <w:t>Así mismo, en el tercer año de la presente gestión se inició con la entrega de indemnizaciones a víctimas de graves violaciones a los derechos humanos durante el conflicto armado, beneficiando en el tercer y cuarto año de gestión a 2,125 personas adultas mayores (en 81 municipios) y a 1,163 familias (en 68 municipios). La inversión fue de US$2.47 millones.</w:t>
      </w:r>
    </w:p>
    <w:p w:rsidR="00203EFC" w:rsidRPr="00E36AC7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0739B" w:themeColor="background2" w:themeShade="80"/>
          <w:szCs w:val="22"/>
          <w:lang w:val="es-SV" w:bidi="ar-SA"/>
        </w:rPr>
      </w:pPr>
      <w:bookmarkStart w:id="33" w:name="_Toc485995138"/>
      <w:bookmarkStart w:id="34" w:name="_Toc517097173"/>
      <w:bookmarkStart w:id="35" w:name="_Toc517791587"/>
      <w:bookmarkStart w:id="36" w:name="_Toc517791668"/>
      <w:bookmarkStart w:id="37" w:name="_Toc517794224"/>
      <w:bookmarkStart w:id="38" w:name="_Toc517944448"/>
      <w:bookmarkStart w:id="39" w:name="_Toc517944487"/>
      <w:bookmarkStart w:id="40" w:name="_Toc517944526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203EFC" w:rsidRPr="00E36AC7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0739B" w:themeColor="background2" w:themeShade="80"/>
          <w:szCs w:val="22"/>
          <w:lang w:val="es-SV" w:bidi="ar-SA"/>
        </w:rPr>
      </w:pPr>
      <w:bookmarkStart w:id="41" w:name="_Toc485995139"/>
      <w:bookmarkStart w:id="42" w:name="_Toc517097174"/>
      <w:bookmarkStart w:id="43" w:name="_Toc517791588"/>
      <w:bookmarkStart w:id="44" w:name="_Toc517791669"/>
      <w:bookmarkStart w:id="45" w:name="_Toc517794225"/>
      <w:bookmarkStart w:id="46" w:name="_Toc517944449"/>
      <w:bookmarkStart w:id="47" w:name="_Toc517944488"/>
      <w:bookmarkStart w:id="48" w:name="_Toc517944527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203EFC" w:rsidRPr="00E36AC7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0739B" w:themeColor="background2" w:themeShade="80"/>
          <w:szCs w:val="22"/>
          <w:lang w:val="es-SV" w:bidi="ar-SA"/>
        </w:rPr>
      </w:pPr>
      <w:bookmarkStart w:id="49" w:name="_Toc485995140"/>
      <w:bookmarkStart w:id="50" w:name="_Toc517097175"/>
      <w:bookmarkStart w:id="51" w:name="_Toc517791589"/>
      <w:bookmarkStart w:id="52" w:name="_Toc517791670"/>
      <w:bookmarkStart w:id="53" w:name="_Toc517794226"/>
      <w:bookmarkStart w:id="54" w:name="_Toc517944450"/>
      <w:bookmarkStart w:id="55" w:name="_Toc517944489"/>
      <w:bookmarkStart w:id="56" w:name="_Toc51794452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203EFC" w:rsidRPr="00E36AC7" w:rsidRDefault="00203EFC" w:rsidP="00203EFC">
      <w:pPr>
        <w:pStyle w:val="Prrafodelista"/>
        <w:keepNext/>
        <w:keepLines/>
        <w:numPr>
          <w:ilvl w:val="0"/>
          <w:numId w:val="18"/>
        </w:numPr>
        <w:spacing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0739B" w:themeColor="background2" w:themeShade="80"/>
          <w:szCs w:val="22"/>
          <w:lang w:val="es-SV" w:bidi="ar-SA"/>
        </w:rPr>
      </w:pPr>
      <w:bookmarkStart w:id="57" w:name="_Toc485995141"/>
      <w:bookmarkStart w:id="58" w:name="_Toc517097176"/>
      <w:bookmarkStart w:id="59" w:name="_Toc517791590"/>
      <w:bookmarkStart w:id="60" w:name="_Toc517791671"/>
      <w:bookmarkStart w:id="61" w:name="_Toc517794227"/>
      <w:bookmarkStart w:id="62" w:name="_Toc517944451"/>
      <w:bookmarkStart w:id="63" w:name="_Toc517944490"/>
      <w:bookmarkStart w:id="64" w:name="_Toc517944529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65" w:name="_Toc517944530"/>
      <w:r w:rsidRPr="00E36AC7">
        <w:rPr>
          <w:sz w:val="20"/>
        </w:rPr>
        <w:t>Fortalecimiento de emprendimientos económicos (Emprendimiento Solidario</w:t>
      </w:r>
      <w:r w:rsidR="00BD3BA0" w:rsidRPr="00E36AC7">
        <w:rPr>
          <w:sz w:val="20"/>
        </w:rPr>
        <w:t xml:space="preserve"> y Empleabili</w:t>
      </w:r>
      <w:r w:rsidR="00A038EC">
        <w:rPr>
          <w:sz w:val="20"/>
        </w:rPr>
        <w:t>d</w:t>
      </w:r>
      <w:r w:rsidR="00BD3BA0" w:rsidRPr="00E36AC7">
        <w:rPr>
          <w:sz w:val="20"/>
        </w:rPr>
        <w:t>ad</w:t>
      </w:r>
      <w:r w:rsidRPr="00E36AC7">
        <w:rPr>
          <w:sz w:val="20"/>
        </w:rPr>
        <w:t>)</w:t>
      </w:r>
      <w:bookmarkEnd w:id="65"/>
    </w:p>
    <w:p w:rsidR="000634E0" w:rsidRPr="00E36AC7" w:rsidRDefault="0032127C" w:rsidP="0032127C">
      <w:pPr>
        <w:spacing w:before="240"/>
        <w:rPr>
          <w:sz w:val="20"/>
        </w:rPr>
      </w:pPr>
      <w:r w:rsidRPr="00E36AC7">
        <w:rPr>
          <w:sz w:val="20"/>
        </w:rPr>
        <w:t>La inversión en el bono productivo</w:t>
      </w:r>
      <w:r w:rsidR="00875410" w:rsidRPr="00E36AC7">
        <w:rPr>
          <w:sz w:val="20"/>
        </w:rPr>
        <w:t>,</w:t>
      </w:r>
      <w:r w:rsidRPr="00E36AC7">
        <w:rPr>
          <w:sz w:val="20"/>
        </w:rPr>
        <w:t xml:space="preserve"> emprendimientos solidarios</w:t>
      </w:r>
      <w:r w:rsidR="00875410" w:rsidRPr="00E36AC7">
        <w:rPr>
          <w:sz w:val="20"/>
        </w:rPr>
        <w:t xml:space="preserve"> y formación laboral y empleabilidad</w:t>
      </w:r>
      <w:r w:rsidRPr="00E36AC7">
        <w:rPr>
          <w:sz w:val="20"/>
        </w:rPr>
        <w:t xml:space="preserve"> es de</w:t>
      </w:r>
      <w:r w:rsidR="000634E0" w:rsidRPr="00E36AC7">
        <w:rPr>
          <w:sz w:val="20"/>
        </w:rPr>
        <w:t xml:space="preserve"> US$</w:t>
      </w:r>
      <w:r w:rsidR="00875410" w:rsidRPr="00E36AC7">
        <w:rPr>
          <w:sz w:val="20"/>
        </w:rPr>
        <w:t>6.20</w:t>
      </w:r>
      <w:r w:rsidR="000634E0" w:rsidRPr="00E36AC7">
        <w:rPr>
          <w:sz w:val="20"/>
        </w:rPr>
        <w:t xml:space="preserve"> millones</w:t>
      </w:r>
      <w:r w:rsidR="00C722F7" w:rsidRPr="00E36AC7">
        <w:rPr>
          <w:sz w:val="20"/>
        </w:rPr>
        <w:t>,</w:t>
      </w:r>
      <w:r w:rsidR="008170C2" w:rsidRPr="00E36AC7">
        <w:rPr>
          <w:sz w:val="20"/>
        </w:rPr>
        <w:t xml:space="preserve"> obteniendo como resultado l</w:t>
      </w:r>
      <w:r w:rsidRPr="00E36AC7">
        <w:rPr>
          <w:sz w:val="20"/>
        </w:rPr>
        <w:t xml:space="preserve">a creación de </w:t>
      </w:r>
      <w:r w:rsidR="001D71C9" w:rsidRPr="00E36AC7">
        <w:rPr>
          <w:sz w:val="20"/>
        </w:rPr>
        <w:t>1,</w:t>
      </w:r>
      <w:r w:rsidR="00875410" w:rsidRPr="00E36AC7">
        <w:rPr>
          <w:sz w:val="20"/>
        </w:rPr>
        <w:t>652</w:t>
      </w:r>
      <w:r w:rsidR="001D71C9" w:rsidRPr="00E36AC7">
        <w:rPr>
          <w:sz w:val="20"/>
        </w:rPr>
        <w:t xml:space="preserve"> iniciativas </w:t>
      </w:r>
      <w:r w:rsidRPr="00E36AC7">
        <w:rPr>
          <w:sz w:val="20"/>
        </w:rPr>
        <w:t>emprend</w:t>
      </w:r>
      <w:r w:rsidR="001D71C9" w:rsidRPr="00E36AC7">
        <w:rPr>
          <w:sz w:val="20"/>
        </w:rPr>
        <w:t>edoras</w:t>
      </w:r>
      <w:r w:rsidRPr="00E36AC7">
        <w:rPr>
          <w:sz w:val="20"/>
        </w:rPr>
        <w:t xml:space="preserve">, </w:t>
      </w:r>
      <w:r w:rsidR="008170C2" w:rsidRPr="00E36AC7">
        <w:rPr>
          <w:sz w:val="20"/>
        </w:rPr>
        <w:t xml:space="preserve">que han </w:t>
      </w:r>
      <w:r w:rsidR="000634E0" w:rsidRPr="00E36AC7">
        <w:rPr>
          <w:sz w:val="20"/>
        </w:rPr>
        <w:t>beneficia</w:t>
      </w:r>
      <w:r w:rsidR="008170C2" w:rsidRPr="00E36AC7">
        <w:rPr>
          <w:sz w:val="20"/>
        </w:rPr>
        <w:t xml:space="preserve">do a </w:t>
      </w:r>
      <w:r w:rsidR="00875410" w:rsidRPr="00E36AC7">
        <w:rPr>
          <w:sz w:val="20"/>
        </w:rPr>
        <w:t>4,275</w:t>
      </w:r>
      <w:r w:rsidR="008170C2" w:rsidRPr="00E36AC7">
        <w:rPr>
          <w:sz w:val="20"/>
        </w:rPr>
        <w:t xml:space="preserve"> personas </w:t>
      </w:r>
      <w:r w:rsidR="000634E0" w:rsidRPr="00E36AC7">
        <w:rPr>
          <w:sz w:val="20"/>
        </w:rPr>
        <w:t>e</w:t>
      </w:r>
      <w:r w:rsidR="008170C2" w:rsidRPr="00E36AC7">
        <w:rPr>
          <w:sz w:val="20"/>
        </w:rPr>
        <w:t>n</w:t>
      </w:r>
      <w:r w:rsidR="000634E0" w:rsidRPr="00E36AC7">
        <w:rPr>
          <w:sz w:val="20"/>
        </w:rPr>
        <w:t xml:space="preserve"> </w:t>
      </w:r>
      <w:r w:rsidR="00875410" w:rsidRPr="00E36AC7">
        <w:rPr>
          <w:sz w:val="20"/>
        </w:rPr>
        <w:t>105</w:t>
      </w:r>
      <w:r w:rsidR="000634E0" w:rsidRPr="00E36AC7">
        <w:rPr>
          <w:sz w:val="20"/>
        </w:rPr>
        <w:t xml:space="preserve"> municipios</w:t>
      </w:r>
      <w:r w:rsidR="008170C2" w:rsidRPr="00E36AC7">
        <w:rPr>
          <w:sz w:val="20"/>
        </w:rPr>
        <w:t xml:space="preserve">, siendo </w:t>
      </w:r>
      <w:r w:rsidR="001D71C9" w:rsidRPr="00E36AC7">
        <w:rPr>
          <w:sz w:val="20"/>
        </w:rPr>
        <w:t xml:space="preserve">mujeres </w:t>
      </w:r>
      <w:r w:rsidR="008170C2" w:rsidRPr="00E36AC7">
        <w:rPr>
          <w:sz w:val="20"/>
        </w:rPr>
        <w:t>e</w:t>
      </w:r>
      <w:r w:rsidR="000634E0" w:rsidRPr="00E36AC7">
        <w:rPr>
          <w:sz w:val="20"/>
        </w:rPr>
        <w:t xml:space="preserve">l </w:t>
      </w:r>
      <w:r w:rsidR="00875410" w:rsidRPr="00E36AC7">
        <w:rPr>
          <w:sz w:val="20"/>
        </w:rPr>
        <w:t>79.49</w:t>
      </w:r>
      <w:r w:rsidR="001D71C9" w:rsidRPr="00E36AC7">
        <w:rPr>
          <w:sz w:val="20"/>
        </w:rPr>
        <w:t>%</w:t>
      </w:r>
      <w:r w:rsidR="000634E0" w:rsidRPr="00E36AC7">
        <w:rPr>
          <w:sz w:val="20"/>
        </w:rPr>
        <w:t xml:space="preserve"> de las per</w:t>
      </w:r>
      <w:r w:rsidR="003B62F7" w:rsidRPr="00E36AC7">
        <w:rPr>
          <w:sz w:val="20"/>
        </w:rPr>
        <w:t>sonas beneficiadas.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66" w:name="_Toc517944531"/>
      <w:r w:rsidRPr="00E36AC7">
        <w:rPr>
          <w:sz w:val="20"/>
        </w:rPr>
        <w:t xml:space="preserve">Acceso a Infraestructura </w:t>
      </w:r>
      <w:r w:rsidR="008E745E" w:rsidRPr="00E36AC7">
        <w:rPr>
          <w:sz w:val="20"/>
        </w:rPr>
        <w:t xml:space="preserve">y Equipamiento </w:t>
      </w:r>
      <w:r w:rsidRPr="00E36AC7">
        <w:rPr>
          <w:sz w:val="20"/>
        </w:rPr>
        <w:t>Productiv</w:t>
      </w:r>
      <w:r w:rsidR="008E745E" w:rsidRPr="00E36AC7">
        <w:rPr>
          <w:sz w:val="20"/>
        </w:rPr>
        <w:t>o</w:t>
      </w:r>
      <w:bookmarkEnd w:id="66"/>
      <w:r w:rsidRPr="00E36AC7">
        <w:rPr>
          <w:sz w:val="20"/>
        </w:rPr>
        <w:t xml:space="preserve">  </w:t>
      </w:r>
    </w:p>
    <w:p w:rsidR="000634E0" w:rsidRPr="00E36AC7" w:rsidRDefault="008E745E" w:rsidP="00F556E6">
      <w:pPr>
        <w:spacing w:before="240"/>
        <w:rPr>
          <w:sz w:val="20"/>
        </w:rPr>
      </w:pPr>
      <w:r w:rsidRPr="00E36AC7">
        <w:rPr>
          <w:sz w:val="20"/>
        </w:rPr>
        <w:t>El FISDL ha invertido US</w:t>
      </w:r>
      <w:r w:rsidR="000634E0" w:rsidRPr="00E36AC7">
        <w:rPr>
          <w:sz w:val="20"/>
        </w:rPr>
        <w:t>$</w:t>
      </w:r>
      <w:r w:rsidR="00F556E6" w:rsidRPr="00E36AC7">
        <w:rPr>
          <w:sz w:val="20"/>
        </w:rPr>
        <w:t>1.</w:t>
      </w:r>
      <w:r w:rsidRPr="00E36AC7">
        <w:rPr>
          <w:sz w:val="20"/>
        </w:rPr>
        <w:t>74</w:t>
      </w:r>
      <w:r w:rsidR="000634E0" w:rsidRPr="00E36AC7">
        <w:rPr>
          <w:sz w:val="20"/>
        </w:rPr>
        <w:t xml:space="preserve"> mil</w:t>
      </w:r>
      <w:r w:rsidR="00F556E6" w:rsidRPr="00E36AC7">
        <w:rPr>
          <w:sz w:val="20"/>
        </w:rPr>
        <w:t>lones</w:t>
      </w:r>
      <w:r w:rsidR="000634E0" w:rsidRPr="00E36AC7">
        <w:rPr>
          <w:sz w:val="20"/>
        </w:rPr>
        <w:t xml:space="preserve"> en infraestructura </w:t>
      </w:r>
      <w:r w:rsidRPr="00E36AC7">
        <w:rPr>
          <w:sz w:val="20"/>
        </w:rPr>
        <w:t xml:space="preserve">y equipamiento </w:t>
      </w:r>
      <w:r w:rsidR="000634E0" w:rsidRPr="00E36AC7">
        <w:rPr>
          <w:sz w:val="20"/>
        </w:rPr>
        <w:t>productiv</w:t>
      </w:r>
      <w:r w:rsidRPr="00E36AC7">
        <w:rPr>
          <w:sz w:val="20"/>
        </w:rPr>
        <w:t>o</w:t>
      </w:r>
      <w:r w:rsidR="003B62F7" w:rsidRPr="00E36AC7">
        <w:rPr>
          <w:sz w:val="20"/>
        </w:rPr>
        <w:t>.</w:t>
      </w:r>
      <w:r w:rsidR="00F556E6" w:rsidRPr="00E36AC7">
        <w:rPr>
          <w:sz w:val="20"/>
        </w:rPr>
        <w:t xml:space="preserve"> </w:t>
      </w:r>
      <w:r w:rsidR="000634E0" w:rsidRPr="00E36AC7">
        <w:rPr>
          <w:sz w:val="20"/>
        </w:rPr>
        <w:t xml:space="preserve">Esta inversión ha beneficiado a </w:t>
      </w:r>
      <w:r w:rsidR="00F556E6" w:rsidRPr="00E36AC7">
        <w:rPr>
          <w:sz w:val="20"/>
        </w:rPr>
        <w:t>1</w:t>
      </w:r>
      <w:r w:rsidRPr="00E36AC7">
        <w:rPr>
          <w:sz w:val="20"/>
        </w:rPr>
        <w:t>78</w:t>
      </w:r>
      <w:r w:rsidR="00F556E6" w:rsidRPr="00E36AC7">
        <w:rPr>
          <w:sz w:val="20"/>
        </w:rPr>
        <w:t>,</w:t>
      </w:r>
      <w:r w:rsidRPr="00E36AC7">
        <w:rPr>
          <w:sz w:val="20"/>
        </w:rPr>
        <w:t>247</w:t>
      </w:r>
      <w:r w:rsidR="000634E0" w:rsidRPr="00E36AC7">
        <w:rPr>
          <w:sz w:val="20"/>
        </w:rPr>
        <w:t xml:space="preserve"> personas con la ejecución de </w:t>
      </w:r>
      <w:r w:rsidR="00F556E6" w:rsidRPr="00E36AC7">
        <w:rPr>
          <w:sz w:val="20"/>
        </w:rPr>
        <w:t>19</w:t>
      </w:r>
      <w:r w:rsidR="000634E0" w:rsidRPr="00E36AC7">
        <w:rPr>
          <w:sz w:val="20"/>
        </w:rPr>
        <w:t xml:space="preserve"> proyectos</w:t>
      </w:r>
      <w:r w:rsidR="00F556E6" w:rsidRPr="00E36AC7">
        <w:rPr>
          <w:sz w:val="20"/>
        </w:rPr>
        <w:t xml:space="preserve"> en 15 municipios.</w:t>
      </w:r>
    </w:p>
    <w:p w:rsidR="00F556E6" w:rsidRPr="00E36AC7" w:rsidRDefault="00F556E6" w:rsidP="00F556E6">
      <w:pPr>
        <w:spacing w:before="240"/>
        <w:rPr>
          <w:sz w:val="20"/>
        </w:rPr>
      </w:pPr>
      <w:r w:rsidRPr="00E36AC7">
        <w:rPr>
          <w:sz w:val="20"/>
        </w:rPr>
        <w:t xml:space="preserve">Entre estos proyectos se encuentran reparaciones y adecuaciones de </w:t>
      </w:r>
      <w:r w:rsidR="0052169E" w:rsidRPr="00E36AC7">
        <w:rPr>
          <w:sz w:val="20"/>
        </w:rPr>
        <w:t>varias</w:t>
      </w:r>
      <w:r w:rsidRPr="00E36AC7">
        <w:rPr>
          <w:sz w:val="20"/>
        </w:rPr>
        <w:t xml:space="preserve"> agencias de extensión CENTA, la ampliación y remodelación del Centro Turístico Puerto San Juan, y proyectos de suministro de incubadoras para reproduccion local de aves, en sus fases I y II.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67" w:name="_Toc517944532"/>
      <w:r w:rsidRPr="00E36AC7">
        <w:rPr>
          <w:sz w:val="20"/>
        </w:rPr>
        <w:t>Ampliación y Mejora de la Infraestructura Vial</w:t>
      </w:r>
      <w:bookmarkEnd w:id="67"/>
    </w:p>
    <w:p w:rsidR="004B45C9" w:rsidRPr="00E36AC7" w:rsidRDefault="000634E0" w:rsidP="00774FA5">
      <w:pPr>
        <w:spacing w:before="240"/>
        <w:rPr>
          <w:sz w:val="20"/>
        </w:rPr>
      </w:pPr>
      <w:r w:rsidRPr="00E36AC7">
        <w:rPr>
          <w:sz w:val="20"/>
        </w:rPr>
        <w:t>E</w:t>
      </w:r>
      <w:r w:rsidR="00DA7B13" w:rsidRPr="00E36AC7">
        <w:rPr>
          <w:sz w:val="20"/>
        </w:rPr>
        <w:t>l FISDL ha pavimentado, concret</w:t>
      </w:r>
      <w:r w:rsidRPr="00E36AC7">
        <w:rPr>
          <w:sz w:val="20"/>
        </w:rPr>
        <w:t xml:space="preserve">ado, asfaltado, reparado y/o mejorado </w:t>
      </w:r>
      <w:r w:rsidR="00D702E5" w:rsidRPr="00E36AC7">
        <w:rPr>
          <w:sz w:val="20"/>
        </w:rPr>
        <w:t>42.26</w:t>
      </w:r>
      <w:r w:rsidRPr="00E36AC7">
        <w:rPr>
          <w:sz w:val="20"/>
        </w:rPr>
        <w:t xml:space="preserve"> kilómetros,</w:t>
      </w:r>
      <w:r w:rsidR="00D702E5" w:rsidRPr="00E36AC7">
        <w:rPr>
          <w:sz w:val="20"/>
        </w:rPr>
        <w:t xml:space="preserve"> así como ha </w:t>
      </w:r>
      <w:r w:rsidR="00B97EA9" w:rsidRPr="00E36AC7">
        <w:rPr>
          <w:sz w:val="20"/>
        </w:rPr>
        <w:t>reconstruido</w:t>
      </w:r>
      <w:r w:rsidR="00D702E5" w:rsidRPr="00E36AC7">
        <w:rPr>
          <w:sz w:val="20"/>
        </w:rPr>
        <w:t xml:space="preserve"> </w:t>
      </w:r>
      <w:r w:rsidR="00B97EA9" w:rsidRPr="00E36AC7">
        <w:rPr>
          <w:sz w:val="20"/>
        </w:rPr>
        <w:t>6</w:t>
      </w:r>
      <w:r w:rsidR="00D702E5" w:rsidRPr="00E36AC7">
        <w:rPr>
          <w:sz w:val="20"/>
        </w:rPr>
        <w:t xml:space="preserve"> puentes vehiculares</w:t>
      </w:r>
      <w:r w:rsidR="00B97EA9" w:rsidRPr="00E36AC7">
        <w:rPr>
          <w:sz w:val="20"/>
        </w:rPr>
        <w:t xml:space="preserve"> y 1 puente peatonal</w:t>
      </w:r>
      <w:r w:rsidR="00D702E5" w:rsidRPr="00E36AC7">
        <w:rPr>
          <w:sz w:val="20"/>
        </w:rPr>
        <w:t>,</w:t>
      </w:r>
      <w:r w:rsidRPr="00E36AC7">
        <w:rPr>
          <w:sz w:val="20"/>
        </w:rPr>
        <w:t xml:space="preserve"> beneficiando a </w:t>
      </w:r>
      <w:r w:rsidR="00774FA5" w:rsidRPr="00E36AC7">
        <w:rPr>
          <w:sz w:val="20"/>
        </w:rPr>
        <w:t xml:space="preserve">más de </w:t>
      </w:r>
      <w:r w:rsidR="00D702E5" w:rsidRPr="00E36AC7">
        <w:rPr>
          <w:sz w:val="20"/>
        </w:rPr>
        <w:t>829</w:t>
      </w:r>
      <w:r w:rsidR="00774FA5" w:rsidRPr="00E36AC7">
        <w:rPr>
          <w:sz w:val="20"/>
        </w:rPr>
        <w:t xml:space="preserve"> mil</w:t>
      </w:r>
      <w:r w:rsidRPr="00E36AC7">
        <w:rPr>
          <w:sz w:val="20"/>
        </w:rPr>
        <w:t xml:space="preserve"> personas de </w:t>
      </w:r>
      <w:r w:rsidR="00D702E5" w:rsidRPr="00E36AC7">
        <w:rPr>
          <w:sz w:val="20"/>
        </w:rPr>
        <w:t>38</w:t>
      </w:r>
      <w:r w:rsidRPr="00E36AC7">
        <w:rPr>
          <w:sz w:val="20"/>
        </w:rPr>
        <w:t xml:space="preserve"> municipios co</w:t>
      </w:r>
      <w:r w:rsidR="003B62F7" w:rsidRPr="00E36AC7">
        <w:rPr>
          <w:sz w:val="20"/>
        </w:rPr>
        <w:t xml:space="preserve">n </w:t>
      </w:r>
      <w:r w:rsidR="00D702E5" w:rsidRPr="00E36AC7">
        <w:rPr>
          <w:sz w:val="20"/>
        </w:rPr>
        <w:t>63</w:t>
      </w:r>
      <w:r w:rsidR="00774FA5" w:rsidRPr="00E36AC7">
        <w:rPr>
          <w:sz w:val="20"/>
        </w:rPr>
        <w:t xml:space="preserve"> proyectos</w:t>
      </w:r>
      <w:r w:rsidR="003B62F7" w:rsidRPr="00E36AC7">
        <w:rPr>
          <w:sz w:val="20"/>
        </w:rPr>
        <w:t>.</w:t>
      </w:r>
      <w:r w:rsidR="00774FA5" w:rsidRPr="00E36AC7">
        <w:rPr>
          <w:sz w:val="20"/>
        </w:rPr>
        <w:t xml:space="preserve">  </w:t>
      </w:r>
      <w:r w:rsidRPr="00E36AC7">
        <w:rPr>
          <w:sz w:val="20"/>
        </w:rPr>
        <w:t>La inversión asciende a US$</w:t>
      </w:r>
      <w:r w:rsidR="00D702E5" w:rsidRPr="00E36AC7">
        <w:rPr>
          <w:sz w:val="20"/>
        </w:rPr>
        <w:t>12.44</w:t>
      </w:r>
      <w:r w:rsidRPr="00E36AC7">
        <w:rPr>
          <w:sz w:val="20"/>
        </w:rPr>
        <w:t xml:space="preserve"> millones</w:t>
      </w:r>
      <w:r w:rsidR="004B45C9" w:rsidRPr="00E36AC7">
        <w:rPr>
          <w:sz w:val="20"/>
        </w:rPr>
        <w:t>.</w:t>
      </w:r>
    </w:p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68" w:name="_Toc517944534"/>
      <w:r w:rsidRPr="00E36AC7">
        <w:rPr>
          <w:sz w:val="20"/>
        </w:rPr>
        <w:t>Apoyo y fortalecimiento en el ámbito local</w:t>
      </w:r>
      <w:bookmarkEnd w:id="68"/>
    </w:p>
    <w:p w:rsidR="000634E0" w:rsidRPr="00E36AC7" w:rsidRDefault="000634E0" w:rsidP="008170C2">
      <w:pPr>
        <w:spacing w:before="240"/>
        <w:rPr>
          <w:sz w:val="20"/>
        </w:rPr>
      </w:pPr>
      <w:r w:rsidRPr="00E36AC7">
        <w:rPr>
          <w:sz w:val="20"/>
        </w:rPr>
        <w:t>A través de asistencias técnicas el FISDL ha invertido US$</w:t>
      </w:r>
      <w:r w:rsidR="000A3601" w:rsidRPr="00E36AC7">
        <w:rPr>
          <w:sz w:val="20"/>
        </w:rPr>
        <w:t>4.</w:t>
      </w:r>
      <w:r w:rsidR="00B84957" w:rsidRPr="00E36AC7">
        <w:rPr>
          <w:sz w:val="20"/>
        </w:rPr>
        <w:t>46</w:t>
      </w:r>
      <w:r w:rsidRPr="00E36AC7">
        <w:rPr>
          <w:sz w:val="20"/>
        </w:rPr>
        <w:t xml:space="preserve"> millones.</w:t>
      </w:r>
    </w:p>
    <w:p w:rsidR="000634E0" w:rsidRPr="00E36AC7" w:rsidRDefault="000634E0" w:rsidP="008A2B9E">
      <w:pPr>
        <w:spacing w:after="0"/>
        <w:jc w:val="center"/>
        <w:rPr>
          <w:b/>
          <w:sz w:val="20"/>
        </w:rPr>
      </w:pPr>
      <w:r w:rsidRPr="00E36AC7">
        <w:rPr>
          <w:b/>
          <w:sz w:val="20"/>
        </w:rPr>
        <w:t>Cuadr</w:t>
      </w:r>
      <w:r w:rsidR="00223E25" w:rsidRPr="00E36AC7">
        <w:rPr>
          <w:b/>
          <w:sz w:val="20"/>
        </w:rPr>
        <w:t>o</w:t>
      </w:r>
      <w:r w:rsidRPr="00E36AC7">
        <w:rPr>
          <w:b/>
          <w:sz w:val="20"/>
        </w:rPr>
        <w:t>: Desglose de Inversión en Asistencias Técnicas (US$)</w:t>
      </w:r>
    </w:p>
    <w:tbl>
      <w:tblPr>
        <w:tblStyle w:val="Listaclara-nfasis1"/>
        <w:tblW w:w="4100" w:type="dxa"/>
        <w:jc w:val="center"/>
        <w:tblLook w:val="0460" w:firstRow="1" w:lastRow="1" w:firstColumn="0" w:lastColumn="0" w:noHBand="0" w:noVBand="1"/>
      </w:tblPr>
      <w:tblGrid>
        <w:gridCol w:w="2680"/>
        <w:gridCol w:w="1420"/>
      </w:tblGrid>
      <w:tr w:rsidR="00B84957" w:rsidRPr="00223E25" w:rsidTr="00B84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2680" w:type="dxa"/>
            <w:noWrap/>
            <w:hideMark/>
          </w:tcPr>
          <w:p w:rsidR="00B84957" w:rsidRPr="00223E25" w:rsidRDefault="00B84957" w:rsidP="00B84957">
            <w:pPr>
              <w:jc w:val="center"/>
              <w:rPr>
                <w:rFonts w:eastAsia="Times New Roman" w:cstheme="minorHAns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FFFFFF"/>
                <w:sz w:val="18"/>
                <w:lang w:eastAsia="es-SV"/>
              </w:rPr>
              <w:t>Tipo de Asistencia Técnica</w:t>
            </w:r>
          </w:p>
        </w:tc>
        <w:tc>
          <w:tcPr>
            <w:tcW w:w="1420" w:type="dxa"/>
            <w:noWrap/>
            <w:hideMark/>
          </w:tcPr>
          <w:p w:rsidR="00B84957" w:rsidRPr="00223E25" w:rsidRDefault="00B84957" w:rsidP="00B84957">
            <w:pPr>
              <w:jc w:val="center"/>
              <w:rPr>
                <w:rFonts w:eastAsia="Times New Roman" w:cstheme="minorHAns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FFFFFF"/>
                <w:sz w:val="18"/>
                <w:lang w:eastAsia="es-SV"/>
              </w:rPr>
              <w:t>Ejecutado</w:t>
            </w:r>
          </w:p>
        </w:tc>
      </w:tr>
      <w:tr w:rsidR="00B84957" w:rsidRPr="00223E25" w:rsidTr="00B84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680" w:type="dxa"/>
            <w:noWrap/>
            <w:hideMark/>
          </w:tcPr>
          <w:p w:rsidR="00B84957" w:rsidRPr="00223E25" w:rsidRDefault="00B84957" w:rsidP="00B84957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Mejoramiento de Vida</w:t>
            </w:r>
          </w:p>
        </w:tc>
        <w:tc>
          <w:tcPr>
            <w:tcW w:w="1420" w:type="dxa"/>
            <w:noWrap/>
            <w:hideMark/>
          </w:tcPr>
          <w:p w:rsidR="00B84957" w:rsidRPr="00223E25" w:rsidRDefault="00B84957" w:rsidP="00B84957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$2,384,212.68</w:t>
            </w:r>
          </w:p>
        </w:tc>
      </w:tr>
      <w:tr w:rsidR="00B84957" w:rsidRPr="00223E25" w:rsidTr="00B84957">
        <w:trPr>
          <w:trHeight w:val="20"/>
          <w:jc w:val="center"/>
        </w:trPr>
        <w:tc>
          <w:tcPr>
            <w:tcW w:w="2680" w:type="dxa"/>
            <w:noWrap/>
            <w:hideMark/>
          </w:tcPr>
          <w:p w:rsidR="00B84957" w:rsidRPr="00223E25" w:rsidRDefault="00B84957" w:rsidP="00B84957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Papilla Nutricional</w:t>
            </w:r>
          </w:p>
        </w:tc>
        <w:tc>
          <w:tcPr>
            <w:tcW w:w="1420" w:type="dxa"/>
            <w:noWrap/>
            <w:hideMark/>
          </w:tcPr>
          <w:p w:rsidR="00B84957" w:rsidRPr="00223E25" w:rsidRDefault="00B84957" w:rsidP="00B84957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$1,287,000.00</w:t>
            </w:r>
          </w:p>
        </w:tc>
      </w:tr>
      <w:tr w:rsidR="00B84957" w:rsidRPr="00223E25" w:rsidTr="00B84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680" w:type="dxa"/>
            <w:noWrap/>
            <w:hideMark/>
          </w:tcPr>
          <w:p w:rsidR="00B84957" w:rsidRPr="00223E25" w:rsidRDefault="00B84957" w:rsidP="00B84957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Consultorías</w:t>
            </w:r>
          </w:p>
        </w:tc>
        <w:tc>
          <w:tcPr>
            <w:tcW w:w="1420" w:type="dxa"/>
            <w:noWrap/>
            <w:hideMark/>
          </w:tcPr>
          <w:p w:rsidR="00B84957" w:rsidRPr="00223E25" w:rsidRDefault="00B84957" w:rsidP="00B84957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$684,227.02</w:t>
            </w:r>
          </w:p>
        </w:tc>
      </w:tr>
      <w:tr w:rsidR="00B84957" w:rsidRPr="00223E25" w:rsidTr="00B84957">
        <w:trPr>
          <w:trHeight w:val="20"/>
          <w:jc w:val="center"/>
        </w:trPr>
        <w:tc>
          <w:tcPr>
            <w:tcW w:w="2680" w:type="dxa"/>
            <w:noWrap/>
            <w:hideMark/>
          </w:tcPr>
          <w:p w:rsidR="00B84957" w:rsidRPr="00223E25" w:rsidRDefault="00B84957" w:rsidP="00B84957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Asocios Públicos Privados</w:t>
            </w:r>
          </w:p>
        </w:tc>
        <w:tc>
          <w:tcPr>
            <w:tcW w:w="1420" w:type="dxa"/>
            <w:noWrap/>
            <w:hideMark/>
          </w:tcPr>
          <w:p w:rsidR="00B84957" w:rsidRPr="00223E25" w:rsidRDefault="00B84957" w:rsidP="00B84957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$105,620.00</w:t>
            </w:r>
          </w:p>
        </w:tc>
      </w:tr>
      <w:tr w:rsidR="00B84957" w:rsidRPr="00223E25" w:rsidTr="00B849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2680" w:type="dxa"/>
            <w:noWrap/>
            <w:hideMark/>
          </w:tcPr>
          <w:p w:rsidR="00B84957" w:rsidRPr="00223E25" w:rsidRDefault="00B84957" w:rsidP="00B84957">
            <w:pPr>
              <w:jc w:val="left"/>
              <w:rPr>
                <w:rFonts w:eastAsia="Times New Roman" w:cstheme="minorHAnsi"/>
                <w:noProof w:val="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sz w:val="18"/>
                <w:lang w:eastAsia="es-SV"/>
              </w:rPr>
              <w:t> Total General</w:t>
            </w:r>
          </w:p>
        </w:tc>
        <w:tc>
          <w:tcPr>
            <w:tcW w:w="1420" w:type="dxa"/>
            <w:noWrap/>
            <w:hideMark/>
          </w:tcPr>
          <w:p w:rsidR="00B84957" w:rsidRPr="00223E25" w:rsidRDefault="00B84957" w:rsidP="00B84957">
            <w:pPr>
              <w:jc w:val="right"/>
              <w:rPr>
                <w:rFonts w:eastAsia="Times New Roman" w:cstheme="minorHAnsi"/>
                <w:noProof w:val="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sz w:val="18"/>
                <w:lang w:eastAsia="es-SV"/>
              </w:rPr>
              <w:t>$4,461,059.70</w:t>
            </w:r>
          </w:p>
        </w:tc>
      </w:tr>
    </w:tbl>
    <w:p w:rsidR="000634E0" w:rsidRDefault="000634E0" w:rsidP="0000294A"/>
    <w:p w:rsidR="000634E0" w:rsidRPr="00E36AC7" w:rsidRDefault="000634E0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69" w:name="_Toc517944535"/>
      <w:r w:rsidRPr="00E36AC7">
        <w:rPr>
          <w:sz w:val="20"/>
        </w:rPr>
        <w:lastRenderedPageBreak/>
        <w:t xml:space="preserve">Mejora de los </w:t>
      </w:r>
      <w:r w:rsidR="002876B9" w:rsidRPr="00E36AC7">
        <w:rPr>
          <w:sz w:val="20"/>
        </w:rPr>
        <w:t xml:space="preserve">procesos y sistemas administrativos, financieros y técnicos municipales </w:t>
      </w:r>
      <w:r w:rsidR="00EE56E5" w:rsidRPr="00E36AC7">
        <w:rPr>
          <w:sz w:val="20"/>
        </w:rPr>
        <w:t xml:space="preserve">por medio del </w:t>
      </w:r>
      <w:r w:rsidRPr="00E36AC7">
        <w:rPr>
          <w:sz w:val="20"/>
        </w:rPr>
        <w:t>P</w:t>
      </w:r>
      <w:r w:rsidR="00EE56E5" w:rsidRPr="00E36AC7">
        <w:rPr>
          <w:sz w:val="20"/>
        </w:rPr>
        <w:t xml:space="preserve">rograma de </w:t>
      </w:r>
      <w:r w:rsidRPr="00E36AC7">
        <w:rPr>
          <w:sz w:val="20"/>
        </w:rPr>
        <w:t>F</w:t>
      </w:r>
      <w:r w:rsidR="00EE56E5" w:rsidRPr="00E36AC7">
        <w:rPr>
          <w:sz w:val="20"/>
        </w:rPr>
        <w:t xml:space="preserve">ortalecimiento de los </w:t>
      </w:r>
      <w:r w:rsidRPr="00E36AC7">
        <w:rPr>
          <w:sz w:val="20"/>
        </w:rPr>
        <w:t>G</w:t>
      </w:r>
      <w:r w:rsidR="00EE56E5" w:rsidRPr="00E36AC7">
        <w:rPr>
          <w:sz w:val="20"/>
        </w:rPr>
        <w:t xml:space="preserve">obiernos </w:t>
      </w:r>
      <w:r w:rsidRPr="00E36AC7">
        <w:rPr>
          <w:sz w:val="20"/>
        </w:rPr>
        <w:t>L</w:t>
      </w:r>
      <w:r w:rsidR="00EE56E5" w:rsidRPr="00E36AC7">
        <w:rPr>
          <w:sz w:val="20"/>
        </w:rPr>
        <w:t>ocales</w:t>
      </w:r>
      <w:r w:rsidR="002876B9" w:rsidRPr="00E36AC7">
        <w:rPr>
          <w:sz w:val="20"/>
        </w:rPr>
        <w:t xml:space="preserve"> - PFGL</w:t>
      </w:r>
      <w:bookmarkEnd w:id="69"/>
    </w:p>
    <w:p w:rsidR="000634E0" w:rsidRPr="00E36AC7" w:rsidRDefault="000634E0" w:rsidP="00EC0FF3">
      <w:pPr>
        <w:spacing w:before="240"/>
        <w:rPr>
          <w:sz w:val="20"/>
        </w:rPr>
      </w:pPr>
      <w:r w:rsidRPr="00E36AC7">
        <w:rPr>
          <w:sz w:val="20"/>
        </w:rPr>
        <w:t xml:space="preserve">El FISDL a través del Proyecto de Fortalecimiento de Gobiernos Locales – PFGL, que diera inicio en 2010, </w:t>
      </w:r>
      <w:r w:rsidR="002876B9" w:rsidRPr="00E36AC7">
        <w:rPr>
          <w:sz w:val="20"/>
        </w:rPr>
        <w:t>invirtió</w:t>
      </w:r>
      <w:r w:rsidRPr="00E36AC7">
        <w:rPr>
          <w:sz w:val="20"/>
        </w:rPr>
        <w:t xml:space="preserve"> de junio 201</w:t>
      </w:r>
      <w:r w:rsidR="00ED38C9" w:rsidRPr="00E36AC7">
        <w:rPr>
          <w:sz w:val="20"/>
        </w:rPr>
        <w:t>4</w:t>
      </w:r>
      <w:r w:rsidRPr="00E36AC7">
        <w:rPr>
          <w:sz w:val="20"/>
        </w:rPr>
        <w:t xml:space="preserve"> a mayo 201</w:t>
      </w:r>
      <w:r w:rsidR="00FB6502" w:rsidRPr="00E36AC7">
        <w:rPr>
          <w:sz w:val="20"/>
        </w:rPr>
        <w:t>8</w:t>
      </w:r>
      <w:r w:rsidRPr="00E36AC7">
        <w:rPr>
          <w:sz w:val="20"/>
        </w:rPr>
        <w:t xml:space="preserve"> USD$</w:t>
      </w:r>
      <w:r w:rsidR="008B2FA0" w:rsidRPr="00E36AC7">
        <w:rPr>
          <w:sz w:val="20"/>
        </w:rPr>
        <w:t>14.23</w:t>
      </w:r>
      <w:r w:rsidRPr="00E36AC7">
        <w:rPr>
          <w:sz w:val="20"/>
        </w:rPr>
        <w:t xml:space="preserve"> millones</w:t>
      </w:r>
      <w:r w:rsidR="008B2FA0" w:rsidRPr="00E36AC7">
        <w:rPr>
          <w:sz w:val="20"/>
        </w:rPr>
        <w:t>, de los cuales USD$7.18 millones fueron ejecutados en el componente 1 (Infraestructura) y USD$7.04 millones en el Componente 2 (Asistencias Técnicas)</w:t>
      </w:r>
      <w:r w:rsidRPr="00E36AC7">
        <w:rPr>
          <w:sz w:val="20"/>
        </w:rPr>
        <w:t>.</w:t>
      </w:r>
      <w:r w:rsidR="00FB6502" w:rsidRPr="00E36AC7">
        <w:rPr>
          <w:sz w:val="20"/>
        </w:rPr>
        <w:t xml:space="preserve">  Este proyecto fue liquidado en la presente gestión, durante el tercer año (2017).</w:t>
      </w:r>
    </w:p>
    <w:p w:rsidR="001A3146" w:rsidRPr="00E36AC7" w:rsidRDefault="001A3146" w:rsidP="00223E25">
      <w:pPr>
        <w:pStyle w:val="Ttulo3"/>
        <w:numPr>
          <w:ilvl w:val="1"/>
          <w:numId w:val="26"/>
        </w:numPr>
        <w:ind w:left="426"/>
        <w:rPr>
          <w:sz w:val="20"/>
        </w:rPr>
      </w:pPr>
      <w:bookmarkStart w:id="70" w:name="_Toc517944536"/>
      <w:r w:rsidRPr="00E36AC7">
        <w:rPr>
          <w:sz w:val="20"/>
        </w:rPr>
        <w:t>Gastos Asociados a la Inversión</w:t>
      </w:r>
      <w:bookmarkEnd w:id="70"/>
    </w:p>
    <w:p w:rsidR="001A3146" w:rsidRPr="00E36AC7" w:rsidRDefault="001A3146" w:rsidP="001A3146">
      <w:pPr>
        <w:rPr>
          <w:sz w:val="20"/>
        </w:rPr>
      </w:pPr>
      <w:r w:rsidRPr="00E36AC7">
        <w:rPr>
          <w:sz w:val="20"/>
        </w:rPr>
        <w:t>Desde enero de 2017, el FISDL incluye dentro de la ejecución de la inversión los gastos asociados a la misma, desde esa fecha a mayo de 2018, estos gastos suman un total de US$3.87 millones, pertenecientes a lo sigui</w:t>
      </w:r>
      <w:r w:rsidR="00A038EC">
        <w:rPr>
          <w:sz w:val="20"/>
        </w:rPr>
        <w:t>e</w:t>
      </w:r>
      <w:r w:rsidRPr="00E36AC7">
        <w:rPr>
          <w:sz w:val="20"/>
        </w:rPr>
        <w:t>ntes programas:</w:t>
      </w:r>
    </w:p>
    <w:p w:rsidR="001A3146" w:rsidRPr="00E36AC7" w:rsidRDefault="001A3146" w:rsidP="001A3146">
      <w:pPr>
        <w:jc w:val="center"/>
        <w:rPr>
          <w:b/>
          <w:sz w:val="20"/>
        </w:rPr>
      </w:pPr>
      <w:r w:rsidRPr="00E36AC7">
        <w:rPr>
          <w:b/>
          <w:sz w:val="20"/>
        </w:rPr>
        <w:t>Cuadro : Gastos Asociados a programas de enero 2017 a mayo 2018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3723"/>
        <w:gridCol w:w="1270"/>
      </w:tblGrid>
      <w:tr w:rsidR="001A3146" w:rsidRPr="00223E25" w:rsidTr="001A3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center"/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  <w:t>Programa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center"/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FFFFFF"/>
                <w:sz w:val="18"/>
                <w:lang w:eastAsia="es-SV"/>
              </w:rPr>
              <w:t>Ejecutado</w:t>
            </w:r>
          </w:p>
        </w:tc>
      </w:tr>
      <w:tr w:rsidR="001A3146" w:rsidRPr="00223E25" w:rsidTr="001A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Comunidades Solidarias Rurales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$2,261,497.21</w:t>
            </w:r>
          </w:p>
        </w:tc>
      </w:tr>
      <w:tr w:rsidR="001A3146" w:rsidRPr="00223E25" w:rsidTr="001A3146">
        <w:trPr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Estrategia de Erradicación de la Pobreza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$999,612.58</w:t>
            </w:r>
          </w:p>
        </w:tc>
      </w:tr>
      <w:tr w:rsidR="001A3146" w:rsidRPr="00223E25" w:rsidTr="001A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Plan El Salvador Seguro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$393,151.65</w:t>
            </w:r>
          </w:p>
        </w:tc>
      </w:tr>
      <w:tr w:rsidR="001A3146" w:rsidRPr="00223E25" w:rsidTr="001A3146">
        <w:trPr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Fondo de Agua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$112,737.76</w:t>
            </w:r>
          </w:p>
        </w:tc>
      </w:tr>
      <w:tr w:rsidR="001A3146" w:rsidRPr="00223E25" w:rsidTr="001A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FINET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$68,982.54</w:t>
            </w:r>
          </w:p>
        </w:tc>
      </w:tr>
      <w:tr w:rsidR="001A3146" w:rsidRPr="00223E25" w:rsidTr="001A3146">
        <w:trPr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Otros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$14,675.00</w:t>
            </w:r>
          </w:p>
        </w:tc>
      </w:tr>
      <w:tr w:rsidR="001A3146" w:rsidRPr="00223E25" w:rsidTr="001A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 xml:space="preserve">Proyecto Asocios Públicos Privados BID - </w:t>
            </w:r>
            <w:proofErr w:type="spellStart"/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FOMIN</w:t>
            </w:r>
            <w:proofErr w:type="spellEnd"/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$8,057.00</w:t>
            </w:r>
          </w:p>
        </w:tc>
      </w:tr>
      <w:tr w:rsidR="001A3146" w:rsidRPr="00223E25" w:rsidTr="001A3146">
        <w:trPr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Veteranos de Guerra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$8,000.00</w:t>
            </w:r>
          </w:p>
        </w:tc>
      </w:tr>
      <w:tr w:rsidR="001A3146" w:rsidRPr="00223E25" w:rsidTr="001A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proofErr w:type="spellStart"/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FANTEL</w:t>
            </w:r>
            <w:proofErr w:type="spellEnd"/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color w:val="000000"/>
                <w:sz w:val="18"/>
                <w:lang w:eastAsia="es-SV"/>
              </w:rPr>
              <w:t>$1,364.49</w:t>
            </w:r>
          </w:p>
        </w:tc>
      </w:tr>
      <w:tr w:rsidR="001A3146" w:rsidRPr="00223E25" w:rsidTr="001A314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left"/>
              <w:rPr>
                <w:rFonts w:ascii="Calibri" w:eastAsia="Times New Roman" w:hAnsi="Calibri" w:cs="Calibri"/>
                <w:noProof w:val="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sz w:val="18"/>
                <w:lang w:eastAsia="es-SV"/>
              </w:rPr>
              <w:t>Total Gastos Asociados</w:t>
            </w:r>
          </w:p>
        </w:tc>
        <w:tc>
          <w:tcPr>
            <w:tcW w:w="0" w:type="auto"/>
            <w:noWrap/>
            <w:hideMark/>
          </w:tcPr>
          <w:p w:rsidR="001A3146" w:rsidRPr="00223E25" w:rsidRDefault="001A3146" w:rsidP="001A3146">
            <w:pPr>
              <w:jc w:val="right"/>
              <w:rPr>
                <w:rFonts w:ascii="Calibri" w:eastAsia="Times New Roman" w:hAnsi="Calibri" w:cs="Calibri"/>
                <w:noProof w:val="0"/>
                <w:sz w:val="18"/>
                <w:lang w:eastAsia="es-SV"/>
              </w:rPr>
            </w:pPr>
            <w:r w:rsidRPr="00223E25">
              <w:rPr>
                <w:rFonts w:ascii="Calibri" w:eastAsia="Times New Roman" w:hAnsi="Calibri" w:cs="Calibri"/>
                <w:noProof w:val="0"/>
                <w:sz w:val="18"/>
                <w:lang w:eastAsia="es-SV"/>
              </w:rPr>
              <w:t>$3,868,078.23</w:t>
            </w:r>
          </w:p>
        </w:tc>
      </w:tr>
    </w:tbl>
    <w:p w:rsidR="00203EFC" w:rsidRDefault="00203EFC" w:rsidP="00F4175B">
      <w:pPr>
        <w:pStyle w:val="Sinespaciado"/>
      </w:pPr>
    </w:p>
    <w:p w:rsidR="000634E0" w:rsidRDefault="000634E0" w:rsidP="0000294A">
      <w:pPr>
        <w:pStyle w:val="Ttulo1"/>
      </w:pPr>
      <w:bookmarkStart w:id="71" w:name="_Toc517944537"/>
      <w:r w:rsidRPr="008C1B87">
        <w:t>Ejecución Presupuest</w:t>
      </w:r>
      <w:r w:rsidR="00EE56E5">
        <w:t>aria</w:t>
      </w:r>
      <w:r w:rsidRPr="008C1B87">
        <w:t xml:space="preserve"> FISDL </w:t>
      </w:r>
      <w:r>
        <w:t xml:space="preserve">y FINET </w:t>
      </w:r>
      <w:r w:rsidRPr="008C1B87">
        <w:t>201</w:t>
      </w:r>
      <w:r w:rsidR="00ED38C9">
        <w:t>4 a 201</w:t>
      </w:r>
      <w:r w:rsidR="001F60D5">
        <w:t>8</w:t>
      </w:r>
      <w:r w:rsidR="00EE56E5">
        <w:t xml:space="preserve"> (</w:t>
      </w:r>
      <w:r w:rsidR="0071174F">
        <w:t>Período</w:t>
      </w:r>
      <w:r w:rsidR="00ED38C9">
        <w:t>s</w:t>
      </w:r>
      <w:r w:rsidR="00EE56E5">
        <w:t xml:space="preserve"> Fiscal</w:t>
      </w:r>
      <w:r w:rsidR="00ED38C9">
        <w:t>es</w:t>
      </w:r>
      <w:r w:rsidR="00EE56E5">
        <w:t>)</w:t>
      </w:r>
      <w:bookmarkEnd w:id="71"/>
    </w:p>
    <w:p w:rsidR="00E64EAA" w:rsidRDefault="00E64EAA" w:rsidP="003941B0">
      <w:pPr>
        <w:spacing w:line="240" w:lineRule="auto"/>
        <w:jc w:val="center"/>
        <w:rPr>
          <w:b/>
          <w:sz w:val="20"/>
          <w:szCs w:val="20"/>
        </w:rPr>
      </w:pPr>
    </w:p>
    <w:p w:rsidR="00223E25" w:rsidRDefault="00223E25" w:rsidP="003941B0">
      <w:pPr>
        <w:spacing w:line="240" w:lineRule="auto"/>
        <w:jc w:val="center"/>
        <w:rPr>
          <w:b/>
          <w:sz w:val="20"/>
          <w:szCs w:val="20"/>
        </w:rPr>
      </w:pPr>
      <w:r w:rsidRPr="00964530">
        <w:rPr>
          <w:b/>
          <w:sz w:val="20"/>
          <w:szCs w:val="20"/>
        </w:rPr>
        <w:t>Cuadro: Ejecución Presupuestarias del FISDL (millones de US$)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1469"/>
        <w:gridCol w:w="1046"/>
        <w:gridCol w:w="847"/>
        <w:gridCol w:w="665"/>
      </w:tblGrid>
      <w:tr w:rsidR="00093CA4" w:rsidRPr="00093CA4" w:rsidTr="0009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Presupuesto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Ejecución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Saldo</w:t>
            </w:r>
          </w:p>
        </w:tc>
      </w:tr>
      <w:tr w:rsidR="00093CA4" w:rsidRPr="00093CA4" w:rsidTr="0009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$119.33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$88.71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$30.62</w:t>
            </w:r>
          </w:p>
        </w:tc>
      </w:tr>
      <w:tr w:rsidR="00093CA4" w:rsidRPr="00093CA4" w:rsidTr="00093CA4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$107.38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$84.56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$22.82</w:t>
            </w:r>
          </w:p>
        </w:tc>
      </w:tr>
      <w:tr w:rsidR="00093CA4" w:rsidRPr="00093CA4" w:rsidTr="0009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$80.73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$70.98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$9.74</w:t>
            </w:r>
          </w:p>
        </w:tc>
      </w:tr>
      <w:tr w:rsidR="00093CA4" w:rsidRPr="00093CA4" w:rsidTr="00093CA4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bookmarkStart w:id="72" w:name="_GoBack"/>
            <w:bookmarkEnd w:id="72"/>
            <w:r w:rsidRPr="00093CA4">
              <w:rPr>
                <w:sz w:val="16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$76.23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$60.08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$16.15</w:t>
            </w:r>
          </w:p>
        </w:tc>
      </w:tr>
      <w:tr w:rsidR="00093CA4" w:rsidRPr="00093CA4" w:rsidTr="0009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Enero a mayo 2018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$26.47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$9.92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$16.54</w:t>
            </w:r>
          </w:p>
        </w:tc>
      </w:tr>
      <w:tr w:rsidR="00093CA4" w:rsidRPr="00093CA4" w:rsidTr="00093C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Total General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$410.14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$314.25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$95.88</w:t>
            </w:r>
          </w:p>
        </w:tc>
      </w:tr>
    </w:tbl>
    <w:p w:rsidR="003941B0" w:rsidRPr="003941B0" w:rsidRDefault="003941B0" w:rsidP="00223E25">
      <w:pPr>
        <w:jc w:val="center"/>
        <w:rPr>
          <w:b/>
          <w:sz w:val="4"/>
          <w:szCs w:val="20"/>
        </w:rPr>
      </w:pPr>
    </w:p>
    <w:p w:rsidR="00223E25" w:rsidRDefault="00223E25" w:rsidP="003941B0">
      <w:pPr>
        <w:spacing w:line="240" w:lineRule="auto"/>
        <w:jc w:val="center"/>
        <w:rPr>
          <w:b/>
          <w:sz w:val="20"/>
          <w:szCs w:val="20"/>
        </w:rPr>
      </w:pPr>
      <w:r w:rsidRPr="00964530">
        <w:rPr>
          <w:b/>
          <w:sz w:val="20"/>
          <w:szCs w:val="20"/>
        </w:rPr>
        <w:t xml:space="preserve">Cuadro: </w:t>
      </w:r>
      <w:r>
        <w:rPr>
          <w:b/>
          <w:sz w:val="20"/>
          <w:szCs w:val="20"/>
        </w:rPr>
        <w:t xml:space="preserve">Ejecución Presupuestarias del </w:t>
      </w:r>
      <w:r w:rsidRPr="00964530">
        <w:rPr>
          <w:b/>
          <w:sz w:val="20"/>
          <w:szCs w:val="20"/>
        </w:rPr>
        <w:t>FINET</w:t>
      </w:r>
      <w:r>
        <w:rPr>
          <w:b/>
          <w:sz w:val="20"/>
          <w:szCs w:val="20"/>
        </w:rPr>
        <w:t xml:space="preserve"> </w:t>
      </w:r>
      <w:r w:rsidRPr="00964530">
        <w:rPr>
          <w:b/>
          <w:sz w:val="20"/>
          <w:szCs w:val="20"/>
        </w:rPr>
        <w:t>(millones de US$)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1469"/>
        <w:gridCol w:w="1046"/>
        <w:gridCol w:w="847"/>
        <w:gridCol w:w="665"/>
      </w:tblGrid>
      <w:tr w:rsidR="00093CA4" w:rsidRPr="00093CA4" w:rsidTr="0009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Presupuesto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Ejecución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Saldo</w:t>
            </w:r>
          </w:p>
        </w:tc>
      </w:tr>
      <w:tr w:rsidR="00093CA4" w:rsidRPr="00093CA4" w:rsidTr="0009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$179.39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$178.43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$0.96</w:t>
            </w:r>
          </w:p>
        </w:tc>
      </w:tr>
      <w:tr w:rsidR="00093CA4" w:rsidRPr="00093CA4" w:rsidTr="00093CA4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$174.86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$131.79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$43.08</w:t>
            </w:r>
          </w:p>
        </w:tc>
      </w:tr>
      <w:tr w:rsidR="00093CA4" w:rsidRPr="00093CA4" w:rsidTr="0009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$93.17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$91.18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$1.98</w:t>
            </w:r>
          </w:p>
        </w:tc>
      </w:tr>
      <w:tr w:rsidR="00093CA4" w:rsidRPr="00093CA4" w:rsidTr="00093CA4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$46.29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$45.87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$0.42</w:t>
            </w:r>
          </w:p>
        </w:tc>
      </w:tr>
      <w:tr w:rsidR="00093CA4" w:rsidRPr="00093CA4" w:rsidTr="0009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Enero a mayo 2018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$20.04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$13.90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$6.15</w:t>
            </w:r>
          </w:p>
        </w:tc>
      </w:tr>
      <w:tr w:rsidR="00093CA4" w:rsidRPr="00093CA4" w:rsidTr="00093C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Total General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$513.75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$461.17</w:t>
            </w:r>
          </w:p>
        </w:tc>
        <w:tc>
          <w:tcPr>
            <w:tcW w:w="0" w:type="auto"/>
            <w:vAlign w:val="center"/>
            <w:hideMark/>
          </w:tcPr>
          <w:p w:rsidR="00000000" w:rsidRPr="00093CA4" w:rsidRDefault="00093CA4" w:rsidP="00093CA4">
            <w:pPr>
              <w:pStyle w:val="Sinespaciado"/>
              <w:jc w:val="center"/>
              <w:rPr>
                <w:sz w:val="16"/>
              </w:rPr>
            </w:pPr>
            <w:r w:rsidRPr="00093CA4">
              <w:rPr>
                <w:sz w:val="16"/>
              </w:rPr>
              <w:t>$52.58</w:t>
            </w:r>
          </w:p>
        </w:tc>
      </w:tr>
    </w:tbl>
    <w:p w:rsidR="00093CA4" w:rsidRPr="00964530" w:rsidRDefault="00093CA4" w:rsidP="003941B0">
      <w:pPr>
        <w:spacing w:line="240" w:lineRule="auto"/>
        <w:jc w:val="center"/>
        <w:rPr>
          <w:b/>
          <w:sz w:val="20"/>
          <w:szCs w:val="20"/>
        </w:rPr>
      </w:pPr>
    </w:p>
    <w:p w:rsidR="000634E0" w:rsidRDefault="000634E0" w:rsidP="0000294A">
      <w:pPr>
        <w:pStyle w:val="Ttulo1"/>
      </w:pPr>
      <w:bookmarkStart w:id="73" w:name="_Toc517944538"/>
      <w:r w:rsidRPr="008C1B87">
        <w:lastRenderedPageBreak/>
        <w:t>Problemas Enfrentados</w:t>
      </w:r>
      <w:bookmarkEnd w:id="73"/>
    </w:p>
    <w:p w:rsidR="003941B0" w:rsidRPr="003941B0" w:rsidRDefault="003941B0" w:rsidP="003941B0">
      <w:pPr>
        <w:rPr>
          <w:sz w:val="2"/>
        </w:rPr>
      </w:pPr>
    </w:p>
    <w:tbl>
      <w:tblPr>
        <w:tblStyle w:val="Listaclara-nfasis1"/>
        <w:tblW w:w="5000" w:type="pct"/>
        <w:jc w:val="center"/>
        <w:tblLook w:val="0420" w:firstRow="1" w:lastRow="0" w:firstColumn="0" w:lastColumn="0" w:noHBand="0" w:noVBand="1"/>
      </w:tblPr>
      <w:tblGrid>
        <w:gridCol w:w="10188"/>
      </w:tblGrid>
      <w:tr w:rsidR="003941B0" w:rsidRPr="003941B0" w:rsidTr="00394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00" w:type="pct"/>
          </w:tcPr>
          <w:p w:rsidR="003941B0" w:rsidRPr="003941B0" w:rsidRDefault="003941B0" w:rsidP="00CD0F03">
            <w:pPr>
              <w:jc w:val="center"/>
              <w:rPr>
                <w:b w:val="0"/>
                <w:sz w:val="18"/>
              </w:rPr>
            </w:pPr>
            <w:r w:rsidRPr="003941B0">
              <w:rPr>
                <w:sz w:val="18"/>
              </w:rPr>
              <w:t>Problema</w:t>
            </w:r>
          </w:p>
        </w:tc>
      </w:tr>
      <w:tr w:rsidR="003941B0" w:rsidRPr="003941B0" w:rsidTr="0039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000" w:type="pct"/>
          </w:tcPr>
          <w:p w:rsidR="003941B0" w:rsidRPr="003941B0" w:rsidRDefault="003941B0" w:rsidP="003941B0">
            <w:pPr>
              <w:jc w:val="left"/>
              <w:rPr>
                <w:sz w:val="18"/>
              </w:rPr>
            </w:pPr>
            <w:r w:rsidRPr="003941B0">
              <w:rPr>
                <w:sz w:val="18"/>
              </w:rPr>
              <w:t>Demora en la transferencia de fondos por parte del Ministerio de Hacienda para el pago de transferencias monetarias condicionadas y no condicionadas</w:t>
            </w:r>
          </w:p>
        </w:tc>
      </w:tr>
      <w:tr w:rsidR="003941B0" w:rsidRPr="003941B0" w:rsidTr="003941B0">
        <w:trPr>
          <w:jc w:val="center"/>
        </w:trPr>
        <w:tc>
          <w:tcPr>
            <w:tcW w:w="5000" w:type="pct"/>
          </w:tcPr>
          <w:p w:rsidR="003941B0" w:rsidRPr="003941B0" w:rsidRDefault="003941B0" w:rsidP="00701E1D">
            <w:pPr>
              <w:jc w:val="left"/>
              <w:rPr>
                <w:sz w:val="18"/>
              </w:rPr>
            </w:pPr>
            <w:r w:rsidRPr="003941B0">
              <w:rPr>
                <w:sz w:val="18"/>
              </w:rPr>
              <w:t>Inseguridad en las áreas de ejecución de proyectos</w:t>
            </w:r>
          </w:p>
        </w:tc>
      </w:tr>
      <w:tr w:rsidR="003941B0" w:rsidRPr="003941B0" w:rsidTr="00394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000" w:type="pct"/>
          </w:tcPr>
          <w:p w:rsidR="003941B0" w:rsidRPr="003941B0" w:rsidRDefault="003941B0" w:rsidP="005B072B">
            <w:pPr>
              <w:rPr>
                <w:sz w:val="18"/>
              </w:rPr>
            </w:pPr>
            <w:r w:rsidRPr="003941B0">
              <w:rPr>
                <w:sz w:val="18"/>
              </w:rPr>
              <w:t xml:space="preserve">Falta de diligencia de las municipalidades para liquidar los fondos transferidos </w:t>
            </w:r>
            <w:r w:rsidR="005B072B">
              <w:rPr>
                <w:sz w:val="18"/>
              </w:rPr>
              <w:t>por el FISDL</w:t>
            </w:r>
            <w:r w:rsidRPr="003941B0">
              <w:rPr>
                <w:sz w:val="18"/>
              </w:rPr>
              <w:t>.</w:t>
            </w:r>
          </w:p>
        </w:tc>
      </w:tr>
      <w:tr w:rsidR="003941B0" w:rsidRPr="003941B0" w:rsidTr="003941B0">
        <w:trPr>
          <w:jc w:val="center"/>
        </w:trPr>
        <w:tc>
          <w:tcPr>
            <w:tcW w:w="5000" w:type="pct"/>
          </w:tcPr>
          <w:p w:rsidR="003941B0" w:rsidRPr="003941B0" w:rsidRDefault="003941B0" w:rsidP="000728E7">
            <w:pPr>
              <w:rPr>
                <w:sz w:val="18"/>
              </w:rPr>
            </w:pPr>
            <w:r w:rsidRPr="003941B0">
              <w:rPr>
                <w:sz w:val="18"/>
              </w:rPr>
              <w:t>Coyuntura electoral</w:t>
            </w:r>
          </w:p>
        </w:tc>
      </w:tr>
    </w:tbl>
    <w:p w:rsidR="000634E0" w:rsidRPr="008C1B87" w:rsidRDefault="000634E0" w:rsidP="007F7379">
      <w:pPr>
        <w:pStyle w:val="Ttulo1"/>
        <w:spacing w:after="120"/>
      </w:pPr>
      <w:bookmarkStart w:id="74" w:name="_Toc517944539"/>
      <w:r w:rsidRPr="008C1B87">
        <w:t xml:space="preserve">Proyecciones </w:t>
      </w:r>
      <w:r w:rsidR="007F7379">
        <w:t>para el período</w:t>
      </w:r>
      <w:r w:rsidRPr="008C1B87">
        <w:t xml:space="preserve"> </w:t>
      </w:r>
      <w:r w:rsidR="007F7379">
        <w:t>J</w:t>
      </w:r>
      <w:r w:rsidRPr="008C1B87">
        <w:t>unio</w:t>
      </w:r>
      <w:r w:rsidR="007F7379">
        <w:t>-D</w:t>
      </w:r>
      <w:r w:rsidRPr="008C1B87">
        <w:t>iciembre 201</w:t>
      </w:r>
      <w:r w:rsidR="001F60D5">
        <w:t>8</w:t>
      </w:r>
      <w:bookmarkEnd w:id="74"/>
      <w:r w:rsidRPr="008C1B87">
        <w:t xml:space="preserve"> </w:t>
      </w:r>
    </w:p>
    <w:p w:rsidR="000634E0" w:rsidRPr="00E36AC7" w:rsidRDefault="007F7379" w:rsidP="007F7379">
      <w:pPr>
        <w:spacing w:after="120"/>
        <w:rPr>
          <w:sz w:val="20"/>
        </w:rPr>
      </w:pPr>
      <w:r w:rsidRPr="00E36AC7">
        <w:rPr>
          <w:sz w:val="20"/>
        </w:rPr>
        <w:t>En los siguientes meses del año 201</w:t>
      </w:r>
      <w:r w:rsidR="001F60D5" w:rsidRPr="00E36AC7">
        <w:rPr>
          <w:sz w:val="20"/>
        </w:rPr>
        <w:t>8</w:t>
      </w:r>
      <w:r w:rsidR="000634E0" w:rsidRPr="00E36AC7">
        <w:rPr>
          <w:sz w:val="20"/>
        </w:rPr>
        <w:t xml:space="preserve">, el FISDL tiene proyectado ejecutar </w:t>
      </w:r>
      <w:r w:rsidR="000634E0" w:rsidRPr="00E36AC7">
        <w:rPr>
          <w:b/>
          <w:sz w:val="20"/>
        </w:rPr>
        <w:t>US$</w:t>
      </w:r>
      <w:r w:rsidR="00412365" w:rsidRPr="00E36AC7">
        <w:rPr>
          <w:b/>
          <w:sz w:val="20"/>
        </w:rPr>
        <w:t>58.64</w:t>
      </w:r>
      <w:r w:rsidR="000634E0" w:rsidRPr="00E36AC7">
        <w:rPr>
          <w:b/>
          <w:sz w:val="20"/>
        </w:rPr>
        <w:t xml:space="preserve"> millones</w:t>
      </w:r>
      <w:r w:rsidR="000634E0" w:rsidRPr="00E36AC7">
        <w:rPr>
          <w:sz w:val="20"/>
        </w:rPr>
        <w:t>, desglosados así:</w:t>
      </w:r>
    </w:p>
    <w:p w:rsidR="000634E0" w:rsidRPr="00E36AC7" w:rsidRDefault="000634E0" w:rsidP="00DA7B13">
      <w:pPr>
        <w:jc w:val="center"/>
        <w:rPr>
          <w:b/>
          <w:sz w:val="20"/>
        </w:rPr>
      </w:pPr>
      <w:r w:rsidRPr="00E36AC7">
        <w:rPr>
          <w:b/>
          <w:sz w:val="20"/>
        </w:rPr>
        <w:t>Cuadro: Proyección por Tipología de Proyectos (US$)</w:t>
      </w:r>
    </w:p>
    <w:tbl>
      <w:tblPr>
        <w:tblStyle w:val="Listaclara-nfasis1"/>
        <w:tblW w:w="0" w:type="auto"/>
        <w:jc w:val="center"/>
        <w:tblLook w:val="0460" w:firstRow="1" w:lastRow="1" w:firstColumn="0" w:lastColumn="0" w:noHBand="0" w:noVBand="1"/>
      </w:tblPr>
      <w:tblGrid>
        <w:gridCol w:w="3119"/>
        <w:gridCol w:w="3113"/>
      </w:tblGrid>
      <w:tr w:rsidR="00412365" w:rsidRPr="00223E25" w:rsidTr="00412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center"/>
              <w:rPr>
                <w:rFonts w:eastAsia="Times New Roman" w:cstheme="minorHAnsi"/>
                <w:noProof w:val="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sz w:val="18"/>
                <w:lang w:eastAsia="es-SV"/>
              </w:rPr>
              <w:t>Tipología de Proyecto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center"/>
              <w:rPr>
                <w:rFonts w:eastAsia="Times New Roman" w:cstheme="minorHAnsi"/>
                <w:noProof w:val="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sz w:val="18"/>
                <w:lang w:eastAsia="es-SV"/>
              </w:rPr>
              <w:t>Programado junio a diciembre de 2018</w:t>
            </w:r>
          </w:p>
        </w:tc>
      </w:tr>
      <w:tr w:rsidR="00412365" w:rsidRPr="00223E25" w:rsidTr="0041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Transferencias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$29,958,559</w:t>
            </w:r>
          </w:p>
        </w:tc>
      </w:tr>
      <w:tr w:rsidR="00412365" w:rsidRPr="00223E25" w:rsidTr="00412365">
        <w:trPr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Infraestructura para el Desarrollo Social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$8,199,192</w:t>
            </w:r>
          </w:p>
        </w:tc>
      </w:tr>
      <w:tr w:rsidR="00412365" w:rsidRPr="00223E25" w:rsidTr="0041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Gastos Asociados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$4,934,488</w:t>
            </w:r>
          </w:p>
        </w:tc>
      </w:tr>
      <w:tr w:rsidR="00412365" w:rsidRPr="00223E25" w:rsidTr="00412365">
        <w:trPr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Agua Potable y Saneamiento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$4,606,354</w:t>
            </w:r>
          </w:p>
        </w:tc>
      </w:tr>
      <w:tr w:rsidR="00412365" w:rsidRPr="00223E25" w:rsidTr="0041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Electrificación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$3,280,237</w:t>
            </w:r>
          </w:p>
        </w:tc>
      </w:tr>
      <w:tr w:rsidR="00412365" w:rsidRPr="00223E25" w:rsidTr="00412365">
        <w:trPr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Asistencia Técnica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$3,038,509</w:t>
            </w:r>
          </w:p>
        </w:tc>
      </w:tr>
      <w:tr w:rsidR="00412365" w:rsidRPr="00223E25" w:rsidTr="0041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Gestión Territorial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$1,908,138</w:t>
            </w:r>
          </w:p>
        </w:tc>
      </w:tr>
      <w:tr w:rsidR="00412365" w:rsidRPr="00223E25" w:rsidTr="00412365">
        <w:trPr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Caminos y Puentes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$989,427</w:t>
            </w:r>
          </w:p>
        </w:tc>
      </w:tr>
      <w:tr w:rsidR="00412365" w:rsidRPr="00223E25" w:rsidTr="0041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Infraestructura en Educación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$905,531</w:t>
            </w:r>
          </w:p>
        </w:tc>
      </w:tr>
      <w:tr w:rsidR="00412365" w:rsidRPr="00223E25" w:rsidTr="00412365">
        <w:trPr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Infraestructura en Salud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$499,266</w:t>
            </w:r>
          </w:p>
        </w:tc>
      </w:tr>
      <w:tr w:rsidR="00412365" w:rsidRPr="00223E25" w:rsidTr="0041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Estudios de Pre Factibilidad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$319,121</w:t>
            </w:r>
          </w:p>
        </w:tc>
      </w:tr>
      <w:tr w:rsidR="00412365" w:rsidRPr="00223E25" w:rsidTr="004123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lef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Total general</w:t>
            </w:r>
          </w:p>
        </w:tc>
        <w:tc>
          <w:tcPr>
            <w:tcW w:w="0" w:type="auto"/>
            <w:noWrap/>
            <w:hideMark/>
          </w:tcPr>
          <w:p w:rsidR="00412365" w:rsidRPr="00223E25" w:rsidRDefault="00412365" w:rsidP="00412365">
            <w:pPr>
              <w:jc w:val="right"/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</w:pPr>
            <w:r w:rsidRPr="00223E25">
              <w:rPr>
                <w:rFonts w:eastAsia="Times New Roman" w:cstheme="minorHAnsi"/>
                <w:noProof w:val="0"/>
                <w:color w:val="000000"/>
                <w:sz w:val="18"/>
                <w:lang w:eastAsia="es-SV"/>
              </w:rPr>
              <w:t>$58,638,822</w:t>
            </w:r>
          </w:p>
        </w:tc>
      </w:tr>
    </w:tbl>
    <w:p w:rsidR="00C34245" w:rsidRDefault="00C34245" w:rsidP="00223E25"/>
    <w:sectPr w:rsidR="00C34245" w:rsidSect="009C3F17">
      <w:footerReference w:type="default" r:id="rId10"/>
      <w:pgSz w:w="12240" w:h="15840" w:code="1"/>
      <w:pgMar w:top="1134" w:right="1134" w:bottom="1134" w:left="1134" w:header="454" w:footer="0" w:gutter="0"/>
      <w:pgBorders w:offsetFrom="page">
        <w:top w:val="single" w:sz="8" w:space="24" w:color="FDA023" w:themeColor="accent1"/>
        <w:left w:val="single" w:sz="8" w:space="24" w:color="FDA023" w:themeColor="accent1"/>
        <w:bottom w:val="single" w:sz="8" w:space="24" w:color="FDA023" w:themeColor="accent1"/>
        <w:right w:val="single" w:sz="8" w:space="24" w:color="FDA023" w:themeColor="accent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96" w:rsidRDefault="003C2496" w:rsidP="0000294A">
      <w:pPr>
        <w:spacing w:after="0" w:line="240" w:lineRule="auto"/>
      </w:pPr>
      <w:r>
        <w:separator/>
      </w:r>
    </w:p>
    <w:p w:rsidR="003C2496" w:rsidRDefault="003C2496"/>
  </w:endnote>
  <w:endnote w:type="continuationSeparator" w:id="0">
    <w:p w:rsidR="003C2496" w:rsidRDefault="003C2496" w:rsidP="0000294A">
      <w:pPr>
        <w:spacing w:after="0" w:line="240" w:lineRule="auto"/>
      </w:pPr>
      <w:r>
        <w:continuationSeparator/>
      </w:r>
    </w:p>
    <w:p w:rsidR="003C2496" w:rsidRDefault="003C2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3" w:rsidRDefault="004E6823">
    <w:pPr>
      <w:pStyle w:val="Piedepgina"/>
      <w:jc w:val="right"/>
    </w:pPr>
  </w:p>
  <w:p w:rsidR="004E6823" w:rsidRDefault="004E6823" w:rsidP="0000294A"/>
  <w:p w:rsidR="004E6823" w:rsidRDefault="004E68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96" w:rsidRDefault="003C2496" w:rsidP="0000294A">
      <w:pPr>
        <w:spacing w:after="0" w:line="240" w:lineRule="auto"/>
      </w:pPr>
      <w:r>
        <w:separator/>
      </w:r>
    </w:p>
    <w:p w:rsidR="003C2496" w:rsidRDefault="003C2496"/>
  </w:footnote>
  <w:footnote w:type="continuationSeparator" w:id="0">
    <w:p w:rsidR="003C2496" w:rsidRDefault="003C2496" w:rsidP="0000294A">
      <w:pPr>
        <w:spacing w:after="0" w:line="240" w:lineRule="auto"/>
      </w:pPr>
      <w:r>
        <w:continuationSeparator/>
      </w:r>
    </w:p>
    <w:p w:rsidR="003C2496" w:rsidRDefault="003C24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C9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535A99"/>
    <w:multiLevelType w:val="multilevel"/>
    <w:tmpl w:val="BFE8D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4E372D"/>
    <w:multiLevelType w:val="hybridMultilevel"/>
    <w:tmpl w:val="60F89A34"/>
    <w:lvl w:ilvl="0" w:tplc="2DD46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A0B5F4">
      <w:numFmt w:val="none"/>
      <w:lvlText w:val=""/>
      <w:lvlJc w:val="left"/>
      <w:pPr>
        <w:tabs>
          <w:tab w:val="num" w:pos="360"/>
        </w:tabs>
      </w:pPr>
    </w:lvl>
    <w:lvl w:ilvl="2" w:tplc="D86AD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DA4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25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B83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B2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F0D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288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0595CEF"/>
    <w:multiLevelType w:val="hybridMultilevel"/>
    <w:tmpl w:val="2EDC220C"/>
    <w:lvl w:ilvl="0" w:tplc="44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171C3580"/>
    <w:multiLevelType w:val="hybridMultilevel"/>
    <w:tmpl w:val="4D48549E"/>
    <w:lvl w:ilvl="0" w:tplc="B8122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42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24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A1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07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C8B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0D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E2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C0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9B2BB0"/>
    <w:multiLevelType w:val="hybridMultilevel"/>
    <w:tmpl w:val="7EAC04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70B66"/>
    <w:multiLevelType w:val="hybridMultilevel"/>
    <w:tmpl w:val="FAB0C2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D5C47"/>
    <w:multiLevelType w:val="hybridMultilevel"/>
    <w:tmpl w:val="960238EC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81250BA"/>
    <w:multiLevelType w:val="hybridMultilevel"/>
    <w:tmpl w:val="56CAF0DE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3E8A6C3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6706841"/>
    <w:multiLevelType w:val="hybridMultilevel"/>
    <w:tmpl w:val="8800D8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36B58"/>
    <w:multiLevelType w:val="hybridMultilevel"/>
    <w:tmpl w:val="9F40D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E2FCD"/>
    <w:multiLevelType w:val="hybridMultilevel"/>
    <w:tmpl w:val="07489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80BAE"/>
    <w:multiLevelType w:val="hybridMultilevel"/>
    <w:tmpl w:val="A3C69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05E2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B6167A"/>
    <w:multiLevelType w:val="hybridMultilevel"/>
    <w:tmpl w:val="FD3CB3E8"/>
    <w:lvl w:ilvl="0" w:tplc="795A0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0D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AC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3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8D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E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A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0F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CA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93F1008"/>
    <w:multiLevelType w:val="hybridMultilevel"/>
    <w:tmpl w:val="486A7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A0644"/>
    <w:multiLevelType w:val="hybridMultilevel"/>
    <w:tmpl w:val="253236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D0D19"/>
    <w:multiLevelType w:val="hybridMultilevel"/>
    <w:tmpl w:val="3FFE5D70"/>
    <w:lvl w:ilvl="0" w:tplc="1D42A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0A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4B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2D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9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E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641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E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E2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927A24"/>
    <w:multiLevelType w:val="hybridMultilevel"/>
    <w:tmpl w:val="322E715A"/>
    <w:lvl w:ilvl="0" w:tplc="23F4A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0B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09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A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E2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86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4B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66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65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9FC2B36"/>
    <w:multiLevelType w:val="hybridMultilevel"/>
    <w:tmpl w:val="A056B2E4"/>
    <w:lvl w:ilvl="0" w:tplc="440A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2" w:tplc="44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>
    <w:nsid w:val="6BF56F71"/>
    <w:multiLevelType w:val="hybridMultilevel"/>
    <w:tmpl w:val="1CCC1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20843"/>
    <w:multiLevelType w:val="hybridMultilevel"/>
    <w:tmpl w:val="658C056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CE2E3B"/>
    <w:multiLevelType w:val="hybridMultilevel"/>
    <w:tmpl w:val="83C22B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422F2"/>
    <w:multiLevelType w:val="multilevel"/>
    <w:tmpl w:val="4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4"/>
  </w:num>
  <w:num w:numId="5">
    <w:abstractNumId w:val="10"/>
  </w:num>
  <w:num w:numId="6">
    <w:abstractNumId w:val="16"/>
  </w:num>
  <w:num w:numId="7">
    <w:abstractNumId w:val="21"/>
  </w:num>
  <w:num w:numId="8">
    <w:abstractNumId w:val="20"/>
  </w:num>
  <w:num w:numId="9">
    <w:abstractNumId w:val="14"/>
  </w:num>
  <w:num w:numId="10">
    <w:abstractNumId w:val="22"/>
  </w:num>
  <w:num w:numId="11">
    <w:abstractNumId w:val="24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15"/>
  </w:num>
  <w:num w:numId="17">
    <w:abstractNumId w:val="19"/>
  </w:num>
  <w:num w:numId="18">
    <w:abstractNumId w:val="9"/>
  </w:num>
  <w:num w:numId="19">
    <w:abstractNumId w:val="5"/>
  </w:num>
  <w:num w:numId="20">
    <w:abstractNumId w:val="0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3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E0"/>
    <w:rsid w:val="0000294A"/>
    <w:rsid w:val="00004308"/>
    <w:rsid w:val="00027306"/>
    <w:rsid w:val="00030812"/>
    <w:rsid w:val="000336D0"/>
    <w:rsid w:val="00034BD8"/>
    <w:rsid w:val="000462DE"/>
    <w:rsid w:val="000615BB"/>
    <w:rsid w:val="00061897"/>
    <w:rsid w:val="000634E0"/>
    <w:rsid w:val="00066B6D"/>
    <w:rsid w:val="000718A3"/>
    <w:rsid w:val="000728E7"/>
    <w:rsid w:val="00092385"/>
    <w:rsid w:val="00093CA4"/>
    <w:rsid w:val="000974E4"/>
    <w:rsid w:val="000A3601"/>
    <w:rsid w:val="000A654F"/>
    <w:rsid w:val="000C13C2"/>
    <w:rsid w:val="00115FB0"/>
    <w:rsid w:val="00123E84"/>
    <w:rsid w:val="00142D70"/>
    <w:rsid w:val="00157F99"/>
    <w:rsid w:val="00174DBE"/>
    <w:rsid w:val="00186CB5"/>
    <w:rsid w:val="00194148"/>
    <w:rsid w:val="00196BFC"/>
    <w:rsid w:val="00196CD4"/>
    <w:rsid w:val="001A0E67"/>
    <w:rsid w:val="001A3146"/>
    <w:rsid w:val="001A3B36"/>
    <w:rsid w:val="001A5598"/>
    <w:rsid w:val="001B0F09"/>
    <w:rsid w:val="001B165B"/>
    <w:rsid w:val="001B60F6"/>
    <w:rsid w:val="001C2C88"/>
    <w:rsid w:val="001C4371"/>
    <w:rsid w:val="001D43B4"/>
    <w:rsid w:val="001D61F2"/>
    <w:rsid w:val="001D71C9"/>
    <w:rsid w:val="001E1AFE"/>
    <w:rsid w:val="001E7E4A"/>
    <w:rsid w:val="001F0AE5"/>
    <w:rsid w:val="001F13AC"/>
    <w:rsid w:val="001F5865"/>
    <w:rsid w:val="001F5933"/>
    <w:rsid w:val="001F60D5"/>
    <w:rsid w:val="00202130"/>
    <w:rsid w:val="00203EFC"/>
    <w:rsid w:val="00223E25"/>
    <w:rsid w:val="00225315"/>
    <w:rsid w:val="00225564"/>
    <w:rsid w:val="00234E5C"/>
    <w:rsid w:val="002361C0"/>
    <w:rsid w:val="00240475"/>
    <w:rsid w:val="00245C1A"/>
    <w:rsid w:val="00251DED"/>
    <w:rsid w:val="00263143"/>
    <w:rsid w:val="00265703"/>
    <w:rsid w:val="00270362"/>
    <w:rsid w:val="00284B80"/>
    <w:rsid w:val="002876B9"/>
    <w:rsid w:val="002906BC"/>
    <w:rsid w:val="002974C5"/>
    <w:rsid w:val="002B2596"/>
    <w:rsid w:val="002B433E"/>
    <w:rsid w:val="002B569B"/>
    <w:rsid w:val="002E7A59"/>
    <w:rsid w:val="003157C7"/>
    <w:rsid w:val="0032127C"/>
    <w:rsid w:val="003238FE"/>
    <w:rsid w:val="003245D3"/>
    <w:rsid w:val="00340A95"/>
    <w:rsid w:val="00343643"/>
    <w:rsid w:val="0036080E"/>
    <w:rsid w:val="00360DF3"/>
    <w:rsid w:val="00367C6F"/>
    <w:rsid w:val="0037164F"/>
    <w:rsid w:val="00381902"/>
    <w:rsid w:val="00382A07"/>
    <w:rsid w:val="003941B0"/>
    <w:rsid w:val="00394B6C"/>
    <w:rsid w:val="003968E8"/>
    <w:rsid w:val="003B033F"/>
    <w:rsid w:val="003B62F7"/>
    <w:rsid w:val="003C2496"/>
    <w:rsid w:val="003C751A"/>
    <w:rsid w:val="003D6EB8"/>
    <w:rsid w:val="003E3C1B"/>
    <w:rsid w:val="003E4C83"/>
    <w:rsid w:val="003F090C"/>
    <w:rsid w:val="00412365"/>
    <w:rsid w:val="00416BDE"/>
    <w:rsid w:val="004200B2"/>
    <w:rsid w:val="0043182D"/>
    <w:rsid w:val="00441D47"/>
    <w:rsid w:val="00442728"/>
    <w:rsid w:val="004507D0"/>
    <w:rsid w:val="00467B9D"/>
    <w:rsid w:val="00473FDC"/>
    <w:rsid w:val="00475DE5"/>
    <w:rsid w:val="0047764D"/>
    <w:rsid w:val="0048421C"/>
    <w:rsid w:val="004928C2"/>
    <w:rsid w:val="00495D32"/>
    <w:rsid w:val="004A6B52"/>
    <w:rsid w:val="004A6DEB"/>
    <w:rsid w:val="004B45C9"/>
    <w:rsid w:val="004D0B29"/>
    <w:rsid w:val="004D3C8C"/>
    <w:rsid w:val="004D43BF"/>
    <w:rsid w:val="004D78E1"/>
    <w:rsid w:val="004E6823"/>
    <w:rsid w:val="00511FCC"/>
    <w:rsid w:val="005210D8"/>
    <w:rsid w:val="0052169E"/>
    <w:rsid w:val="00524837"/>
    <w:rsid w:val="00525ED4"/>
    <w:rsid w:val="00536B48"/>
    <w:rsid w:val="0054180D"/>
    <w:rsid w:val="00544B8D"/>
    <w:rsid w:val="005564CE"/>
    <w:rsid w:val="0059300F"/>
    <w:rsid w:val="005B072B"/>
    <w:rsid w:val="005B1ACA"/>
    <w:rsid w:val="005B741C"/>
    <w:rsid w:val="006004F6"/>
    <w:rsid w:val="00601E22"/>
    <w:rsid w:val="00602136"/>
    <w:rsid w:val="00627465"/>
    <w:rsid w:val="00633B6D"/>
    <w:rsid w:val="00643E7E"/>
    <w:rsid w:val="00660749"/>
    <w:rsid w:val="00661BEA"/>
    <w:rsid w:val="00674A94"/>
    <w:rsid w:val="00676094"/>
    <w:rsid w:val="00686A29"/>
    <w:rsid w:val="00690982"/>
    <w:rsid w:val="00694D83"/>
    <w:rsid w:val="006A501C"/>
    <w:rsid w:val="006B7615"/>
    <w:rsid w:val="006E6539"/>
    <w:rsid w:val="006F1767"/>
    <w:rsid w:val="006F376F"/>
    <w:rsid w:val="00701E1D"/>
    <w:rsid w:val="0071174F"/>
    <w:rsid w:val="00720BAC"/>
    <w:rsid w:val="00720EBC"/>
    <w:rsid w:val="0073447B"/>
    <w:rsid w:val="007419F8"/>
    <w:rsid w:val="0076080D"/>
    <w:rsid w:val="00774FA5"/>
    <w:rsid w:val="00784555"/>
    <w:rsid w:val="007875CA"/>
    <w:rsid w:val="007B122E"/>
    <w:rsid w:val="007B462F"/>
    <w:rsid w:val="007D25F6"/>
    <w:rsid w:val="007D55D7"/>
    <w:rsid w:val="007D5EA3"/>
    <w:rsid w:val="007E414C"/>
    <w:rsid w:val="007E54A6"/>
    <w:rsid w:val="007E6DB7"/>
    <w:rsid w:val="007F7379"/>
    <w:rsid w:val="007F7DB4"/>
    <w:rsid w:val="00802CCF"/>
    <w:rsid w:val="008170C2"/>
    <w:rsid w:val="008339AB"/>
    <w:rsid w:val="00841DC4"/>
    <w:rsid w:val="00854502"/>
    <w:rsid w:val="00856D33"/>
    <w:rsid w:val="00857CD8"/>
    <w:rsid w:val="008609E1"/>
    <w:rsid w:val="0086759C"/>
    <w:rsid w:val="0087234C"/>
    <w:rsid w:val="00874550"/>
    <w:rsid w:val="00875410"/>
    <w:rsid w:val="0087715A"/>
    <w:rsid w:val="008A2B9E"/>
    <w:rsid w:val="008A3BDF"/>
    <w:rsid w:val="008B1340"/>
    <w:rsid w:val="008B2FA0"/>
    <w:rsid w:val="008B3EC5"/>
    <w:rsid w:val="008C5CAA"/>
    <w:rsid w:val="008C7275"/>
    <w:rsid w:val="008D46B5"/>
    <w:rsid w:val="008E745E"/>
    <w:rsid w:val="00914B43"/>
    <w:rsid w:val="0092243B"/>
    <w:rsid w:val="00937719"/>
    <w:rsid w:val="00950048"/>
    <w:rsid w:val="00966322"/>
    <w:rsid w:val="0096768B"/>
    <w:rsid w:val="009803B9"/>
    <w:rsid w:val="009853F4"/>
    <w:rsid w:val="009873DB"/>
    <w:rsid w:val="00990429"/>
    <w:rsid w:val="009B346A"/>
    <w:rsid w:val="009C3F17"/>
    <w:rsid w:val="009D7AAB"/>
    <w:rsid w:val="009E6670"/>
    <w:rsid w:val="00A01782"/>
    <w:rsid w:val="00A038EC"/>
    <w:rsid w:val="00A04318"/>
    <w:rsid w:val="00A16F49"/>
    <w:rsid w:val="00A26728"/>
    <w:rsid w:val="00A42A1B"/>
    <w:rsid w:val="00A47CD6"/>
    <w:rsid w:val="00A53BEF"/>
    <w:rsid w:val="00A6262D"/>
    <w:rsid w:val="00A733E5"/>
    <w:rsid w:val="00A902C4"/>
    <w:rsid w:val="00A90D9E"/>
    <w:rsid w:val="00AB1712"/>
    <w:rsid w:val="00AB6FFB"/>
    <w:rsid w:val="00AC0C4D"/>
    <w:rsid w:val="00AC371C"/>
    <w:rsid w:val="00AE1864"/>
    <w:rsid w:val="00AE66FF"/>
    <w:rsid w:val="00AF588D"/>
    <w:rsid w:val="00AF6257"/>
    <w:rsid w:val="00B000A5"/>
    <w:rsid w:val="00B22464"/>
    <w:rsid w:val="00B27AFA"/>
    <w:rsid w:val="00B50A67"/>
    <w:rsid w:val="00B51852"/>
    <w:rsid w:val="00B7385A"/>
    <w:rsid w:val="00B84957"/>
    <w:rsid w:val="00B84E38"/>
    <w:rsid w:val="00B86ED9"/>
    <w:rsid w:val="00B93670"/>
    <w:rsid w:val="00B97EA9"/>
    <w:rsid w:val="00BA66BA"/>
    <w:rsid w:val="00BB6299"/>
    <w:rsid w:val="00BB7103"/>
    <w:rsid w:val="00BC20B1"/>
    <w:rsid w:val="00BD3BA0"/>
    <w:rsid w:val="00BD64A0"/>
    <w:rsid w:val="00BF0620"/>
    <w:rsid w:val="00C06A58"/>
    <w:rsid w:val="00C14D97"/>
    <w:rsid w:val="00C17915"/>
    <w:rsid w:val="00C25F79"/>
    <w:rsid w:val="00C276D9"/>
    <w:rsid w:val="00C34245"/>
    <w:rsid w:val="00C3449A"/>
    <w:rsid w:val="00C4644A"/>
    <w:rsid w:val="00C61045"/>
    <w:rsid w:val="00C67348"/>
    <w:rsid w:val="00C722F7"/>
    <w:rsid w:val="00C755CE"/>
    <w:rsid w:val="00CB1828"/>
    <w:rsid w:val="00CD0F03"/>
    <w:rsid w:val="00CD261C"/>
    <w:rsid w:val="00CE362C"/>
    <w:rsid w:val="00CE5383"/>
    <w:rsid w:val="00CF070D"/>
    <w:rsid w:val="00D0405D"/>
    <w:rsid w:val="00D14FFE"/>
    <w:rsid w:val="00D17454"/>
    <w:rsid w:val="00D20238"/>
    <w:rsid w:val="00D21577"/>
    <w:rsid w:val="00D35C23"/>
    <w:rsid w:val="00D46E9E"/>
    <w:rsid w:val="00D52B53"/>
    <w:rsid w:val="00D63E04"/>
    <w:rsid w:val="00D702E5"/>
    <w:rsid w:val="00D7631C"/>
    <w:rsid w:val="00D80963"/>
    <w:rsid w:val="00D80C2D"/>
    <w:rsid w:val="00D932AA"/>
    <w:rsid w:val="00D9539A"/>
    <w:rsid w:val="00DA7B13"/>
    <w:rsid w:val="00DB64BD"/>
    <w:rsid w:val="00DB6AD5"/>
    <w:rsid w:val="00DC4B8B"/>
    <w:rsid w:val="00DF50C0"/>
    <w:rsid w:val="00DF5547"/>
    <w:rsid w:val="00E06AF4"/>
    <w:rsid w:val="00E11F31"/>
    <w:rsid w:val="00E12656"/>
    <w:rsid w:val="00E213C9"/>
    <w:rsid w:val="00E35A8E"/>
    <w:rsid w:val="00E36AC7"/>
    <w:rsid w:val="00E41EDA"/>
    <w:rsid w:val="00E524EA"/>
    <w:rsid w:val="00E64EAA"/>
    <w:rsid w:val="00E7585B"/>
    <w:rsid w:val="00E76866"/>
    <w:rsid w:val="00E818F5"/>
    <w:rsid w:val="00E827EA"/>
    <w:rsid w:val="00EC0FF3"/>
    <w:rsid w:val="00EC1C05"/>
    <w:rsid w:val="00EC5999"/>
    <w:rsid w:val="00EC79CB"/>
    <w:rsid w:val="00ED38C9"/>
    <w:rsid w:val="00ED38D1"/>
    <w:rsid w:val="00ED3EDA"/>
    <w:rsid w:val="00EE56E5"/>
    <w:rsid w:val="00EF0D1C"/>
    <w:rsid w:val="00F026DF"/>
    <w:rsid w:val="00F32F5F"/>
    <w:rsid w:val="00F33992"/>
    <w:rsid w:val="00F4175B"/>
    <w:rsid w:val="00F556E6"/>
    <w:rsid w:val="00F5749E"/>
    <w:rsid w:val="00F80537"/>
    <w:rsid w:val="00F930C9"/>
    <w:rsid w:val="00F967AB"/>
    <w:rsid w:val="00FA3631"/>
    <w:rsid w:val="00FA5B95"/>
    <w:rsid w:val="00FB11DC"/>
    <w:rsid w:val="00FB6502"/>
    <w:rsid w:val="00FC0674"/>
    <w:rsid w:val="00FC299A"/>
    <w:rsid w:val="00FE139E"/>
    <w:rsid w:val="00FE18DD"/>
    <w:rsid w:val="00FE7ECF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4A"/>
    <w:pPr>
      <w:jc w:val="both"/>
    </w:pPr>
    <w:rPr>
      <w:noProof/>
      <w:lang w:val="es-SV"/>
    </w:rPr>
  </w:style>
  <w:style w:type="paragraph" w:styleId="Ttulo1">
    <w:name w:val="heading 1"/>
    <w:basedOn w:val="Ttulo"/>
    <w:next w:val="Normal"/>
    <w:link w:val="Ttulo1Car"/>
    <w:uiPriority w:val="9"/>
    <w:qFormat/>
    <w:rsid w:val="0000294A"/>
    <w:pPr>
      <w:keepNext/>
      <w:keepLines/>
      <w:spacing w:before="480" w:after="0"/>
      <w:outlineLvl w:val="0"/>
    </w:pPr>
    <w:rPr>
      <w:b/>
      <w:bCs/>
      <w:color w:val="D57B02" w:themeColor="accent1" w:themeShade="BF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2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394D" w:themeColor="background2" w:themeShade="4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2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739B" w:themeColor="background2" w:themeShade="8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94A"/>
    <w:rPr>
      <w:rFonts w:asciiTheme="majorHAnsi" w:eastAsiaTheme="majorEastAsia" w:hAnsiTheme="majorHAnsi" w:cstheme="majorBidi"/>
      <w:b/>
      <w:bCs/>
      <w:noProof/>
      <w:color w:val="D57B02" w:themeColor="accent1" w:themeShade="BF"/>
      <w:spacing w:val="5"/>
      <w:kern w:val="28"/>
      <w:sz w:val="36"/>
      <w:szCs w:val="28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0294A"/>
    <w:rPr>
      <w:rFonts w:asciiTheme="majorHAnsi" w:eastAsiaTheme="majorEastAsia" w:hAnsiTheme="majorHAnsi" w:cstheme="majorBidi"/>
      <w:b/>
      <w:bCs/>
      <w:noProof/>
      <w:color w:val="20394D" w:themeColor="background2" w:themeShade="40"/>
      <w:sz w:val="26"/>
      <w:szCs w:val="26"/>
      <w:lang w:val="es-SV"/>
    </w:rPr>
  </w:style>
  <w:style w:type="paragraph" w:styleId="Ttulo">
    <w:name w:val="Title"/>
    <w:basedOn w:val="Normal"/>
    <w:next w:val="Normal"/>
    <w:link w:val="TtuloCar"/>
    <w:uiPriority w:val="10"/>
    <w:qFormat/>
    <w:rsid w:val="000634E0"/>
    <w:pPr>
      <w:pBdr>
        <w:bottom w:val="single" w:sz="8" w:space="4" w:color="FDA02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34E0"/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  <w:lang w:val="es-SV"/>
    </w:rPr>
  </w:style>
  <w:style w:type="paragraph" w:styleId="Sinespaciado">
    <w:name w:val="No Spacing"/>
    <w:link w:val="SinespaciadoCar"/>
    <w:uiPriority w:val="1"/>
    <w:qFormat/>
    <w:rsid w:val="000634E0"/>
    <w:pPr>
      <w:spacing w:after="0" w:line="240" w:lineRule="auto"/>
    </w:pPr>
    <w:rPr>
      <w:lang w:val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4E0"/>
    <w:pPr>
      <w:numPr>
        <w:ilvl w:val="1"/>
      </w:numPr>
    </w:pPr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0634E0"/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E0"/>
    <w:rPr>
      <w:rFonts w:ascii="Tahoma" w:hAnsi="Tahoma" w:cs="Tahoma"/>
      <w:sz w:val="16"/>
      <w:szCs w:val="16"/>
      <w:lang w:val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34E0"/>
    <w:rPr>
      <w:lang w:val="es-SV"/>
    </w:rPr>
  </w:style>
  <w:style w:type="paragraph" w:styleId="Prrafodelista">
    <w:name w:val="List Paragraph"/>
    <w:basedOn w:val="Normal"/>
    <w:link w:val="PrrafodelistaCar"/>
    <w:uiPriority w:val="34"/>
    <w:qFormat/>
    <w:rsid w:val="000634E0"/>
    <w:pPr>
      <w:spacing w:before="200"/>
      <w:ind w:left="720"/>
      <w:contextualSpacing/>
    </w:pPr>
    <w:rPr>
      <w:rFonts w:eastAsiaTheme="minorEastAsia"/>
      <w:sz w:val="20"/>
      <w:szCs w:val="20"/>
      <w:lang w:val="en-US" w:bidi="en-US"/>
    </w:rPr>
  </w:style>
  <w:style w:type="character" w:customStyle="1" w:styleId="PrrafodelistaCar">
    <w:name w:val="Párrafo de lista Car"/>
    <w:link w:val="Prrafodelista"/>
    <w:uiPriority w:val="34"/>
    <w:locked/>
    <w:rsid w:val="000634E0"/>
    <w:rPr>
      <w:rFonts w:eastAsiaTheme="minorEastAsia"/>
      <w:sz w:val="20"/>
      <w:szCs w:val="20"/>
      <w:lang w:val="en-US" w:bidi="en-US"/>
    </w:rPr>
  </w:style>
  <w:style w:type="table" w:styleId="Listaclara-nfasis1">
    <w:name w:val="Light List Accent 1"/>
    <w:basedOn w:val="Tablanormal"/>
    <w:uiPriority w:val="61"/>
    <w:rsid w:val="000634E0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FDA023" w:themeColor="accent1"/>
        <w:left w:val="single" w:sz="8" w:space="0" w:color="FDA023" w:themeColor="accent1"/>
        <w:bottom w:val="single" w:sz="8" w:space="0" w:color="FDA023" w:themeColor="accent1"/>
        <w:right w:val="single" w:sz="8" w:space="0" w:color="FDA0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  <w:tblStylePr w:type="band1Horz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0634E0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3B62F7"/>
    <w:pPr>
      <w:tabs>
        <w:tab w:val="right" w:leader="dot" w:pos="9622"/>
      </w:tabs>
      <w:spacing w:after="10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0634E0"/>
    <w:pPr>
      <w:tabs>
        <w:tab w:val="left" w:pos="660"/>
        <w:tab w:val="right" w:leader="dot" w:pos="9622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634E0"/>
    <w:rPr>
      <w:color w:val="D83E2C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4E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4E0"/>
    <w:rPr>
      <w:lang w:val="es-SV"/>
    </w:rPr>
  </w:style>
  <w:style w:type="character" w:customStyle="1" w:styleId="Ttulo3Car">
    <w:name w:val="Título 3 Car"/>
    <w:basedOn w:val="Fuentedeprrafopredeter"/>
    <w:link w:val="Ttulo3"/>
    <w:uiPriority w:val="9"/>
    <w:rsid w:val="0000294A"/>
    <w:rPr>
      <w:rFonts w:asciiTheme="majorHAnsi" w:eastAsiaTheme="majorEastAsia" w:hAnsiTheme="majorHAnsi" w:cstheme="majorBidi"/>
      <w:b/>
      <w:bCs/>
      <w:noProof/>
      <w:color w:val="40739B" w:themeColor="background2" w:themeShade="80"/>
      <w:lang w:val="es-SV"/>
    </w:rPr>
  </w:style>
  <w:style w:type="paragraph" w:styleId="TDC3">
    <w:name w:val="toc 3"/>
    <w:basedOn w:val="Normal"/>
    <w:next w:val="Normal"/>
    <w:autoRedefine/>
    <w:uiPriority w:val="39"/>
    <w:unhideWhenUsed/>
    <w:rsid w:val="003B62F7"/>
    <w:pPr>
      <w:spacing w:after="100"/>
      <w:ind w:left="440"/>
    </w:pPr>
  </w:style>
  <w:style w:type="table" w:styleId="Tablaconcuadrcula">
    <w:name w:val="Table Grid"/>
    <w:basedOn w:val="Tablanormal"/>
    <w:uiPriority w:val="59"/>
    <w:rsid w:val="0070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412365"/>
    <w:pPr>
      <w:spacing w:after="0" w:line="240" w:lineRule="auto"/>
    </w:pPr>
    <w:tblPr>
      <w:tblStyleRowBandSize w:val="1"/>
      <w:tblStyleColBandSize w:val="1"/>
      <w:tblBorders>
        <w:top w:val="single" w:sz="8" w:space="0" w:color="FDA023" w:themeColor="accent1"/>
        <w:left w:val="single" w:sz="8" w:space="0" w:color="FDA023" w:themeColor="accent1"/>
        <w:bottom w:val="single" w:sz="8" w:space="0" w:color="FDA023" w:themeColor="accent1"/>
        <w:right w:val="single" w:sz="8" w:space="0" w:color="FDA023" w:themeColor="accent1"/>
        <w:insideH w:val="single" w:sz="8" w:space="0" w:color="FDA023" w:themeColor="accent1"/>
        <w:insideV w:val="single" w:sz="8" w:space="0" w:color="FDA0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18" w:space="0" w:color="FDA023" w:themeColor="accent1"/>
          <w:right w:val="single" w:sz="8" w:space="0" w:color="FDA023" w:themeColor="accent1"/>
          <w:insideH w:val="nil"/>
          <w:insideV w:val="single" w:sz="8" w:space="0" w:color="FDA0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  <w:insideH w:val="nil"/>
          <w:insideV w:val="single" w:sz="8" w:space="0" w:color="FDA0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  <w:tblStylePr w:type="band1Vert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  <w:shd w:val="clear" w:color="auto" w:fill="FEE7C8" w:themeFill="accent1" w:themeFillTint="3F"/>
      </w:tcPr>
    </w:tblStylePr>
    <w:tblStylePr w:type="band1Horz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  <w:insideV w:val="single" w:sz="8" w:space="0" w:color="FDA023" w:themeColor="accent1"/>
        </w:tcBorders>
        <w:shd w:val="clear" w:color="auto" w:fill="FEE7C8" w:themeFill="accent1" w:themeFillTint="3F"/>
      </w:tcPr>
    </w:tblStylePr>
    <w:tblStylePr w:type="band2Horz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  <w:insideV w:val="single" w:sz="8" w:space="0" w:color="FDA023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4A"/>
    <w:pPr>
      <w:jc w:val="both"/>
    </w:pPr>
    <w:rPr>
      <w:noProof/>
      <w:lang w:val="es-SV"/>
    </w:rPr>
  </w:style>
  <w:style w:type="paragraph" w:styleId="Ttulo1">
    <w:name w:val="heading 1"/>
    <w:basedOn w:val="Ttulo"/>
    <w:next w:val="Normal"/>
    <w:link w:val="Ttulo1Car"/>
    <w:uiPriority w:val="9"/>
    <w:qFormat/>
    <w:rsid w:val="0000294A"/>
    <w:pPr>
      <w:keepNext/>
      <w:keepLines/>
      <w:spacing w:before="480" w:after="0"/>
      <w:outlineLvl w:val="0"/>
    </w:pPr>
    <w:rPr>
      <w:b/>
      <w:bCs/>
      <w:color w:val="D57B02" w:themeColor="accent1" w:themeShade="BF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2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394D" w:themeColor="background2" w:themeShade="4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2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739B" w:themeColor="background2" w:themeShade="8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94A"/>
    <w:rPr>
      <w:rFonts w:asciiTheme="majorHAnsi" w:eastAsiaTheme="majorEastAsia" w:hAnsiTheme="majorHAnsi" w:cstheme="majorBidi"/>
      <w:b/>
      <w:bCs/>
      <w:noProof/>
      <w:color w:val="D57B02" w:themeColor="accent1" w:themeShade="BF"/>
      <w:spacing w:val="5"/>
      <w:kern w:val="28"/>
      <w:sz w:val="36"/>
      <w:szCs w:val="28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0294A"/>
    <w:rPr>
      <w:rFonts w:asciiTheme="majorHAnsi" w:eastAsiaTheme="majorEastAsia" w:hAnsiTheme="majorHAnsi" w:cstheme="majorBidi"/>
      <w:b/>
      <w:bCs/>
      <w:noProof/>
      <w:color w:val="20394D" w:themeColor="background2" w:themeShade="40"/>
      <w:sz w:val="26"/>
      <w:szCs w:val="26"/>
      <w:lang w:val="es-SV"/>
    </w:rPr>
  </w:style>
  <w:style w:type="paragraph" w:styleId="Ttulo">
    <w:name w:val="Title"/>
    <w:basedOn w:val="Normal"/>
    <w:next w:val="Normal"/>
    <w:link w:val="TtuloCar"/>
    <w:uiPriority w:val="10"/>
    <w:qFormat/>
    <w:rsid w:val="000634E0"/>
    <w:pPr>
      <w:pBdr>
        <w:bottom w:val="single" w:sz="8" w:space="4" w:color="FDA02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34E0"/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  <w:lang w:val="es-SV"/>
    </w:rPr>
  </w:style>
  <w:style w:type="paragraph" w:styleId="Sinespaciado">
    <w:name w:val="No Spacing"/>
    <w:link w:val="SinespaciadoCar"/>
    <w:uiPriority w:val="1"/>
    <w:qFormat/>
    <w:rsid w:val="000634E0"/>
    <w:pPr>
      <w:spacing w:after="0" w:line="240" w:lineRule="auto"/>
    </w:pPr>
    <w:rPr>
      <w:lang w:val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4E0"/>
    <w:pPr>
      <w:numPr>
        <w:ilvl w:val="1"/>
      </w:numPr>
    </w:pPr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0634E0"/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E0"/>
    <w:rPr>
      <w:rFonts w:ascii="Tahoma" w:hAnsi="Tahoma" w:cs="Tahoma"/>
      <w:sz w:val="16"/>
      <w:szCs w:val="16"/>
      <w:lang w:val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634E0"/>
    <w:rPr>
      <w:lang w:val="es-SV"/>
    </w:rPr>
  </w:style>
  <w:style w:type="paragraph" w:styleId="Prrafodelista">
    <w:name w:val="List Paragraph"/>
    <w:basedOn w:val="Normal"/>
    <w:link w:val="PrrafodelistaCar"/>
    <w:uiPriority w:val="34"/>
    <w:qFormat/>
    <w:rsid w:val="000634E0"/>
    <w:pPr>
      <w:spacing w:before="200"/>
      <w:ind w:left="720"/>
      <w:contextualSpacing/>
    </w:pPr>
    <w:rPr>
      <w:rFonts w:eastAsiaTheme="minorEastAsia"/>
      <w:sz w:val="20"/>
      <w:szCs w:val="20"/>
      <w:lang w:val="en-US" w:bidi="en-US"/>
    </w:rPr>
  </w:style>
  <w:style w:type="character" w:customStyle="1" w:styleId="PrrafodelistaCar">
    <w:name w:val="Párrafo de lista Car"/>
    <w:link w:val="Prrafodelista"/>
    <w:uiPriority w:val="34"/>
    <w:locked/>
    <w:rsid w:val="000634E0"/>
    <w:rPr>
      <w:rFonts w:eastAsiaTheme="minorEastAsia"/>
      <w:sz w:val="20"/>
      <w:szCs w:val="20"/>
      <w:lang w:val="en-US" w:bidi="en-US"/>
    </w:rPr>
  </w:style>
  <w:style w:type="table" w:styleId="Listaclara-nfasis1">
    <w:name w:val="Light List Accent 1"/>
    <w:basedOn w:val="Tablanormal"/>
    <w:uiPriority w:val="61"/>
    <w:rsid w:val="000634E0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FDA023" w:themeColor="accent1"/>
        <w:left w:val="single" w:sz="8" w:space="0" w:color="FDA023" w:themeColor="accent1"/>
        <w:bottom w:val="single" w:sz="8" w:space="0" w:color="FDA023" w:themeColor="accent1"/>
        <w:right w:val="single" w:sz="8" w:space="0" w:color="FDA0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  <w:tblStylePr w:type="band1Horz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0634E0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3B62F7"/>
    <w:pPr>
      <w:tabs>
        <w:tab w:val="right" w:leader="dot" w:pos="9622"/>
      </w:tabs>
      <w:spacing w:after="10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0634E0"/>
    <w:pPr>
      <w:tabs>
        <w:tab w:val="left" w:pos="660"/>
        <w:tab w:val="right" w:leader="dot" w:pos="9622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634E0"/>
    <w:rPr>
      <w:color w:val="D83E2C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4E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63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4E0"/>
    <w:rPr>
      <w:lang w:val="es-SV"/>
    </w:rPr>
  </w:style>
  <w:style w:type="character" w:customStyle="1" w:styleId="Ttulo3Car">
    <w:name w:val="Título 3 Car"/>
    <w:basedOn w:val="Fuentedeprrafopredeter"/>
    <w:link w:val="Ttulo3"/>
    <w:uiPriority w:val="9"/>
    <w:rsid w:val="0000294A"/>
    <w:rPr>
      <w:rFonts w:asciiTheme="majorHAnsi" w:eastAsiaTheme="majorEastAsia" w:hAnsiTheme="majorHAnsi" w:cstheme="majorBidi"/>
      <w:b/>
      <w:bCs/>
      <w:noProof/>
      <w:color w:val="40739B" w:themeColor="background2" w:themeShade="80"/>
      <w:lang w:val="es-SV"/>
    </w:rPr>
  </w:style>
  <w:style w:type="paragraph" w:styleId="TDC3">
    <w:name w:val="toc 3"/>
    <w:basedOn w:val="Normal"/>
    <w:next w:val="Normal"/>
    <w:autoRedefine/>
    <w:uiPriority w:val="39"/>
    <w:unhideWhenUsed/>
    <w:rsid w:val="003B62F7"/>
    <w:pPr>
      <w:spacing w:after="100"/>
      <w:ind w:left="440"/>
    </w:pPr>
  </w:style>
  <w:style w:type="table" w:styleId="Tablaconcuadrcula">
    <w:name w:val="Table Grid"/>
    <w:basedOn w:val="Tablanormal"/>
    <w:uiPriority w:val="59"/>
    <w:rsid w:val="0070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412365"/>
    <w:pPr>
      <w:spacing w:after="0" w:line="240" w:lineRule="auto"/>
    </w:pPr>
    <w:tblPr>
      <w:tblStyleRowBandSize w:val="1"/>
      <w:tblStyleColBandSize w:val="1"/>
      <w:tblBorders>
        <w:top w:val="single" w:sz="8" w:space="0" w:color="FDA023" w:themeColor="accent1"/>
        <w:left w:val="single" w:sz="8" w:space="0" w:color="FDA023" w:themeColor="accent1"/>
        <w:bottom w:val="single" w:sz="8" w:space="0" w:color="FDA023" w:themeColor="accent1"/>
        <w:right w:val="single" w:sz="8" w:space="0" w:color="FDA023" w:themeColor="accent1"/>
        <w:insideH w:val="single" w:sz="8" w:space="0" w:color="FDA023" w:themeColor="accent1"/>
        <w:insideV w:val="single" w:sz="8" w:space="0" w:color="FDA0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18" w:space="0" w:color="FDA023" w:themeColor="accent1"/>
          <w:right w:val="single" w:sz="8" w:space="0" w:color="FDA023" w:themeColor="accent1"/>
          <w:insideH w:val="nil"/>
          <w:insideV w:val="single" w:sz="8" w:space="0" w:color="FDA0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  <w:insideH w:val="nil"/>
          <w:insideV w:val="single" w:sz="8" w:space="0" w:color="FDA0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</w:tcPr>
    </w:tblStylePr>
    <w:tblStylePr w:type="band1Vert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</w:tcBorders>
        <w:shd w:val="clear" w:color="auto" w:fill="FEE7C8" w:themeFill="accent1" w:themeFillTint="3F"/>
      </w:tcPr>
    </w:tblStylePr>
    <w:tblStylePr w:type="band1Horz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  <w:insideV w:val="single" w:sz="8" w:space="0" w:color="FDA023" w:themeColor="accent1"/>
        </w:tcBorders>
        <w:shd w:val="clear" w:color="auto" w:fill="FEE7C8" w:themeFill="accent1" w:themeFillTint="3F"/>
      </w:tcPr>
    </w:tblStylePr>
    <w:tblStylePr w:type="band2Horz">
      <w:tblPr/>
      <w:tcPr>
        <w:tcBorders>
          <w:top w:val="single" w:sz="8" w:space="0" w:color="FDA023" w:themeColor="accent1"/>
          <w:left w:val="single" w:sz="8" w:space="0" w:color="FDA023" w:themeColor="accent1"/>
          <w:bottom w:val="single" w:sz="8" w:space="0" w:color="FDA023" w:themeColor="accent1"/>
          <w:right w:val="single" w:sz="8" w:space="0" w:color="FDA023" w:themeColor="accent1"/>
          <w:insideV w:val="single" w:sz="8" w:space="0" w:color="FDA023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2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Chincheta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Fondo de Inversión Social para el Desarrollo Local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EAA481-B4CA-422A-8009-85B2EF3F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2141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Rendición de Cuentas</vt:lpstr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Rendición de Cuentas</dc:title>
  <dc:subject>Cuatro años de Gestión         Junio 2014 – Mayo 2018</dc:subject>
  <dc:creator>LORENA SUYAPA VALDIVIESO VALENCIA</dc:creator>
  <cp:lastModifiedBy>LORENA SUYAPA VALDIVIESO VALENCIA</cp:lastModifiedBy>
  <cp:revision>22</cp:revision>
  <cp:lastPrinted>2017-07-04T22:35:00Z</cp:lastPrinted>
  <dcterms:created xsi:type="dcterms:W3CDTF">2018-06-28T17:08:00Z</dcterms:created>
  <dcterms:modified xsi:type="dcterms:W3CDTF">2018-06-28T20:24:00Z</dcterms:modified>
</cp:coreProperties>
</file>