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E0" w:rsidRPr="00964530" w:rsidRDefault="00591CE6" w:rsidP="005B29A9">
      <w:pPr>
        <w:pStyle w:val="Ttulo"/>
        <w:rPr>
          <w:b/>
          <w:color w:val="31479E" w:themeColor="accent1" w:themeShade="BF"/>
          <w:sz w:val="44"/>
        </w:rPr>
      </w:pPr>
      <w:bookmarkStart w:id="0" w:name="_GoBack"/>
      <w:bookmarkEnd w:id="0"/>
      <w:r w:rsidRPr="00964530">
        <w:rPr>
          <w:b/>
          <w:color w:val="31479E" w:themeColor="accent1" w:themeShade="BF"/>
          <w:sz w:val="44"/>
        </w:rPr>
        <w:t>Resumen ejecutivo del informe de rendición de cuentas FISDL 2017</w:t>
      </w:r>
    </w:p>
    <w:p w:rsidR="000634E0" w:rsidRPr="00964530" w:rsidRDefault="000634E0" w:rsidP="0000294A">
      <w:pPr>
        <w:rPr>
          <w:sz w:val="20"/>
        </w:rPr>
      </w:pPr>
      <w:r w:rsidRPr="00964530">
        <w:rPr>
          <w:sz w:val="20"/>
        </w:rPr>
        <w:t xml:space="preserve">Durante estos </w:t>
      </w:r>
      <w:r w:rsidR="001C4371" w:rsidRPr="00964530">
        <w:rPr>
          <w:sz w:val="20"/>
        </w:rPr>
        <w:t>tres</w:t>
      </w:r>
      <w:r w:rsidRPr="00964530">
        <w:rPr>
          <w:sz w:val="20"/>
        </w:rPr>
        <w:t xml:space="preserve"> años de gestión, el FISDL ha invertido </w:t>
      </w:r>
      <w:r w:rsidR="00633B6D" w:rsidRPr="00964530">
        <w:rPr>
          <w:sz w:val="20"/>
        </w:rPr>
        <w:t>cerca</w:t>
      </w:r>
      <w:r w:rsidRPr="00964530">
        <w:rPr>
          <w:sz w:val="20"/>
        </w:rPr>
        <w:t xml:space="preserve"> de US$</w:t>
      </w:r>
      <w:r w:rsidR="00442728" w:rsidRPr="00964530">
        <w:rPr>
          <w:sz w:val="20"/>
        </w:rPr>
        <w:t>208.17</w:t>
      </w:r>
      <w:r w:rsidRPr="00964530">
        <w:rPr>
          <w:sz w:val="20"/>
        </w:rPr>
        <w:t xml:space="preserve"> millones.</w:t>
      </w:r>
    </w:p>
    <w:p w:rsidR="000634E0" w:rsidRPr="00964530" w:rsidRDefault="000634E0" w:rsidP="0000294A">
      <w:pPr>
        <w:jc w:val="center"/>
        <w:rPr>
          <w:b/>
          <w:sz w:val="20"/>
        </w:rPr>
      </w:pPr>
      <w:r w:rsidRPr="00964530">
        <w:rPr>
          <w:b/>
          <w:sz w:val="20"/>
        </w:rPr>
        <w:t xml:space="preserve">Gráfico 1: Detalle de la inversión del FISDL por año de </w:t>
      </w:r>
      <w:r w:rsidR="00F930C9" w:rsidRPr="00964530">
        <w:rPr>
          <w:b/>
          <w:sz w:val="20"/>
        </w:rPr>
        <w:t>g</w:t>
      </w:r>
      <w:r w:rsidRPr="00964530">
        <w:rPr>
          <w:b/>
          <w:sz w:val="20"/>
        </w:rPr>
        <w:t>estión (millones de USD$)</w:t>
      </w:r>
    </w:p>
    <w:p w:rsidR="000634E0" w:rsidRPr="00964530" w:rsidRDefault="00442728" w:rsidP="0000294A">
      <w:pPr>
        <w:jc w:val="center"/>
        <w:rPr>
          <w:sz w:val="20"/>
        </w:rPr>
      </w:pPr>
      <w:r w:rsidRPr="00964530">
        <w:rPr>
          <w:sz w:val="20"/>
          <w:lang w:eastAsia="es-SV"/>
        </w:rPr>
        <w:drawing>
          <wp:inline distT="0" distB="0" distL="0" distR="0" wp14:anchorId="090B2841" wp14:editId="0C140E13">
            <wp:extent cx="3228632" cy="216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6"/>
                    <a:stretch/>
                  </pic:blipFill>
                  <pic:spPr bwMode="auto">
                    <a:xfrm>
                      <a:off x="0" y="0"/>
                      <a:ext cx="322863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B6D" w:rsidRPr="00964530" w:rsidRDefault="00633B6D" w:rsidP="0000294A">
      <w:pPr>
        <w:rPr>
          <w:sz w:val="20"/>
        </w:rPr>
      </w:pPr>
      <w:r w:rsidRPr="00964530">
        <w:rPr>
          <w:sz w:val="20"/>
        </w:rPr>
        <w:t>Con e</w:t>
      </w:r>
      <w:r w:rsidR="000634E0" w:rsidRPr="00964530">
        <w:rPr>
          <w:sz w:val="20"/>
        </w:rPr>
        <w:t xml:space="preserve">l </w:t>
      </w:r>
      <w:r w:rsidR="00442728" w:rsidRPr="00964530">
        <w:rPr>
          <w:sz w:val="20"/>
        </w:rPr>
        <w:t>63.73%</w:t>
      </w:r>
      <w:r w:rsidR="000634E0" w:rsidRPr="00964530">
        <w:rPr>
          <w:sz w:val="20"/>
        </w:rPr>
        <w:t xml:space="preserve"> de esta inversión</w:t>
      </w:r>
      <w:r w:rsidRPr="00964530">
        <w:rPr>
          <w:sz w:val="20"/>
        </w:rPr>
        <w:t xml:space="preserve"> se</w:t>
      </w:r>
      <w:r w:rsidR="000634E0" w:rsidRPr="00964530">
        <w:rPr>
          <w:sz w:val="20"/>
        </w:rPr>
        <w:t xml:space="preserve"> ha fortalecido el </w:t>
      </w:r>
      <w:r w:rsidR="005B29A9" w:rsidRPr="00964530">
        <w:rPr>
          <w:sz w:val="20"/>
        </w:rPr>
        <w:t>c</w:t>
      </w:r>
      <w:r w:rsidR="000634E0" w:rsidRPr="00964530">
        <w:rPr>
          <w:sz w:val="20"/>
        </w:rPr>
        <w:t xml:space="preserve">apital </w:t>
      </w:r>
      <w:r w:rsidR="005B29A9" w:rsidRPr="00964530">
        <w:rPr>
          <w:sz w:val="20"/>
        </w:rPr>
        <w:t>h</w:t>
      </w:r>
      <w:r w:rsidR="000634E0" w:rsidRPr="00964530">
        <w:rPr>
          <w:sz w:val="20"/>
        </w:rPr>
        <w:t xml:space="preserve">umano de las comunidades </w:t>
      </w:r>
      <w:r w:rsidRPr="00964530">
        <w:rPr>
          <w:sz w:val="20"/>
        </w:rPr>
        <w:t>participantes. E</w:t>
      </w:r>
      <w:r w:rsidR="000634E0" w:rsidRPr="00964530">
        <w:rPr>
          <w:sz w:val="20"/>
        </w:rPr>
        <w:t xml:space="preserve">sta inversión incluye intervenciones como las Transferencias Monetarias </w:t>
      </w:r>
      <w:r w:rsidRPr="00964530">
        <w:rPr>
          <w:sz w:val="20"/>
        </w:rPr>
        <w:t>C</w:t>
      </w:r>
      <w:r w:rsidR="000634E0" w:rsidRPr="00964530">
        <w:rPr>
          <w:sz w:val="20"/>
        </w:rPr>
        <w:t xml:space="preserve">ondicionadas y no Condicionadas (bono </w:t>
      </w:r>
      <w:r w:rsidRPr="00964530">
        <w:rPr>
          <w:sz w:val="20"/>
        </w:rPr>
        <w:t xml:space="preserve">de </w:t>
      </w:r>
      <w:r w:rsidR="000634E0" w:rsidRPr="00964530">
        <w:rPr>
          <w:sz w:val="20"/>
        </w:rPr>
        <w:t>salud</w:t>
      </w:r>
      <w:r w:rsidRPr="00964530">
        <w:rPr>
          <w:sz w:val="20"/>
        </w:rPr>
        <w:t xml:space="preserve"> y </w:t>
      </w:r>
      <w:r w:rsidR="000634E0" w:rsidRPr="00964530">
        <w:rPr>
          <w:sz w:val="20"/>
        </w:rPr>
        <w:t xml:space="preserve">educación rural, bono </w:t>
      </w:r>
      <w:r w:rsidRPr="00964530">
        <w:rPr>
          <w:sz w:val="20"/>
        </w:rPr>
        <w:t xml:space="preserve">de </w:t>
      </w:r>
      <w:r w:rsidR="000634E0" w:rsidRPr="00964530">
        <w:rPr>
          <w:sz w:val="20"/>
        </w:rPr>
        <w:t>educación urbano, pensión básica universal rural, urbana y a veteranos de guerra</w:t>
      </w:r>
      <w:r w:rsidRPr="00964530">
        <w:rPr>
          <w:sz w:val="20"/>
        </w:rPr>
        <w:t>,</w:t>
      </w:r>
      <w:r w:rsidR="000634E0" w:rsidRPr="00964530">
        <w:rPr>
          <w:sz w:val="20"/>
        </w:rPr>
        <w:t xml:space="preserve"> así como el Apoyo Monetario </w:t>
      </w:r>
      <w:r w:rsidRPr="00964530">
        <w:rPr>
          <w:sz w:val="20"/>
        </w:rPr>
        <w:t>a participantes</w:t>
      </w:r>
      <w:r w:rsidR="000634E0" w:rsidRPr="00964530">
        <w:rPr>
          <w:sz w:val="20"/>
        </w:rPr>
        <w:t xml:space="preserve"> PATI), </w:t>
      </w:r>
      <w:r w:rsidR="005B29A9" w:rsidRPr="00964530">
        <w:rPr>
          <w:sz w:val="20"/>
        </w:rPr>
        <w:t>a</w:t>
      </w:r>
      <w:r w:rsidR="000634E0" w:rsidRPr="00964530">
        <w:rPr>
          <w:sz w:val="20"/>
        </w:rPr>
        <w:t xml:space="preserve">sistencias </w:t>
      </w:r>
      <w:r w:rsidR="005B29A9" w:rsidRPr="00964530">
        <w:rPr>
          <w:sz w:val="20"/>
        </w:rPr>
        <w:t>t</w:t>
      </w:r>
      <w:r w:rsidR="000634E0" w:rsidRPr="00964530">
        <w:rPr>
          <w:sz w:val="20"/>
        </w:rPr>
        <w:t xml:space="preserve">écnicas y </w:t>
      </w:r>
      <w:r w:rsidR="005B29A9" w:rsidRPr="00964530">
        <w:rPr>
          <w:sz w:val="20"/>
        </w:rPr>
        <w:t>g</w:t>
      </w:r>
      <w:r w:rsidR="000634E0" w:rsidRPr="00964530">
        <w:rPr>
          <w:sz w:val="20"/>
        </w:rPr>
        <w:t xml:space="preserve">estión </w:t>
      </w:r>
      <w:r w:rsidR="005B29A9" w:rsidRPr="00964530">
        <w:rPr>
          <w:sz w:val="20"/>
        </w:rPr>
        <w:t>t</w:t>
      </w:r>
      <w:r w:rsidR="000634E0" w:rsidRPr="00964530">
        <w:rPr>
          <w:sz w:val="20"/>
        </w:rPr>
        <w:t>erritorial (</w:t>
      </w:r>
      <w:r w:rsidR="005B29A9" w:rsidRPr="00964530">
        <w:rPr>
          <w:sz w:val="20"/>
        </w:rPr>
        <w:t>a</w:t>
      </w:r>
      <w:r w:rsidR="000634E0" w:rsidRPr="00964530">
        <w:rPr>
          <w:sz w:val="20"/>
        </w:rPr>
        <w:t xml:space="preserve">poyo familiar y </w:t>
      </w:r>
      <w:r w:rsidRPr="00964530">
        <w:rPr>
          <w:sz w:val="20"/>
        </w:rPr>
        <w:t>acompañamiento a actores locales</w:t>
      </w:r>
      <w:r w:rsidR="000634E0" w:rsidRPr="00964530">
        <w:rPr>
          <w:sz w:val="20"/>
        </w:rPr>
        <w:t xml:space="preserve">). </w:t>
      </w:r>
    </w:p>
    <w:p w:rsidR="00633B6D" w:rsidRPr="00964530" w:rsidRDefault="00633B6D" w:rsidP="0000294A">
      <w:pPr>
        <w:rPr>
          <w:sz w:val="20"/>
        </w:rPr>
      </w:pPr>
      <w:r w:rsidRPr="00964530">
        <w:rPr>
          <w:sz w:val="20"/>
        </w:rPr>
        <w:t>Por otro lado, e</w:t>
      </w:r>
      <w:r w:rsidR="000634E0" w:rsidRPr="00964530">
        <w:rPr>
          <w:sz w:val="20"/>
        </w:rPr>
        <w:t xml:space="preserve">l </w:t>
      </w:r>
      <w:r w:rsidR="00442728" w:rsidRPr="00964530">
        <w:rPr>
          <w:sz w:val="20"/>
        </w:rPr>
        <w:t>36.27%</w:t>
      </w:r>
      <w:r w:rsidR="000634E0" w:rsidRPr="00964530">
        <w:rPr>
          <w:sz w:val="20"/>
        </w:rPr>
        <w:t xml:space="preserve"> de la inversión ha sido ejecutada en proyectos de infraestructura social básica (</w:t>
      </w:r>
      <w:r w:rsidR="005B29A9" w:rsidRPr="00964530">
        <w:rPr>
          <w:sz w:val="20"/>
        </w:rPr>
        <w:t>a</w:t>
      </w:r>
      <w:r w:rsidR="000634E0" w:rsidRPr="00964530">
        <w:rPr>
          <w:sz w:val="20"/>
        </w:rPr>
        <w:t xml:space="preserve">gua </w:t>
      </w:r>
      <w:r w:rsidR="005B29A9" w:rsidRPr="00964530">
        <w:rPr>
          <w:sz w:val="20"/>
        </w:rPr>
        <w:t>p</w:t>
      </w:r>
      <w:r w:rsidR="000634E0" w:rsidRPr="00964530">
        <w:rPr>
          <w:sz w:val="20"/>
        </w:rPr>
        <w:t xml:space="preserve">otable y </w:t>
      </w:r>
      <w:r w:rsidR="005B29A9" w:rsidRPr="00964530">
        <w:rPr>
          <w:sz w:val="20"/>
        </w:rPr>
        <w:t>s</w:t>
      </w:r>
      <w:r w:rsidR="000634E0" w:rsidRPr="00964530">
        <w:rPr>
          <w:sz w:val="20"/>
        </w:rPr>
        <w:t xml:space="preserve">aneamiento, </w:t>
      </w:r>
      <w:r w:rsidR="005B29A9" w:rsidRPr="00964530">
        <w:rPr>
          <w:sz w:val="20"/>
        </w:rPr>
        <w:t>e</w:t>
      </w:r>
      <w:r w:rsidR="000634E0" w:rsidRPr="00964530">
        <w:rPr>
          <w:sz w:val="20"/>
        </w:rPr>
        <w:t xml:space="preserve">lectrificación, </w:t>
      </w:r>
      <w:r w:rsidR="005B29A9" w:rsidRPr="00964530">
        <w:rPr>
          <w:sz w:val="20"/>
        </w:rPr>
        <w:t>s</w:t>
      </w:r>
      <w:r w:rsidR="000634E0" w:rsidRPr="00964530">
        <w:rPr>
          <w:sz w:val="20"/>
        </w:rPr>
        <w:t xml:space="preserve">alud, </w:t>
      </w:r>
      <w:r w:rsidR="005B29A9" w:rsidRPr="00964530">
        <w:rPr>
          <w:sz w:val="20"/>
        </w:rPr>
        <w:t>c</w:t>
      </w:r>
      <w:r w:rsidR="000634E0" w:rsidRPr="00964530">
        <w:rPr>
          <w:sz w:val="20"/>
        </w:rPr>
        <w:t xml:space="preserve">aminos y </w:t>
      </w:r>
      <w:r w:rsidR="005B29A9" w:rsidRPr="00964530">
        <w:rPr>
          <w:sz w:val="20"/>
        </w:rPr>
        <w:t>p</w:t>
      </w:r>
      <w:r w:rsidRPr="00964530">
        <w:rPr>
          <w:sz w:val="20"/>
        </w:rPr>
        <w:t xml:space="preserve">uentes, entre otras tipologías). </w:t>
      </w:r>
    </w:p>
    <w:p w:rsidR="000634E0" w:rsidRPr="00964530" w:rsidRDefault="000634E0" w:rsidP="0000294A">
      <w:pPr>
        <w:jc w:val="center"/>
        <w:rPr>
          <w:b/>
          <w:sz w:val="20"/>
        </w:rPr>
      </w:pPr>
      <w:r w:rsidRPr="00964530">
        <w:rPr>
          <w:b/>
          <w:sz w:val="20"/>
        </w:rPr>
        <w:t>Cuadro 1: Inversión d</w:t>
      </w:r>
      <w:r w:rsidR="00544B8D" w:rsidRPr="00964530">
        <w:rPr>
          <w:b/>
          <w:sz w:val="20"/>
        </w:rPr>
        <w:t xml:space="preserve">el FISDL por </w:t>
      </w:r>
      <w:r w:rsidR="00F930C9" w:rsidRPr="00964530">
        <w:rPr>
          <w:b/>
          <w:sz w:val="20"/>
        </w:rPr>
        <w:t>d</w:t>
      </w:r>
      <w:r w:rsidR="00544B8D" w:rsidRPr="00964530">
        <w:rPr>
          <w:b/>
          <w:sz w:val="20"/>
        </w:rPr>
        <w:t>epartamento (</w:t>
      </w:r>
      <w:r w:rsidRPr="00964530">
        <w:rPr>
          <w:b/>
          <w:sz w:val="20"/>
        </w:rPr>
        <w:t>USD$)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1676"/>
        <w:gridCol w:w="1110"/>
        <w:gridCol w:w="1220"/>
      </w:tblGrid>
      <w:tr w:rsidR="00544B8D" w:rsidRPr="00591CE6" w:rsidTr="00306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:rsidR="00544B8D" w:rsidRPr="00591CE6" w:rsidRDefault="00544B8D" w:rsidP="00544B8D">
            <w:pPr>
              <w:jc w:val="center"/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0" w:type="auto"/>
            <w:vAlign w:val="center"/>
            <w:hideMark/>
          </w:tcPr>
          <w:p w:rsidR="00544B8D" w:rsidRPr="00591CE6" w:rsidRDefault="00544B8D" w:rsidP="00544B8D">
            <w:pPr>
              <w:jc w:val="center"/>
              <w:rPr>
                <w:rFonts w:eastAsia="Times New Roman" w:cs="Times New Roman"/>
                <w:b w:val="0"/>
                <w:bCs w:val="0"/>
                <w:noProof w:val="0"/>
                <w:color w:val="FFFFFF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Ejecutado</w:t>
            </w:r>
          </w:p>
          <w:p w:rsidR="00544B8D" w:rsidRPr="00591CE6" w:rsidRDefault="00544B8D" w:rsidP="00544B8D">
            <w:pPr>
              <w:jc w:val="center"/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(USD$)</w:t>
            </w:r>
          </w:p>
        </w:tc>
        <w:tc>
          <w:tcPr>
            <w:tcW w:w="1220" w:type="dxa"/>
            <w:vAlign w:val="center"/>
            <w:hideMark/>
          </w:tcPr>
          <w:p w:rsidR="00544B8D" w:rsidRPr="00591CE6" w:rsidRDefault="00544B8D" w:rsidP="00174DBE">
            <w:pPr>
              <w:jc w:val="center"/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Porcentaje de Inversión</w:t>
            </w:r>
            <w:r w:rsidR="00174DBE" w:rsidRPr="00591CE6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 xml:space="preserve"> </w:t>
            </w:r>
            <w:r w:rsidRPr="00591CE6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(%)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$35,814,974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17.20%</w:t>
            </w:r>
          </w:p>
        </w:tc>
      </w:tr>
      <w:tr w:rsidR="00174DBE" w:rsidRPr="00591CE6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Morazán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$27,405,773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13.17%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$19,344,809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9.29%</w:t>
            </w:r>
          </w:p>
        </w:tc>
      </w:tr>
      <w:tr w:rsidR="00174DBE" w:rsidRPr="00591CE6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San Miguel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$19,028,455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9.14%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Chalatenango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$12,940,447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6.22%</w:t>
            </w:r>
          </w:p>
        </w:tc>
      </w:tr>
      <w:tr w:rsidR="00174DBE" w:rsidRPr="00591CE6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San Vicente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$12,009,286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5.77%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Santa Ana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$11,656,335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5.60%</w:t>
            </w:r>
          </w:p>
        </w:tc>
      </w:tr>
      <w:tr w:rsidR="00174DBE" w:rsidRPr="00591CE6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$11,387,002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5.47%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Cabañas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$11,145,535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5.35%</w:t>
            </w:r>
          </w:p>
        </w:tc>
      </w:tr>
      <w:tr w:rsidR="00174DBE" w:rsidRPr="00591CE6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San Salvador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$10,908,774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5.24%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$10,764,702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5.17%</w:t>
            </w:r>
          </w:p>
        </w:tc>
      </w:tr>
      <w:tr w:rsidR="00174DBE" w:rsidRPr="00591CE6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$10,746,539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5.16%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Cuscatlán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$8,493,117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4.08%</w:t>
            </w:r>
          </w:p>
        </w:tc>
      </w:tr>
      <w:tr w:rsidR="00174DBE" w:rsidRPr="00591CE6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La Unión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$5,310,881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2.55%</w:t>
            </w:r>
          </w:p>
        </w:tc>
      </w:tr>
      <w:tr w:rsidR="00174DBE" w:rsidRPr="00591CE6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Varios Departamentos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$1,211,824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0.58%</w:t>
            </w:r>
          </w:p>
        </w:tc>
      </w:tr>
      <w:tr w:rsidR="00174DBE" w:rsidRPr="00591CE6" w:rsidTr="00306C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 xml:space="preserve">Total </w:t>
            </w:r>
            <w:r w:rsidRPr="00591CE6">
              <w:rPr>
                <w:rFonts w:eastAsia="Times New Roman" w:cs="Times New Roman"/>
                <w:b w:val="0"/>
                <w:bCs w:val="0"/>
                <w:noProof w:val="0"/>
                <w:color w:val="000000"/>
                <w:sz w:val="16"/>
                <w:szCs w:val="16"/>
                <w:lang w:eastAsia="es-SV"/>
              </w:rPr>
              <w:t>General</w:t>
            </w:r>
          </w:p>
        </w:tc>
        <w:tc>
          <w:tcPr>
            <w:tcW w:w="0" w:type="auto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$208,168,454</w:t>
            </w:r>
          </w:p>
        </w:tc>
        <w:tc>
          <w:tcPr>
            <w:tcW w:w="1220" w:type="dxa"/>
            <w:noWrap/>
            <w:hideMark/>
          </w:tcPr>
          <w:p w:rsidR="00544B8D" w:rsidRPr="00591CE6" w:rsidRDefault="00544B8D" w:rsidP="00544B8D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91CE6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100.00%</w:t>
            </w:r>
          </w:p>
        </w:tc>
      </w:tr>
    </w:tbl>
    <w:p w:rsidR="00964530" w:rsidRDefault="00964530" w:rsidP="0000294A">
      <w:pPr>
        <w:rPr>
          <w:sz w:val="20"/>
        </w:rPr>
      </w:pPr>
    </w:p>
    <w:p w:rsidR="000634E0" w:rsidRPr="00964530" w:rsidRDefault="000634E0" w:rsidP="0000294A">
      <w:pPr>
        <w:jc w:val="center"/>
        <w:rPr>
          <w:b/>
          <w:sz w:val="20"/>
        </w:rPr>
      </w:pPr>
      <w:r w:rsidRPr="00964530">
        <w:rPr>
          <w:b/>
          <w:sz w:val="20"/>
        </w:rPr>
        <w:lastRenderedPageBreak/>
        <w:t xml:space="preserve">Cuadro 2: Inversión del FISDL por </w:t>
      </w:r>
      <w:r w:rsidR="00F930C9" w:rsidRPr="00964530">
        <w:rPr>
          <w:b/>
          <w:sz w:val="20"/>
        </w:rPr>
        <w:t xml:space="preserve">partido político o coalición </w:t>
      </w:r>
      <w:r w:rsidRPr="00964530">
        <w:rPr>
          <w:b/>
          <w:sz w:val="20"/>
        </w:rPr>
        <w:t>(USD$)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2003"/>
        <w:gridCol w:w="1373"/>
        <w:gridCol w:w="2042"/>
      </w:tblGrid>
      <w:tr w:rsidR="000462DE" w:rsidRPr="00306CAE" w:rsidTr="00306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vAlign w:val="center"/>
            <w:hideMark/>
          </w:tcPr>
          <w:p w:rsidR="000462DE" w:rsidRPr="00306CAE" w:rsidRDefault="000462DE" w:rsidP="000462DE">
            <w:pPr>
              <w:jc w:val="center"/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Partido Político o Coalición</w:t>
            </w:r>
          </w:p>
        </w:tc>
        <w:tc>
          <w:tcPr>
            <w:tcW w:w="0" w:type="auto"/>
            <w:noWrap/>
            <w:vAlign w:val="center"/>
            <w:hideMark/>
          </w:tcPr>
          <w:p w:rsidR="000462DE" w:rsidRPr="00306CAE" w:rsidRDefault="000462DE" w:rsidP="000462DE">
            <w:pPr>
              <w:jc w:val="center"/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Ejecutado (USD$)</w:t>
            </w:r>
          </w:p>
        </w:tc>
        <w:tc>
          <w:tcPr>
            <w:tcW w:w="0" w:type="auto"/>
            <w:vAlign w:val="center"/>
            <w:hideMark/>
          </w:tcPr>
          <w:p w:rsidR="000462DE" w:rsidRPr="00306CAE" w:rsidRDefault="000462DE" w:rsidP="000462DE">
            <w:pPr>
              <w:jc w:val="center"/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FFFFFF"/>
                <w:sz w:val="16"/>
                <w:szCs w:val="16"/>
                <w:lang w:eastAsia="es-SV"/>
              </w:rPr>
              <w:t>Porcentaje de Inversión (%)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ARENA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$92,565,116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44.47%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FMLN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$66,055,520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31.73%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GANA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$16,407,731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7.88%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PCN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$6,486,281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3.12%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PDC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$6,228,184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2.99%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ARENA / PDC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$4,720,028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2.27%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FMLN / CD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$4,535,501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2.18%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PCN / PDC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$3,312,896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1.59%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ARENA / PCN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$2,804,292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1.35%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Varios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$2,011,824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0.97%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FMLN / PSP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$1,651,363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0.79%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PSD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$812,403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0.39%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CD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$378,862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0.18%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FMLN / GANA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$168,819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0.08%</w:t>
            </w:r>
          </w:p>
        </w:tc>
      </w:tr>
      <w:tr w:rsidR="000462DE" w:rsidRPr="00306CAE" w:rsidTr="0030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PDC - GANA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$22,135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0.01%</w:t>
            </w:r>
          </w:p>
        </w:tc>
      </w:tr>
      <w:tr w:rsidR="000462DE" w:rsidRPr="00306CAE" w:rsidTr="00306CAE">
        <w:trPr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FMLN - PDC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$7,500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0.004%</w:t>
            </w:r>
          </w:p>
        </w:tc>
      </w:tr>
      <w:tr w:rsidR="000462DE" w:rsidRPr="00306CAE" w:rsidTr="00306C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Total general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$208,168,454</w:t>
            </w:r>
          </w:p>
        </w:tc>
        <w:tc>
          <w:tcPr>
            <w:tcW w:w="0" w:type="auto"/>
            <w:noWrap/>
            <w:hideMark/>
          </w:tcPr>
          <w:p w:rsidR="000462DE" w:rsidRPr="00306CAE" w:rsidRDefault="000462DE" w:rsidP="000462DE">
            <w:pPr>
              <w:jc w:val="right"/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306CAE">
              <w:rPr>
                <w:rFonts w:eastAsia="Times New Roman" w:cs="Times New Roman"/>
                <w:noProof w:val="0"/>
                <w:color w:val="000000"/>
                <w:sz w:val="16"/>
                <w:szCs w:val="16"/>
                <w:lang w:eastAsia="es-SV"/>
              </w:rPr>
              <w:t>100.00%</w:t>
            </w:r>
          </w:p>
        </w:tc>
      </w:tr>
    </w:tbl>
    <w:p w:rsidR="000634E0" w:rsidRPr="001C4371" w:rsidRDefault="000634E0" w:rsidP="0000294A">
      <w:pPr>
        <w:ind w:left="1276" w:right="1268"/>
        <w:rPr>
          <w:sz w:val="14"/>
        </w:rPr>
      </w:pPr>
      <w:r w:rsidRPr="001C4371">
        <w:rPr>
          <w:sz w:val="14"/>
        </w:rPr>
        <w:t>Nota cuadro 2: Los datos corresponden a la composición de los alcaldes y los partidos a los que pertenecen de acuerdo al período: De junio 2014 a abril 2015 período 2012-2015 y de mayo 2015 a mayo 201</w:t>
      </w:r>
      <w:r w:rsidR="000462DE">
        <w:rPr>
          <w:sz w:val="14"/>
        </w:rPr>
        <w:t>7</w:t>
      </w:r>
      <w:r w:rsidRPr="001C4371">
        <w:rPr>
          <w:sz w:val="14"/>
        </w:rPr>
        <w:t xml:space="preserve"> período 2015-2018</w:t>
      </w:r>
    </w:p>
    <w:p w:rsidR="000634E0" w:rsidRPr="00964530" w:rsidRDefault="00F930C9" w:rsidP="0000294A">
      <w:pPr>
        <w:pStyle w:val="Ttulo1"/>
        <w:rPr>
          <w:sz w:val="32"/>
        </w:rPr>
      </w:pPr>
      <w:bookmarkStart w:id="1" w:name="_Toc485995117"/>
      <w:r w:rsidRPr="00964530">
        <w:rPr>
          <w:sz w:val="32"/>
        </w:rPr>
        <w:t xml:space="preserve">Principales resultados de los tres años de gestión </w:t>
      </w:r>
      <w:r w:rsidR="000634E0" w:rsidRPr="00964530">
        <w:rPr>
          <w:sz w:val="32"/>
        </w:rPr>
        <w:t>(junio 201</w:t>
      </w:r>
      <w:r w:rsidR="006F376F" w:rsidRPr="00964530">
        <w:rPr>
          <w:sz w:val="32"/>
        </w:rPr>
        <w:t>4</w:t>
      </w:r>
      <w:r w:rsidR="000634E0" w:rsidRPr="00964530">
        <w:rPr>
          <w:sz w:val="32"/>
        </w:rPr>
        <w:t xml:space="preserve"> a mayo 201</w:t>
      </w:r>
      <w:r w:rsidR="001C4371" w:rsidRPr="00964530">
        <w:rPr>
          <w:sz w:val="32"/>
        </w:rPr>
        <w:t>7</w:t>
      </w:r>
      <w:r w:rsidR="000634E0" w:rsidRPr="00964530">
        <w:rPr>
          <w:sz w:val="32"/>
        </w:rPr>
        <w:t>)</w:t>
      </w:r>
      <w:bookmarkEnd w:id="1"/>
    </w:p>
    <w:p w:rsidR="000634E0" w:rsidRPr="00964530" w:rsidRDefault="003B033F" w:rsidP="0000294A">
      <w:pPr>
        <w:pStyle w:val="Ttulo2"/>
        <w:numPr>
          <w:ilvl w:val="0"/>
          <w:numId w:val="9"/>
        </w:numPr>
        <w:rPr>
          <w:sz w:val="20"/>
          <w:szCs w:val="20"/>
        </w:rPr>
      </w:pPr>
      <w:bookmarkStart w:id="2" w:name="_Toc485995118"/>
      <w:r w:rsidRPr="00964530">
        <w:rPr>
          <w:sz w:val="20"/>
          <w:szCs w:val="20"/>
        </w:rPr>
        <w:t>Mejora el a</w:t>
      </w:r>
      <w:r w:rsidR="000634E0" w:rsidRPr="00964530">
        <w:rPr>
          <w:sz w:val="20"/>
          <w:szCs w:val="20"/>
        </w:rPr>
        <w:t>cceso a servicios básicos</w:t>
      </w:r>
      <w:bookmarkEnd w:id="2"/>
    </w:p>
    <w:p w:rsidR="00186CB5" w:rsidRPr="00964530" w:rsidRDefault="00186CB5" w:rsidP="00186CB5">
      <w:pPr>
        <w:pStyle w:val="Ttulo3"/>
        <w:numPr>
          <w:ilvl w:val="1"/>
          <w:numId w:val="9"/>
        </w:numPr>
        <w:rPr>
          <w:sz w:val="20"/>
          <w:szCs w:val="20"/>
        </w:rPr>
      </w:pPr>
      <w:bookmarkStart w:id="3" w:name="_Toc485995119"/>
      <w:r w:rsidRPr="00964530">
        <w:rPr>
          <w:sz w:val="20"/>
          <w:szCs w:val="20"/>
        </w:rPr>
        <w:t>Agua Potable y Saneamiento</w:t>
      </w:r>
      <w:r w:rsidR="00937719" w:rsidRPr="00964530">
        <w:rPr>
          <w:sz w:val="20"/>
          <w:szCs w:val="20"/>
        </w:rPr>
        <w:t xml:space="preserve"> </w:t>
      </w:r>
      <w:r w:rsidR="00E41EDA" w:rsidRPr="00964530">
        <w:rPr>
          <w:sz w:val="20"/>
          <w:szCs w:val="20"/>
        </w:rPr>
        <w:t>B</w:t>
      </w:r>
      <w:r w:rsidR="00937719" w:rsidRPr="00964530">
        <w:rPr>
          <w:sz w:val="20"/>
          <w:szCs w:val="20"/>
        </w:rPr>
        <w:t>ásico</w:t>
      </w:r>
      <w:bookmarkEnd w:id="3"/>
    </w:p>
    <w:p w:rsidR="00061897" w:rsidRPr="00964530" w:rsidRDefault="000634E0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En </w:t>
      </w:r>
      <w:r w:rsidR="00D46E9E" w:rsidRPr="00964530">
        <w:rPr>
          <w:sz w:val="20"/>
          <w:szCs w:val="20"/>
        </w:rPr>
        <w:t>los tres años</w:t>
      </w:r>
      <w:r w:rsidRPr="00964530">
        <w:rPr>
          <w:sz w:val="20"/>
          <w:szCs w:val="20"/>
        </w:rPr>
        <w:t xml:space="preserve"> de gestión (de junio 201</w:t>
      </w:r>
      <w:r w:rsidR="001C4371" w:rsidRPr="00964530">
        <w:rPr>
          <w:sz w:val="20"/>
          <w:szCs w:val="20"/>
        </w:rPr>
        <w:t>4</w:t>
      </w:r>
      <w:r w:rsidRPr="00964530">
        <w:rPr>
          <w:sz w:val="20"/>
          <w:szCs w:val="20"/>
        </w:rPr>
        <w:t xml:space="preserve"> a mayo 201</w:t>
      </w:r>
      <w:r w:rsidR="001C4371" w:rsidRPr="00964530">
        <w:rPr>
          <w:sz w:val="20"/>
          <w:szCs w:val="20"/>
        </w:rPr>
        <w:t>7</w:t>
      </w:r>
      <w:r w:rsidRPr="00964530">
        <w:rPr>
          <w:sz w:val="20"/>
          <w:szCs w:val="20"/>
        </w:rPr>
        <w:t xml:space="preserve">), el FISDL ha </w:t>
      </w:r>
      <w:r w:rsidR="00937719" w:rsidRPr="00964530">
        <w:rPr>
          <w:sz w:val="20"/>
          <w:szCs w:val="20"/>
        </w:rPr>
        <w:t>intervenido</w:t>
      </w:r>
      <w:r w:rsidR="007419F8" w:rsidRPr="00964530">
        <w:rPr>
          <w:sz w:val="20"/>
          <w:szCs w:val="20"/>
        </w:rPr>
        <w:t xml:space="preserve"> en </w:t>
      </w:r>
      <w:r w:rsidR="00674A94" w:rsidRPr="00964530">
        <w:rPr>
          <w:sz w:val="20"/>
          <w:szCs w:val="20"/>
        </w:rPr>
        <w:t>27</w:t>
      </w:r>
      <w:r w:rsidR="007419F8" w:rsidRPr="00964530">
        <w:rPr>
          <w:sz w:val="20"/>
          <w:szCs w:val="20"/>
        </w:rPr>
        <w:t xml:space="preserve"> de los 100 municipios de Pobreza Extrema Severa (PES) y Alta (PEA), ejecutando un total de </w:t>
      </w:r>
      <w:r w:rsidR="00674A94" w:rsidRPr="00964530">
        <w:rPr>
          <w:sz w:val="20"/>
          <w:szCs w:val="20"/>
        </w:rPr>
        <w:t>43</w:t>
      </w:r>
      <w:r w:rsidR="007419F8" w:rsidRPr="00964530">
        <w:rPr>
          <w:sz w:val="20"/>
          <w:szCs w:val="20"/>
        </w:rPr>
        <w:t xml:space="preserve"> proyectos de Agua Potable y</w:t>
      </w:r>
      <w:r w:rsidRPr="00964530">
        <w:rPr>
          <w:sz w:val="20"/>
          <w:szCs w:val="20"/>
        </w:rPr>
        <w:t xml:space="preserve"> Saneamient</w:t>
      </w:r>
      <w:r w:rsidR="007419F8" w:rsidRPr="00964530">
        <w:rPr>
          <w:sz w:val="20"/>
          <w:szCs w:val="20"/>
        </w:rPr>
        <w:t>o por un monto de</w:t>
      </w:r>
      <w:r w:rsidRPr="00964530">
        <w:rPr>
          <w:sz w:val="20"/>
          <w:szCs w:val="20"/>
        </w:rPr>
        <w:t xml:space="preserve"> USD$</w:t>
      </w:r>
      <w:r w:rsidR="00674A94" w:rsidRPr="00964530">
        <w:rPr>
          <w:sz w:val="20"/>
          <w:szCs w:val="20"/>
        </w:rPr>
        <w:t>23.09</w:t>
      </w:r>
      <w:r w:rsidR="001C4371" w:rsidRPr="00964530">
        <w:rPr>
          <w:sz w:val="20"/>
          <w:szCs w:val="20"/>
        </w:rPr>
        <w:t xml:space="preserve"> millones</w:t>
      </w:r>
      <w:r w:rsidRPr="00964530">
        <w:rPr>
          <w:sz w:val="20"/>
          <w:szCs w:val="20"/>
        </w:rPr>
        <w:t xml:space="preserve">. </w:t>
      </w:r>
      <w:r w:rsidR="00937719" w:rsidRPr="00964530">
        <w:rPr>
          <w:sz w:val="20"/>
          <w:szCs w:val="20"/>
        </w:rPr>
        <w:t>Con é</w:t>
      </w:r>
      <w:r w:rsidRPr="00964530">
        <w:rPr>
          <w:sz w:val="20"/>
          <w:szCs w:val="20"/>
        </w:rPr>
        <w:t xml:space="preserve">sta inversión </w:t>
      </w:r>
      <w:r w:rsidR="00937719" w:rsidRPr="00964530">
        <w:rPr>
          <w:sz w:val="20"/>
          <w:szCs w:val="20"/>
        </w:rPr>
        <w:t xml:space="preserve">se </w:t>
      </w:r>
      <w:r w:rsidRPr="00964530">
        <w:rPr>
          <w:sz w:val="20"/>
          <w:szCs w:val="20"/>
        </w:rPr>
        <w:t xml:space="preserve">ha beneficiado a </w:t>
      </w:r>
      <w:r w:rsidR="00EF0D1C" w:rsidRPr="00964530">
        <w:rPr>
          <w:sz w:val="20"/>
          <w:szCs w:val="20"/>
        </w:rPr>
        <w:t>5,789</w:t>
      </w:r>
      <w:r w:rsidRPr="00964530">
        <w:rPr>
          <w:sz w:val="20"/>
          <w:szCs w:val="20"/>
        </w:rPr>
        <w:t xml:space="preserve"> familias (</w:t>
      </w:r>
      <w:r w:rsidR="00AB1712" w:rsidRPr="00964530">
        <w:rPr>
          <w:sz w:val="20"/>
          <w:szCs w:val="20"/>
        </w:rPr>
        <w:t>50,063</w:t>
      </w:r>
      <w:r w:rsidRPr="00964530">
        <w:rPr>
          <w:sz w:val="20"/>
          <w:szCs w:val="20"/>
        </w:rPr>
        <w:t xml:space="preserve"> personas), </w:t>
      </w:r>
      <w:r w:rsidRPr="00964530">
        <w:rPr>
          <w:b/>
          <w:color w:val="5967AF" w:themeColor="text2" w:themeTint="99"/>
          <w:sz w:val="20"/>
          <w:szCs w:val="20"/>
        </w:rPr>
        <w:t xml:space="preserve">incrementado en </w:t>
      </w:r>
      <w:r w:rsidR="00AB1712" w:rsidRPr="00964530">
        <w:rPr>
          <w:b/>
          <w:color w:val="5967AF" w:themeColor="text2" w:themeTint="99"/>
          <w:sz w:val="20"/>
          <w:szCs w:val="20"/>
        </w:rPr>
        <w:t>3.9%</w:t>
      </w:r>
      <w:r w:rsidRPr="00964530">
        <w:rPr>
          <w:b/>
          <w:color w:val="5967AF" w:themeColor="text2" w:themeTint="99"/>
          <w:sz w:val="20"/>
          <w:szCs w:val="20"/>
        </w:rPr>
        <w:t xml:space="preserve"> la cobertura de Agua Potable</w:t>
      </w:r>
      <w:r w:rsidR="00937719" w:rsidRPr="00964530">
        <w:rPr>
          <w:b/>
          <w:color w:val="5967AF" w:themeColor="text2" w:themeTint="99"/>
          <w:sz w:val="20"/>
          <w:szCs w:val="20"/>
        </w:rPr>
        <w:t xml:space="preserve"> en los 100 municipios</w:t>
      </w:r>
      <w:r w:rsidR="00937719" w:rsidRPr="00964530">
        <w:rPr>
          <w:color w:val="5967AF" w:themeColor="text2" w:themeTint="99"/>
          <w:sz w:val="20"/>
          <w:szCs w:val="20"/>
        </w:rPr>
        <w:t xml:space="preserve"> </w:t>
      </w:r>
      <w:r w:rsidR="00937719" w:rsidRPr="00964530">
        <w:rPr>
          <w:sz w:val="20"/>
          <w:szCs w:val="20"/>
        </w:rPr>
        <w:t>de PES y PEA</w:t>
      </w:r>
      <w:r w:rsidR="007419F8" w:rsidRPr="00964530">
        <w:rPr>
          <w:sz w:val="20"/>
          <w:szCs w:val="20"/>
        </w:rPr>
        <w:t xml:space="preserve">, </w:t>
      </w:r>
      <w:r w:rsidR="00937719" w:rsidRPr="00964530">
        <w:rPr>
          <w:sz w:val="20"/>
          <w:szCs w:val="20"/>
        </w:rPr>
        <w:t>pasando</w:t>
      </w:r>
      <w:r w:rsidR="007419F8" w:rsidRPr="00964530">
        <w:rPr>
          <w:sz w:val="20"/>
          <w:szCs w:val="20"/>
        </w:rPr>
        <w:t xml:space="preserve"> </w:t>
      </w:r>
      <w:r w:rsidRPr="00964530">
        <w:rPr>
          <w:sz w:val="20"/>
          <w:szCs w:val="20"/>
        </w:rPr>
        <w:t xml:space="preserve">de </w:t>
      </w:r>
      <w:r w:rsidR="00AB1712" w:rsidRPr="00964530">
        <w:rPr>
          <w:sz w:val="20"/>
          <w:szCs w:val="20"/>
        </w:rPr>
        <w:t>68.60%</w:t>
      </w:r>
      <w:r w:rsidRPr="00964530">
        <w:rPr>
          <w:sz w:val="20"/>
          <w:szCs w:val="20"/>
        </w:rPr>
        <w:t xml:space="preserve"> en may</w:t>
      </w:r>
      <w:r w:rsidR="007419F8" w:rsidRPr="00964530">
        <w:rPr>
          <w:sz w:val="20"/>
          <w:szCs w:val="20"/>
        </w:rPr>
        <w:t>o 201</w:t>
      </w:r>
      <w:r w:rsidR="00AB1712" w:rsidRPr="00964530">
        <w:rPr>
          <w:sz w:val="20"/>
          <w:szCs w:val="20"/>
        </w:rPr>
        <w:t>4</w:t>
      </w:r>
      <w:r w:rsidR="007419F8" w:rsidRPr="00964530">
        <w:rPr>
          <w:sz w:val="20"/>
          <w:szCs w:val="20"/>
        </w:rPr>
        <w:t xml:space="preserve"> a </w:t>
      </w:r>
      <w:r w:rsidR="00AB1712" w:rsidRPr="00964530">
        <w:rPr>
          <w:sz w:val="20"/>
          <w:szCs w:val="20"/>
        </w:rPr>
        <w:t>72.50%</w:t>
      </w:r>
      <w:r w:rsidR="007419F8" w:rsidRPr="00964530">
        <w:rPr>
          <w:sz w:val="20"/>
          <w:szCs w:val="20"/>
        </w:rPr>
        <w:t xml:space="preserve"> en mayo de 201</w:t>
      </w:r>
      <w:r w:rsidR="001C4371" w:rsidRPr="00964530">
        <w:rPr>
          <w:sz w:val="20"/>
          <w:szCs w:val="20"/>
        </w:rPr>
        <w:t>7</w:t>
      </w:r>
      <w:r w:rsidR="00A04318" w:rsidRPr="00964530">
        <w:rPr>
          <w:sz w:val="20"/>
          <w:szCs w:val="20"/>
        </w:rPr>
        <w:t>.</w:t>
      </w:r>
    </w:p>
    <w:p w:rsidR="000634E0" w:rsidRPr="00964530" w:rsidRDefault="00937719" w:rsidP="0000294A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Con relación a </w:t>
      </w:r>
      <w:r w:rsidR="007419F8" w:rsidRPr="00964530">
        <w:rPr>
          <w:sz w:val="20"/>
          <w:szCs w:val="20"/>
        </w:rPr>
        <w:t xml:space="preserve">los </w:t>
      </w:r>
      <w:r w:rsidRPr="00964530">
        <w:rPr>
          <w:sz w:val="20"/>
          <w:szCs w:val="20"/>
        </w:rPr>
        <w:t>segmento</w:t>
      </w:r>
      <w:r w:rsidR="007419F8" w:rsidRPr="00964530">
        <w:rPr>
          <w:sz w:val="20"/>
          <w:szCs w:val="20"/>
        </w:rPr>
        <w:t>s de Pobreza Extrema Moderada (PEM) y Baja (PEB) se</w:t>
      </w:r>
      <w:r w:rsidR="000634E0" w:rsidRPr="00964530">
        <w:rPr>
          <w:sz w:val="20"/>
          <w:szCs w:val="20"/>
        </w:rPr>
        <w:t xml:space="preserve"> ha invertido en </w:t>
      </w:r>
      <w:r w:rsidR="003245D3" w:rsidRPr="00964530">
        <w:rPr>
          <w:sz w:val="20"/>
          <w:szCs w:val="20"/>
        </w:rPr>
        <w:t>9</w:t>
      </w:r>
      <w:r w:rsidR="007419F8" w:rsidRPr="00964530">
        <w:rPr>
          <w:sz w:val="20"/>
          <w:szCs w:val="20"/>
        </w:rPr>
        <w:t xml:space="preserve"> municipios un monto de </w:t>
      </w:r>
      <w:r w:rsidR="000634E0" w:rsidRPr="00964530">
        <w:rPr>
          <w:sz w:val="20"/>
          <w:szCs w:val="20"/>
        </w:rPr>
        <w:t>USD$</w:t>
      </w:r>
      <w:r w:rsidR="001F13AC" w:rsidRPr="00964530">
        <w:rPr>
          <w:sz w:val="20"/>
          <w:szCs w:val="20"/>
        </w:rPr>
        <w:t>7.09</w:t>
      </w:r>
      <w:r w:rsidR="003E4C83" w:rsidRPr="00964530">
        <w:rPr>
          <w:sz w:val="20"/>
          <w:szCs w:val="20"/>
        </w:rPr>
        <w:t xml:space="preserve"> millones</w:t>
      </w:r>
      <w:r w:rsidR="000634E0" w:rsidRPr="00964530">
        <w:rPr>
          <w:sz w:val="20"/>
          <w:szCs w:val="20"/>
        </w:rPr>
        <w:t xml:space="preserve">. </w:t>
      </w:r>
      <w:r w:rsidR="007419F8" w:rsidRPr="00964530">
        <w:rPr>
          <w:sz w:val="20"/>
          <w:szCs w:val="20"/>
        </w:rPr>
        <w:t xml:space="preserve">Ejecutando </w:t>
      </w:r>
      <w:r w:rsidR="001F13AC" w:rsidRPr="00964530">
        <w:rPr>
          <w:sz w:val="20"/>
          <w:szCs w:val="20"/>
        </w:rPr>
        <w:t>1</w:t>
      </w:r>
      <w:r w:rsidR="003245D3" w:rsidRPr="00964530">
        <w:rPr>
          <w:sz w:val="20"/>
          <w:szCs w:val="20"/>
        </w:rPr>
        <w:t>0</w:t>
      </w:r>
      <w:r w:rsidR="007419F8" w:rsidRPr="00964530">
        <w:rPr>
          <w:sz w:val="20"/>
          <w:szCs w:val="20"/>
        </w:rPr>
        <w:t xml:space="preserve"> proyectos los cuales han beneficiado a </w:t>
      </w:r>
      <w:r w:rsidR="001F13AC" w:rsidRPr="00964530">
        <w:rPr>
          <w:sz w:val="20"/>
          <w:szCs w:val="20"/>
        </w:rPr>
        <w:t>2,01</w:t>
      </w:r>
      <w:r w:rsidR="003245D3" w:rsidRPr="00964530">
        <w:rPr>
          <w:sz w:val="20"/>
          <w:szCs w:val="20"/>
        </w:rPr>
        <w:t>5</w:t>
      </w:r>
      <w:r w:rsidR="000634E0" w:rsidRPr="00964530">
        <w:rPr>
          <w:sz w:val="20"/>
          <w:szCs w:val="20"/>
        </w:rPr>
        <w:t xml:space="preserve"> familias (</w:t>
      </w:r>
      <w:r w:rsidR="001F13AC" w:rsidRPr="00964530">
        <w:rPr>
          <w:sz w:val="20"/>
          <w:szCs w:val="20"/>
        </w:rPr>
        <w:t>9,717</w:t>
      </w:r>
      <w:r w:rsidR="000634E0" w:rsidRPr="00964530">
        <w:rPr>
          <w:sz w:val="20"/>
          <w:szCs w:val="20"/>
        </w:rPr>
        <w:t xml:space="preserve"> personas).</w:t>
      </w:r>
    </w:p>
    <w:p w:rsidR="000634E0" w:rsidRPr="00964530" w:rsidRDefault="00186CB5" w:rsidP="00203EFC">
      <w:pPr>
        <w:pStyle w:val="Ttulo3"/>
        <w:numPr>
          <w:ilvl w:val="1"/>
          <w:numId w:val="9"/>
        </w:numPr>
        <w:rPr>
          <w:sz w:val="20"/>
          <w:szCs w:val="20"/>
        </w:rPr>
      </w:pPr>
      <w:bookmarkStart w:id="4" w:name="_Toc485995120"/>
      <w:r w:rsidRPr="00964530">
        <w:rPr>
          <w:sz w:val="20"/>
          <w:szCs w:val="20"/>
        </w:rPr>
        <w:t>Energía Eléctrica</w:t>
      </w:r>
      <w:bookmarkEnd w:id="4"/>
    </w:p>
    <w:p w:rsidR="000634E0" w:rsidRPr="00964530" w:rsidRDefault="007419F8" w:rsidP="005B29A9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En </w:t>
      </w:r>
      <w:r w:rsidR="000634E0" w:rsidRPr="00964530">
        <w:rPr>
          <w:sz w:val="20"/>
          <w:szCs w:val="20"/>
        </w:rPr>
        <w:t xml:space="preserve">proyectos de Electrificación, </w:t>
      </w:r>
      <w:r w:rsidRPr="00964530">
        <w:rPr>
          <w:sz w:val="20"/>
          <w:szCs w:val="20"/>
        </w:rPr>
        <w:t xml:space="preserve">el FISDL ha invertido en </w:t>
      </w:r>
      <w:r w:rsidR="00EC1C05" w:rsidRPr="00964530">
        <w:rPr>
          <w:sz w:val="20"/>
          <w:szCs w:val="20"/>
        </w:rPr>
        <w:t>36</w:t>
      </w:r>
      <w:r w:rsidRPr="00964530">
        <w:rPr>
          <w:sz w:val="20"/>
          <w:szCs w:val="20"/>
        </w:rPr>
        <w:t xml:space="preserve"> municipios de PEA y PES ejecutando </w:t>
      </w:r>
      <w:r w:rsidR="00EC1C05" w:rsidRPr="00964530">
        <w:rPr>
          <w:sz w:val="20"/>
          <w:szCs w:val="20"/>
        </w:rPr>
        <w:t>83</w:t>
      </w:r>
      <w:r w:rsidRPr="00964530">
        <w:rPr>
          <w:sz w:val="20"/>
          <w:szCs w:val="20"/>
        </w:rPr>
        <w:t xml:space="preserve"> proyectos por un monto d</w:t>
      </w:r>
      <w:r w:rsidR="000634E0" w:rsidRPr="00964530">
        <w:rPr>
          <w:sz w:val="20"/>
          <w:szCs w:val="20"/>
        </w:rPr>
        <w:t>e USD$</w:t>
      </w:r>
      <w:r w:rsidR="00EC1C05" w:rsidRPr="00964530">
        <w:rPr>
          <w:sz w:val="20"/>
          <w:szCs w:val="20"/>
        </w:rPr>
        <w:t>6.90</w:t>
      </w:r>
      <w:r w:rsidR="00627465" w:rsidRPr="00964530">
        <w:rPr>
          <w:sz w:val="20"/>
          <w:szCs w:val="20"/>
        </w:rPr>
        <w:t xml:space="preserve"> millones</w:t>
      </w:r>
      <w:r w:rsidR="000634E0" w:rsidRPr="00964530">
        <w:rPr>
          <w:sz w:val="20"/>
          <w:szCs w:val="20"/>
        </w:rPr>
        <w:t xml:space="preserve">.  Esta inversión ha beneficiado a </w:t>
      </w:r>
      <w:r w:rsidR="00EC1C05" w:rsidRPr="00964530">
        <w:rPr>
          <w:sz w:val="20"/>
          <w:szCs w:val="20"/>
        </w:rPr>
        <w:t>4,948</w:t>
      </w:r>
      <w:r w:rsidR="000634E0" w:rsidRPr="00964530">
        <w:rPr>
          <w:sz w:val="20"/>
          <w:szCs w:val="20"/>
        </w:rPr>
        <w:t xml:space="preserve"> familias (</w:t>
      </w:r>
      <w:r w:rsidR="00EC1C05" w:rsidRPr="00964530">
        <w:rPr>
          <w:sz w:val="20"/>
          <w:szCs w:val="20"/>
        </w:rPr>
        <w:t>23,422</w:t>
      </w:r>
      <w:r w:rsidR="000634E0" w:rsidRPr="00964530">
        <w:rPr>
          <w:sz w:val="20"/>
          <w:szCs w:val="20"/>
        </w:rPr>
        <w:t xml:space="preserve"> personas),</w:t>
      </w:r>
      <w:r w:rsidRPr="00964530">
        <w:rPr>
          <w:sz w:val="20"/>
          <w:szCs w:val="20"/>
        </w:rPr>
        <w:t xml:space="preserve"> esta inversión ha </w:t>
      </w:r>
      <w:r w:rsidR="00A01782" w:rsidRPr="00964530">
        <w:rPr>
          <w:b/>
          <w:color w:val="5967AF" w:themeColor="text2" w:themeTint="99"/>
          <w:sz w:val="20"/>
          <w:szCs w:val="20"/>
        </w:rPr>
        <w:t xml:space="preserve">incrementado </w:t>
      </w:r>
      <w:r w:rsidR="00EC1C05" w:rsidRPr="00964530">
        <w:rPr>
          <w:b/>
          <w:color w:val="5967AF" w:themeColor="text2" w:themeTint="99"/>
          <w:sz w:val="20"/>
          <w:szCs w:val="20"/>
        </w:rPr>
        <w:t>3.95</w:t>
      </w:r>
      <w:r w:rsidRPr="00964530">
        <w:rPr>
          <w:b/>
          <w:color w:val="5967AF" w:themeColor="text2" w:themeTint="99"/>
          <w:sz w:val="20"/>
          <w:szCs w:val="20"/>
        </w:rPr>
        <w:t xml:space="preserve"> puntos porcentuales</w:t>
      </w:r>
      <w:r w:rsidR="003B033F" w:rsidRPr="00964530">
        <w:rPr>
          <w:b/>
          <w:color w:val="5967AF" w:themeColor="text2" w:themeTint="99"/>
          <w:sz w:val="20"/>
          <w:szCs w:val="20"/>
        </w:rPr>
        <w:t xml:space="preserve"> en los 100 municipios</w:t>
      </w:r>
      <w:r w:rsidR="003B033F" w:rsidRPr="00964530">
        <w:rPr>
          <w:color w:val="5967AF" w:themeColor="text2" w:themeTint="99"/>
          <w:sz w:val="20"/>
          <w:szCs w:val="20"/>
        </w:rPr>
        <w:t xml:space="preserve"> </w:t>
      </w:r>
      <w:r w:rsidR="003B033F" w:rsidRPr="00964530">
        <w:rPr>
          <w:sz w:val="20"/>
          <w:szCs w:val="20"/>
        </w:rPr>
        <w:t>de PES y PEA</w:t>
      </w:r>
      <w:r w:rsidRPr="00964530">
        <w:rPr>
          <w:sz w:val="20"/>
          <w:szCs w:val="20"/>
        </w:rPr>
        <w:t xml:space="preserve">, pasando </w:t>
      </w:r>
      <w:r w:rsidR="000634E0" w:rsidRPr="00964530">
        <w:rPr>
          <w:sz w:val="20"/>
          <w:szCs w:val="20"/>
        </w:rPr>
        <w:t xml:space="preserve">de </w:t>
      </w:r>
      <w:r w:rsidRPr="00964530">
        <w:rPr>
          <w:sz w:val="20"/>
          <w:szCs w:val="20"/>
        </w:rPr>
        <w:t xml:space="preserve">ser </w:t>
      </w:r>
      <w:r w:rsidR="00EC1C05" w:rsidRPr="00964530">
        <w:rPr>
          <w:sz w:val="20"/>
          <w:szCs w:val="20"/>
        </w:rPr>
        <w:t>82.51%</w:t>
      </w:r>
      <w:r w:rsidR="000634E0" w:rsidRPr="00964530">
        <w:rPr>
          <w:sz w:val="20"/>
          <w:szCs w:val="20"/>
        </w:rPr>
        <w:t xml:space="preserve"> </w:t>
      </w:r>
      <w:r w:rsidRPr="00964530">
        <w:rPr>
          <w:sz w:val="20"/>
          <w:szCs w:val="20"/>
        </w:rPr>
        <w:t xml:space="preserve">a </w:t>
      </w:r>
      <w:r w:rsidR="00EC1C05" w:rsidRPr="00964530">
        <w:rPr>
          <w:sz w:val="20"/>
          <w:szCs w:val="20"/>
        </w:rPr>
        <w:t>86.46</w:t>
      </w:r>
      <w:r w:rsidRPr="00964530">
        <w:rPr>
          <w:sz w:val="20"/>
          <w:szCs w:val="20"/>
        </w:rPr>
        <w:t>%.</w:t>
      </w:r>
    </w:p>
    <w:p w:rsidR="000634E0" w:rsidRPr="00964530" w:rsidRDefault="00473FDC" w:rsidP="0000294A">
      <w:pPr>
        <w:rPr>
          <w:sz w:val="20"/>
          <w:szCs w:val="20"/>
        </w:rPr>
      </w:pPr>
      <w:r w:rsidRPr="00964530">
        <w:rPr>
          <w:sz w:val="20"/>
          <w:szCs w:val="20"/>
        </w:rPr>
        <w:t>La inversión en municipios de Pobreza Extrema Moderada (PEM) y Baja (PEB) fue de USD$</w:t>
      </w:r>
      <w:r w:rsidR="00EC1C05" w:rsidRPr="00964530">
        <w:rPr>
          <w:sz w:val="20"/>
          <w:szCs w:val="20"/>
        </w:rPr>
        <w:t>1.22</w:t>
      </w:r>
      <w:r w:rsidRPr="00964530">
        <w:rPr>
          <w:sz w:val="20"/>
          <w:szCs w:val="20"/>
        </w:rPr>
        <w:t xml:space="preserve"> mil</w:t>
      </w:r>
      <w:r w:rsidR="00EC1C05" w:rsidRPr="00964530">
        <w:rPr>
          <w:sz w:val="20"/>
          <w:szCs w:val="20"/>
        </w:rPr>
        <w:t>lones</w:t>
      </w:r>
      <w:r w:rsidRPr="00964530">
        <w:rPr>
          <w:sz w:val="20"/>
          <w:szCs w:val="20"/>
        </w:rPr>
        <w:t xml:space="preserve">, invirtiendo en </w:t>
      </w:r>
      <w:r w:rsidR="00EC1C05" w:rsidRPr="00964530">
        <w:rPr>
          <w:sz w:val="20"/>
          <w:szCs w:val="20"/>
        </w:rPr>
        <w:t>7</w:t>
      </w:r>
      <w:r w:rsidRPr="00964530">
        <w:rPr>
          <w:sz w:val="20"/>
          <w:szCs w:val="20"/>
        </w:rPr>
        <w:t xml:space="preserve"> municipios con la ejecución de </w:t>
      </w:r>
      <w:r w:rsidR="00EC1C05" w:rsidRPr="00964530">
        <w:rPr>
          <w:sz w:val="20"/>
          <w:szCs w:val="20"/>
        </w:rPr>
        <w:t>8</w:t>
      </w:r>
      <w:r w:rsidRPr="00964530">
        <w:rPr>
          <w:sz w:val="20"/>
          <w:szCs w:val="20"/>
        </w:rPr>
        <w:t xml:space="preserve"> proyetos de energía eléctrica y</w:t>
      </w:r>
      <w:r w:rsidR="00186CB5" w:rsidRPr="00964530">
        <w:rPr>
          <w:sz w:val="20"/>
          <w:szCs w:val="20"/>
        </w:rPr>
        <w:t xml:space="preserve"> beneficia</w:t>
      </w:r>
      <w:r w:rsidRPr="00964530">
        <w:rPr>
          <w:sz w:val="20"/>
          <w:szCs w:val="20"/>
        </w:rPr>
        <w:t xml:space="preserve">ndo a </w:t>
      </w:r>
      <w:r w:rsidR="00EC1C05" w:rsidRPr="00964530">
        <w:rPr>
          <w:sz w:val="20"/>
          <w:szCs w:val="20"/>
        </w:rPr>
        <w:t>400</w:t>
      </w:r>
      <w:r w:rsidRPr="00964530">
        <w:rPr>
          <w:sz w:val="20"/>
          <w:szCs w:val="20"/>
        </w:rPr>
        <w:t xml:space="preserve"> familias, equivalente a </w:t>
      </w:r>
      <w:r w:rsidR="00EC1C05" w:rsidRPr="00964530">
        <w:rPr>
          <w:sz w:val="20"/>
          <w:szCs w:val="20"/>
        </w:rPr>
        <w:t>1,741</w:t>
      </w:r>
      <w:r w:rsidR="00186CB5" w:rsidRPr="00964530">
        <w:rPr>
          <w:sz w:val="20"/>
          <w:szCs w:val="20"/>
        </w:rPr>
        <w:t xml:space="preserve"> personas</w:t>
      </w:r>
      <w:r w:rsidRPr="00964530">
        <w:rPr>
          <w:sz w:val="20"/>
          <w:szCs w:val="20"/>
        </w:rPr>
        <w:t>.</w:t>
      </w:r>
    </w:p>
    <w:p w:rsidR="000634E0" w:rsidRPr="00964530" w:rsidRDefault="00186CB5" w:rsidP="0000294A">
      <w:pPr>
        <w:pStyle w:val="Ttulo3"/>
        <w:numPr>
          <w:ilvl w:val="1"/>
          <w:numId w:val="9"/>
        </w:numPr>
        <w:rPr>
          <w:sz w:val="20"/>
          <w:szCs w:val="20"/>
        </w:rPr>
      </w:pPr>
      <w:bookmarkStart w:id="5" w:name="_Toc485995121"/>
      <w:r w:rsidRPr="00964530">
        <w:rPr>
          <w:sz w:val="20"/>
          <w:szCs w:val="20"/>
        </w:rPr>
        <w:t>Energía Eléctrica - FINET</w:t>
      </w:r>
      <w:bookmarkEnd w:id="5"/>
    </w:p>
    <w:p w:rsidR="00473FDC" w:rsidRPr="00964530" w:rsidRDefault="00473FDC" w:rsidP="005B29A9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El FINET es uno de los fondos que contribuye a la ejecución de proyectos de energía eléctrica, para el período al que se refiere este informe, se invirtió en </w:t>
      </w:r>
      <w:r w:rsidR="00A90D9E" w:rsidRPr="00964530">
        <w:rPr>
          <w:sz w:val="20"/>
          <w:szCs w:val="20"/>
        </w:rPr>
        <w:t>17</w:t>
      </w:r>
      <w:r w:rsidRPr="00964530">
        <w:rPr>
          <w:sz w:val="20"/>
          <w:szCs w:val="20"/>
        </w:rPr>
        <w:t xml:space="preserve"> </w:t>
      </w:r>
      <w:r w:rsidR="000634E0" w:rsidRPr="00964530">
        <w:rPr>
          <w:sz w:val="20"/>
          <w:szCs w:val="20"/>
        </w:rPr>
        <w:t>municipios de Pobreza Extr</w:t>
      </w:r>
      <w:r w:rsidRPr="00964530">
        <w:rPr>
          <w:sz w:val="20"/>
          <w:szCs w:val="20"/>
        </w:rPr>
        <w:t xml:space="preserve">ema Moderada (PEM) y Baja (PEB) un monto de </w:t>
      </w:r>
      <w:r w:rsidR="000634E0" w:rsidRPr="00964530">
        <w:rPr>
          <w:sz w:val="20"/>
          <w:szCs w:val="20"/>
        </w:rPr>
        <w:t xml:space="preserve"> USD$</w:t>
      </w:r>
      <w:r w:rsidR="00A90D9E" w:rsidRPr="00964530">
        <w:rPr>
          <w:sz w:val="20"/>
          <w:szCs w:val="20"/>
        </w:rPr>
        <w:t>1.82</w:t>
      </w:r>
      <w:r w:rsidR="000634E0" w:rsidRPr="00964530">
        <w:rPr>
          <w:sz w:val="20"/>
          <w:szCs w:val="20"/>
        </w:rPr>
        <w:t xml:space="preserve"> mil</w:t>
      </w:r>
      <w:r w:rsidR="00A90D9E" w:rsidRPr="00964530">
        <w:rPr>
          <w:sz w:val="20"/>
          <w:szCs w:val="20"/>
        </w:rPr>
        <w:t>lones</w:t>
      </w:r>
      <w:r w:rsidR="000634E0" w:rsidRPr="00964530">
        <w:rPr>
          <w:sz w:val="20"/>
          <w:szCs w:val="20"/>
        </w:rPr>
        <w:t xml:space="preserve">, </w:t>
      </w:r>
      <w:r w:rsidRPr="00964530">
        <w:rPr>
          <w:sz w:val="20"/>
          <w:szCs w:val="20"/>
        </w:rPr>
        <w:t xml:space="preserve">y se ejecutaron un total de </w:t>
      </w:r>
      <w:r w:rsidR="00A90D9E" w:rsidRPr="00964530">
        <w:rPr>
          <w:sz w:val="20"/>
          <w:szCs w:val="20"/>
        </w:rPr>
        <w:t>49</w:t>
      </w:r>
      <w:r w:rsidRPr="00964530">
        <w:rPr>
          <w:sz w:val="20"/>
          <w:szCs w:val="20"/>
        </w:rPr>
        <w:t xml:space="preserve"> proyectos, los cuales beneficiaron </w:t>
      </w:r>
      <w:r w:rsidR="000634E0" w:rsidRPr="00964530">
        <w:rPr>
          <w:sz w:val="20"/>
          <w:szCs w:val="20"/>
        </w:rPr>
        <w:t xml:space="preserve">a </w:t>
      </w:r>
      <w:r w:rsidR="00A90D9E" w:rsidRPr="00964530">
        <w:rPr>
          <w:sz w:val="20"/>
          <w:szCs w:val="20"/>
        </w:rPr>
        <w:t>1,347</w:t>
      </w:r>
      <w:r w:rsidR="000634E0" w:rsidRPr="00964530">
        <w:rPr>
          <w:sz w:val="20"/>
          <w:szCs w:val="20"/>
        </w:rPr>
        <w:t xml:space="preserve"> familias (</w:t>
      </w:r>
      <w:r w:rsidR="00A90D9E" w:rsidRPr="00964530">
        <w:rPr>
          <w:sz w:val="20"/>
          <w:szCs w:val="20"/>
        </w:rPr>
        <w:t>2,008</w:t>
      </w:r>
      <w:r w:rsidR="000634E0" w:rsidRPr="00964530">
        <w:rPr>
          <w:sz w:val="20"/>
          <w:szCs w:val="20"/>
        </w:rPr>
        <w:t xml:space="preserve"> personas)</w:t>
      </w:r>
      <w:r w:rsidRPr="00964530">
        <w:rPr>
          <w:sz w:val="20"/>
          <w:szCs w:val="20"/>
        </w:rPr>
        <w:t>.</w:t>
      </w:r>
    </w:p>
    <w:p w:rsidR="000634E0" w:rsidRPr="00964530" w:rsidRDefault="003B033F" w:rsidP="0000294A">
      <w:pPr>
        <w:pStyle w:val="Ttulo2"/>
        <w:numPr>
          <w:ilvl w:val="0"/>
          <w:numId w:val="9"/>
        </w:numPr>
        <w:rPr>
          <w:sz w:val="20"/>
          <w:szCs w:val="20"/>
        </w:rPr>
      </w:pPr>
      <w:bookmarkStart w:id="6" w:name="_Toc485995122"/>
      <w:r w:rsidRPr="00964530">
        <w:rPr>
          <w:sz w:val="20"/>
          <w:szCs w:val="20"/>
        </w:rPr>
        <w:lastRenderedPageBreak/>
        <w:t xml:space="preserve">Mejora la </w:t>
      </w:r>
      <w:r w:rsidR="00C25F79" w:rsidRPr="00964530">
        <w:rPr>
          <w:sz w:val="20"/>
          <w:szCs w:val="20"/>
        </w:rPr>
        <w:t>i</w:t>
      </w:r>
      <w:r w:rsidR="000634E0" w:rsidRPr="00964530">
        <w:rPr>
          <w:sz w:val="20"/>
          <w:szCs w:val="20"/>
        </w:rPr>
        <w:t>nfraestructura de servicios sociales y centros para la atención</w:t>
      </w:r>
      <w:bookmarkEnd w:id="6"/>
    </w:p>
    <w:p w:rsidR="000634E0" w:rsidRPr="00964530" w:rsidRDefault="000634E0" w:rsidP="0000294A">
      <w:pPr>
        <w:pStyle w:val="Ttulo3"/>
        <w:numPr>
          <w:ilvl w:val="1"/>
          <w:numId w:val="9"/>
        </w:numPr>
        <w:rPr>
          <w:sz w:val="20"/>
          <w:szCs w:val="20"/>
        </w:rPr>
      </w:pPr>
      <w:bookmarkStart w:id="7" w:name="_Toc485995123"/>
      <w:r w:rsidRPr="00964530">
        <w:rPr>
          <w:sz w:val="20"/>
          <w:szCs w:val="20"/>
        </w:rPr>
        <w:t xml:space="preserve">Establecimientos de </w:t>
      </w:r>
      <w:r w:rsidR="00C25F79" w:rsidRPr="00964530">
        <w:rPr>
          <w:sz w:val="20"/>
          <w:szCs w:val="20"/>
        </w:rPr>
        <w:t>s</w:t>
      </w:r>
      <w:r w:rsidRPr="00964530">
        <w:rPr>
          <w:sz w:val="20"/>
          <w:szCs w:val="20"/>
        </w:rPr>
        <w:t>alud</w:t>
      </w:r>
      <w:bookmarkEnd w:id="7"/>
    </w:p>
    <w:p w:rsidR="000634E0" w:rsidRPr="00964530" w:rsidRDefault="00ED3EDA" w:rsidP="0000294A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En esta categoría la institución </w:t>
      </w:r>
      <w:r w:rsidR="000634E0" w:rsidRPr="00964530">
        <w:rPr>
          <w:sz w:val="20"/>
          <w:szCs w:val="20"/>
        </w:rPr>
        <w:t>ha invertid</w:t>
      </w:r>
      <w:r w:rsidRPr="00964530">
        <w:rPr>
          <w:sz w:val="20"/>
          <w:szCs w:val="20"/>
        </w:rPr>
        <w:t>o USD$</w:t>
      </w:r>
      <w:r w:rsidR="00251DED" w:rsidRPr="00964530">
        <w:rPr>
          <w:sz w:val="20"/>
          <w:szCs w:val="20"/>
        </w:rPr>
        <w:t>6.97</w:t>
      </w:r>
      <w:r w:rsidRPr="00964530">
        <w:rPr>
          <w:sz w:val="20"/>
          <w:szCs w:val="20"/>
        </w:rPr>
        <w:t xml:space="preserve"> mi</w:t>
      </w:r>
      <w:r w:rsidR="001F5933" w:rsidRPr="00964530">
        <w:rPr>
          <w:sz w:val="20"/>
          <w:szCs w:val="20"/>
        </w:rPr>
        <w:t xml:space="preserve">llones ejecutando un total de </w:t>
      </w:r>
      <w:r w:rsidR="00251DED" w:rsidRPr="00964530">
        <w:rPr>
          <w:sz w:val="20"/>
          <w:szCs w:val="20"/>
        </w:rPr>
        <w:t>80</w:t>
      </w:r>
      <w:r w:rsidRPr="00964530">
        <w:rPr>
          <w:sz w:val="20"/>
          <w:szCs w:val="20"/>
        </w:rPr>
        <w:t xml:space="preserve"> </w:t>
      </w:r>
      <w:r w:rsidR="000634E0" w:rsidRPr="00964530">
        <w:rPr>
          <w:sz w:val="20"/>
          <w:szCs w:val="20"/>
        </w:rPr>
        <w:t>proyectos de construcción y equipamientos de Unidades Comunitarias de Salud Familiar Básica</w:t>
      </w:r>
      <w:r w:rsidR="00E827EA" w:rsidRPr="00964530">
        <w:rPr>
          <w:sz w:val="20"/>
          <w:szCs w:val="20"/>
        </w:rPr>
        <w:t xml:space="preserve"> </w:t>
      </w:r>
      <w:r w:rsidR="005B29A9" w:rsidRPr="00964530">
        <w:rPr>
          <w:sz w:val="20"/>
          <w:szCs w:val="20"/>
        </w:rPr>
        <w:t>–</w:t>
      </w:r>
      <w:r w:rsidR="00E827EA" w:rsidRPr="00964530">
        <w:rPr>
          <w:sz w:val="20"/>
          <w:szCs w:val="20"/>
        </w:rPr>
        <w:t xml:space="preserve"> UCSFB</w:t>
      </w:r>
      <w:r w:rsidR="005B29A9" w:rsidRPr="00964530">
        <w:rPr>
          <w:sz w:val="20"/>
          <w:szCs w:val="20"/>
        </w:rPr>
        <w:t>, beneficiando a más de 600 mil personas</w:t>
      </w:r>
      <w:r w:rsidR="000634E0" w:rsidRPr="00964530">
        <w:rPr>
          <w:sz w:val="20"/>
          <w:szCs w:val="20"/>
        </w:rPr>
        <w:t>.</w:t>
      </w:r>
    </w:p>
    <w:p w:rsidR="000634E0" w:rsidRPr="00964530" w:rsidRDefault="000634E0" w:rsidP="0000294A">
      <w:pPr>
        <w:pStyle w:val="Ttulo3"/>
        <w:numPr>
          <w:ilvl w:val="1"/>
          <w:numId w:val="9"/>
        </w:numPr>
        <w:rPr>
          <w:sz w:val="20"/>
          <w:szCs w:val="20"/>
        </w:rPr>
      </w:pPr>
      <w:bookmarkStart w:id="8" w:name="_Toc485995124"/>
      <w:r w:rsidRPr="00964530">
        <w:rPr>
          <w:sz w:val="20"/>
          <w:szCs w:val="20"/>
        </w:rPr>
        <w:t xml:space="preserve">Centros </w:t>
      </w:r>
      <w:r w:rsidR="00C25F79" w:rsidRPr="00964530">
        <w:rPr>
          <w:sz w:val="20"/>
          <w:szCs w:val="20"/>
        </w:rPr>
        <w:t>e</w:t>
      </w:r>
      <w:r w:rsidRPr="00964530">
        <w:rPr>
          <w:sz w:val="20"/>
          <w:szCs w:val="20"/>
        </w:rPr>
        <w:t>scolares</w:t>
      </w:r>
      <w:bookmarkEnd w:id="8"/>
    </w:p>
    <w:p w:rsidR="000634E0" w:rsidRPr="00964530" w:rsidRDefault="003B62F7" w:rsidP="0000294A">
      <w:pPr>
        <w:rPr>
          <w:sz w:val="20"/>
          <w:szCs w:val="20"/>
        </w:rPr>
      </w:pPr>
      <w:r w:rsidRPr="00964530">
        <w:rPr>
          <w:sz w:val="20"/>
          <w:szCs w:val="20"/>
        </w:rPr>
        <w:t>E</w:t>
      </w:r>
      <w:r w:rsidR="000634E0" w:rsidRPr="00964530">
        <w:rPr>
          <w:sz w:val="20"/>
          <w:szCs w:val="20"/>
        </w:rPr>
        <w:t>l FISDL ha invertido USD$</w:t>
      </w:r>
      <w:r w:rsidR="005B1ACA" w:rsidRPr="00964530">
        <w:rPr>
          <w:sz w:val="20"/>
          <w:szCs w:val="20"/>
        </w:rPr>
        <w:t>6.09</w:t>
      </w:r>
      <w:r w:rsidR="000634E0" w:rsidRPr="00964530">
        <w:rPr>
          <w:sz w:val="20"/>
          <w:szCs w:val="20"/>
        </w:rPr>
        <w:t xml:space="preserve"> millones en </w:t>
      </w:r>
      <w:r w:rsidR="00C3449A" w:rsidRPr="00964530">
        <w:rPr>
          <w:sz w:val="20"/>
          <w:szCs w:val="20"/>
        </w:rPr>
        <w:t xml:space="preserve">proyectos de </w:t>
      </w:r>
      <w:r w:rsidR="000634E0" w:rsidRPr="00964530">
        <w:rPr>
          <w:sz w:val="20"/>
          <w:szCs w:val="20"/>
        </w:rPr>
        <w:t>Infraestruc</w:t>
      </w:r>
      <w:r w:rsidR="00E827EA" w:rsidRPr="00964530">
        <w:rPr>
          <w:sz w:val="20"/>
          <w:szCs w:val="20"/>
        </w:rPr>
        <w:t>tura y Equipamiento en Educación</w:t>
      </w:r>
      <w:r w:rsidR="00DA7B13" w:rsidRPr="00964530">
        <w:rPr>
          <w:sz w:val="20"/>
          <w:szCs w:val="20"/>
        </w:rPr>
        <w:t xml:space="preserve">.  </w:t>
      </w:r>
      <w:r w:rsidR="000634E0" w:rsidRPr="00964530">
        <w:rPr>
          <w:sz w:val="20"/>
          <w:szCs w:val="20"/>
        </w:rPr>
        <w:t xml:space="preserve">Esta inversión ha permitido la ampliación, mejoramiento, construcción y rehabilitación de </w:t>
      </w:r>
      <w:r w:rsidR="005B1ACA" w:rsidRPr="00964530">
        <w:rPr>
          <w:sz w:val="20"/>
          <w:szCs w:val="20"/>
        </w:rPr>
        <w:t>40</w:t>
      </w:r>
      <w:r w:rsidR="000634E0" w:rsidRPr="00964530">
        <w:rPr>
          <w:sz w:val="20"/>
          <w:szCs w:val="20"/>
        </w:rPr>
        <w:t xml:space="preserve"> Centros Escolares en </w:t>
      </w:r>
      <w:r w:rsidR="005B1ACA" w:rsidRPr="00964530">
        <w:rPr>
          <w:sz w:val="20"/>
          <w:szCs w:val="20"/>
        </w:rPr>
        <w:t>31</w:t>
      </w:r>
      <w:r w:rsidR="000634E0" w:rsidRPr="00964530">
        <w:rPr>
          <w:sz w:val="20"/>
          <w:szCs w:val="20"/>
        </w:rPr>
        <w:t xml:space="preserve"> municipios, beneficiando a </w:t>
      </w:r>
      <w:r w:rsidR="005B1ACA" w:rsidRPr="00964530">
        <w:rPr>
          <w:sz w:val="20"/>
          <w:szCs w:val="20"/>
        </w:rPr>
        <w:t>93,209</w:t>
      </w:r>
      <w:r w:rsidR="000634E0" w:rsidRPr="00964530">
        <w:rPr>
          <w:sz w:val="20"/>
          <w:szCs w:val="20"/>
        </w:rPr>
        <w:t xml:space="preserve"> personas; así mismo se han equipado </w:t>
      </w:r>
      <w:r w:rsidR="005B1ACA" w:rsidRPr="00964530">
        <w:rPr>
          <w:sz w:val="20"/>
          <w:szCs w:val="20"/>
        </w:rPr>
        <w:t>6</w:t>
      </w:r>
      <w:r w:rsidR="000634E0" w:rsidRPr="00964530">
        <w:rPr>
          <w:sz w:val="20"/>
          <w:szCs w:val="20"/>
        </w:rPr>
        <w:t xml:space="preserve"> Centros Escolares en varios municipios, </w:t>
      </w:r>
      <w:r w:rsidR="00DA7B13" w:rsidRPr="00964530">
        <w:rPr>
          <w:sz w:val="20"/>
          <w:szCs w:val="20"/>
        </w:rPr>
        <w:t xml:space="preserve">beneficiando a </w:t>
      </w:r>
      <w:r w:rsidR="005B1ACA" w:rsidRPr="00964530">
        <w:rPr>
          <w:sz w:val="20"/>
          <w:szCs w:val="20"/>
        </w:rPr>
        <w:t>21,685</w:t>
      </w:r>
      <w:r w:rsidR="00DA7B13" w:rsidRPr="00964530">
        <w:rPr>
          <w:sz w:val="20"/>
          <w:szCs w:val="20"/>
        </w:rPr>
        <w:t xml:space="preserve"> personas.</w:t>
      </w:r>
    </w:p>
    <w:p w:rsidR="000634E0" w:rsidRPr="00964530" w:rsidRDefault="000634E0" w:rsidP="0000294A">
      <w:pPr>
        <w:pStyle w:val="Ttulo3"/>
        <w:numPr>
          <w:ilvl w:val="1"/>
          <w:numId w:val="9"/>
        </w:numPr>
        <w:rPr>
          <w:sz w:val="20"/>
          <w:szCs w:val="20"/>
        </w:rPr>
      </w:pPr>
      <w:bookmarkStart w:id="9" w:name="_Toc485995125"/>
      <w:r w:rsidRPr="00964530">
        <w:rPr>
          <w:sz w:val="20"/>
          <w:szCs w:val="20"/>
        </w:rPr>
        <w:t xml:space="preserve">Espacios para </w:t>
      </w:r>
      <w:r w:rsidR="0086759C" w:rsidRPr="00964530">
        <w:rPr>
          <w:sz w:val="20"/>
          <w:szCs w:val="20"/>
        </w:rPr>
        <w:t xml:space="preserve">la prevención de violencia, </w:t>
      </w:r>
      <w:r w:rsidRPr="00964530">
        <w:rPr>
          <w:sz w:val="20"/>
          <w:szCs w:val="20"/>
        </w:rPr>
        <w:t xml:space="preserve"> esparcimiento y desarrollo personal</w:t>
      </w:r>
      <w:bookmarkEnd w:id="9"/>
    </w:p>
    <w:p w:rsidR="000634E0" w:rsidRPr="00964530" w:rsidRDefault="00C3449A" w:rsidP="005B29A9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En infraestructura para </w:t>
      </w:r>
      <w:r w:rsidR="0086759C" w:rsidRPr="00964530">
        <w:rPr>
          <w:sz w:val="20"/>
          <w:szCs w:val="20"/>
        </w:rPr>
        <w:t>la prevención de violencia,</w:t>
      </w:r>
      <w:r w:rsidRPr="00964530">
        <w:rPr>
          <w:sz w:val="20"/>
          <w:szCs w:val="20"/>
        </w:rPr>
        <w:t xml:space="preserve"> esparcimiento y desarrollo personal</w:t>
      </w:r>
      <w:r w:rsidR="003B033F" w:rsidRPr="00964530">
        <w:rPr>
          <w:sz w:val="20"/>
          <w:szCs w:val="20"/>
        </w:rPr>
        <w:t>,</w:t>
      </w:r>
      <w:r w:rsidRPr="00964530">
        <w:rPr>
          <w:sz w:val="20"/>
          <w:szCs w:val="20"/>
        </w:rPr>
        <w:t xml:space="preserve"> </w:t>
      </w:r>
      <w:r w:rsidR="000634E0" w:rsidRPr="00964530">
        <w:rPr>
          <w:sz w:val="20"/>
          <w:szCs w:val="20"/>
        </w:rPr>
        <w:t xml:space="preserve">el FISDL ha invertido </w:t>
      </w:r>
      <w:r w:rsidRPr="00964530">
        <w:rPr>
          <w:sz w:val="20"/>
          <w:szCs w:val="20"/>
        </w:rPr>
        <w:t xml:space="preserve">un monto de </w:t>
      </w:r>
      <w:r w:rsidR="000634E0" w:rsidRPr="00964530">
        <w:rPr>
          <w:sz w:val="20"/>
          <w:szCs w:val="20"/>
        </w:rPr>
        <w:t>USD$</w:t>
      </w:r>
      <w:r w:rsidR="0086759C" w:rsidRPr="00964530">
        <w:rPr>
          <w:sz w:val="20"/>
          <w:szCs w:val="20"/>
        </w:rPr>
        <w:t>5.26</w:t>
      </w:r>
      <w:r w:rsidR="000634E0" w:rsidRPr="00964530">
        <w:rPr>
          <w:sz w:val="20"/>
          <w:szCs w:val="20"/>
        </w:rPr>
        <w:t xml:space="preserve"> mil</w:t>
      </w:r>
      <w:r w:rsidR="00467B9D" w:rsidRPr="00964530">
        <w:rPr>
          <w:sz w:val="20"/>
          <w:szCs w:val="20"/>
        </w:rPr>
        <w:t>lones</w:t>
      </w:r>
      <w:r w:rsidRPr="00964530">
        <w:rPr>
          <w:sz w:val="20"/>
          <w:szCs w:val="20"/>
        </w:rPr>
        <w:t>.</w:t>
      </w:r>
    </w:p>
    <w:p w:rsidR="0086759C" w:rsidRPr="00964530" w:rsidRDefault="009853F4" w:rsidP="0000294A">
      <w:pPr>
        <w:rPr>
          <w:sz w:val="20"/>
          <w:szCs w:val="20"/>
        </w:rPr>
      </w:pPr>
      <w:r w:rsidRPr="00964530">
        <w:rPr>
          <w:sz w:val="20"/>
          <w:szCs w:val="20"/>
        </w:rPr>
        <w:t>Esta inversión</w:t>
      </w:r>
      <w:r w:rsidR="000634E0" w:rsidRPr="00964530">
        <w:rPr>
          <w:sz w:val="20"/>
          <w:szCs w:val="20"/>
        </w:rPr>
        <w:t xml:space="preserve"> incluyen</w:t>
      </w:r>
      <w:r w:rsidR="0086759C" w:rsidRPr="00964530">
        <w:rPr>
          <w:sz w:val="20"/>
          <w:szCs w:val="20"/>
        </w:rPr>
        <w:t>:</w:t>
      </w:r>
    </w:p>
    <w:tbl>
      <w:tblPr>
        <w:tblStyle w:val="Listaclara-nfasis1"/>
        <w:tblW w:w="0" w:type="auto"/>
        <w:jc w:val="center"/>
        <w:tblInd w:w="-656" w:type="dxa"/>
        <w:tblLayout w:type="fixed"/>
        <w:tblLook w:val="0460" w:firstRow="1" w:lastRow="1" w:firstColumn="0" w:lastColumn="0" w:noHBand="0" w:noVBand="1"/>
      </w:tblPr>
      <w:tblGrid>
        <w:gridCol w:w="3293"/>
        <w:gridCol w:w="1417"/>
        <w:gridCol w:w="1418"/>
        <w:gridCol w:w="1299"/>
      </w:tblGrid>
      <w:tr w:rsidR="009853F4" w:rsidRPr="005B29A9" w:rsidTr="00985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3293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Tipo de proyecto</w:t>
            </w:r>
          </w:p>
        </w:tc>
        <w:tc>
          <w:tcPr>
            <w:tcW w:w="1417" w:type="dxa"/>
            <w:noWrap/>
            <w:vAlign w:val="center"/>
            <w:hideMark/>
          </w:tcPr>
          <w:p w:rsidR="0086759C" w:rsidRPr="005B29A9" w:rsidRDefault="00C25F79" w:rsidP="009853F4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C</w:t>
            </w:r>
            <w:r w:rsidR="0086759C" w:rsidRPr="005B29A9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antidad de proyectos ejecutados</w:t>
            </w:r>
          </w:p>
        </w:tc>
        <w:tc>
          <w:tcPr>
            <w:tcW w:w="1418" w:type="dxa"/>
            <w:noWrap/>
            <w:vAlign w:val="center"/>
            <w:hideMark/>
          </w:tcPr>
          <w:p w:rsidR="0086759C" w:rsidRPr="005B29A9" w:rsidRDefault="00C25F79" w:rsidP="009853F4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C</w:t>
            </w:r>
            <w:r w:rsidR="0086759C" w:rsidRPr="005B29A9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antidad de municipios beneficiados</w:t>
            </w:r>
          </w:p>
        </w:tc>
        <w:tc>
          <w:tcPr>
            <w:tcW w:w="1299" w:type="dxa"/>
            <w:noWrap/>
            <w:vAlign w:val="center"/>
            <w:hideMark/>
          </w:tcPr>
          <w:p w:rsidR="0086759C" w:rsidRPr="005B29A9" w:rsidRDefault="00C25F79" w:rsidP="009853F4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P</w:t>
            </w:r>
            <w:r w:rsidR="0086759C" w:rsidRPr="005B29A9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ersonas beneficiadas</w:t>
            </w:r>
          </w:p>
        </w:tc>
      </w:tr>
      <w:tr w:rsidR="009853F4" w:rsidRPr="005B29A9" w:rsidTr="0098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3293" w:type="dxa"/>
            <w:noWrap/>
            <w:hideMark/>
          </w:tcPr>
          <w:p w:rsidR="0086759C" w:rsidRPr="005B29A9" w:rsidRDefault="009853F4" w:rsidP="0086759C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Prevención de violencia</w:t>
            </w:r>
          </w:p>
        </w:tc>
        <w:tc>
          <w:tcPr>
            <w:tcW w:w="1417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18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99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1,107,142</w:t>
            </w:r>
          </w:p>
        </w:tc>
      </w:tr>
      <w:tr w:rsidR="009853F4" w:rsidRPr="005B29A9" w:rsidTr="009853F4">
        <w:trPr>
          <w:trHeight w:val="20"/>
          <w:jc w:val="center"/>
        </w:trPr>
        <w:tc>
          <w:tcPr>
            <w:tcW w:w="3293" w:type="dxa"/>
            <w:noWrap/>
            <w:hideMark/>
          </w:tcPr>
          <w:p w:rsidR="0086759C" w:rsidRPr="005B29A9" w:rsidRDefault="009853F4" w:rsidP="009853F4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Adecuaciones de espacios para personas adultas mayores</w:t>
            </w:r>
          </w:p>
        </w:tc>
        <w:tc>
          <w:tcPr>
            <w:tcW w:w="1417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418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299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44,815</w:t>
            </w:r>
          </w:p>
        </w:tc>
      </w:tr>
      <w:tr w:rsidR="009853F4" w:rsidRPr="005B29A9" w:rsidTr="0098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3293" w:type="dxa"/>
            <w:noWrap/>
            <w:hideMark/>
          </w:tcPr>
          <w:p w:rsidR="0086759C" w:rsidRPr="005B29A9" w:rsidRDefault="009853F4" w:rsidP="0086759C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Desarrollo Comunal</w:t>
            </w:r>
          </w:p>
        </w:tc>
        <w:tc>
          <w:tcPr>
            <w:tcW w:w="1417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99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496</w:t>
            </w:r>
          </w:p>
        </w:tc>
      </w:tr>
      <w:tr w:rsidR="009853F4" w:rsidRPr="005B29A9" w:rsidTr="009853F4">
        <w:trPr>
          <w:trHeight w:val="20"/>
          <w:jc w:val="center"/>
        </w:trPr>
        <w:tc>
          <w:tcPr>
            <w:tcW w:w="3293" w:type="dxa"/>
            <w:noWrap/>
            <w:hideMark/>
          </w:tcPr>
          <w:p w:rsidR="0086759C" w:rsidRPr="005B29A9" w:rsidRDefault="009853F4" w:rsidP="0086759C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Finalización de Ciudad Mujer Morazán y Santa Ana</w:t>
            </w:r>
          </w:p>
        </w:tc>
        <w:tc>
          <w:tcPr>
            <w:tcW w:w="1417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99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181,535</w:t>
            </w:r>
          </w:p>
        </w:tc>
      </w:tr>
      <w:tr w:rsidR="009853F4" w:rsidRPr="005B29A9" w:rsidTr="009853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3293" w:type="dxa"/>
            <w:noWrap/>
            <w:hideMark/>
          </w:tcPr>
          <w:p w:rsidR="0086759C" w:rsidRPr="005B29A9" w:rsidRDefault="0086759C" w:rsidP="0086759C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17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1418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1299" w:type="dxa"/>
            <w:noWrap/>
            <w:vAlign w:val="center"/>
            <w:hideMark/>
          </w:tcPr>
          <w:p w:rsidR="0086759C" w:rsidRPr="005B29A9" w:rsidRDefault="0086759C" w:rsidP="009853F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5B29A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1,333,988</w:t>
            </w:r>
          </w:p>
        </w:tc>
      </w:tr>
    </w:tbl>
    <w:p w:rsidR="00C67348" w:rsidRPr="003B62F7" w:rsidRDefault="00C67348" w:rsidP="00C67348">
      <w:pPr>
        <w:pStyle w:val="Ttulo3"/>
        <w:numPr>
          <w:ilvl w:val="1"/>
          <w:numId w:val="9"/>
        </w:numPr>
      </w:pPr>
      <w:bookmarkStart w:id="10" w:name="_Toc485995126"/>
      <w:r>
        <w:t xml:space="preserve">Infraestructura para </w:t>
      </w:r>
      <w:r w:rsidR="00C25F79">
        <w:t>la gestión de riesgos</w:t>
      </w:r>
      <w:bookmarkEnd w:id="10"/>
    </w:p>
    <w:p w:rsidR="00C67348" w:rsidRPr="00964530" w:rsidRDefault="00C67348" w:rsidP="00C67348">
      <w:pPr>
        <w:rPr>
          <w:sz w:val="20"/>
          <w:szCs w:val="20"/>
        </w:rPr>
      </w:pPr>
      <w:r w:rsidRPr="00964530">
        <w:rPr>
          <w:sz w:val="20"/>
          <w:szCs w:val="20"/>
        </w:rPr>
        <w:t>El FISDL ha invertido un monto de USD$0.22 millones en proyectos de Gestión de Riesgos.</w:t>
      </w:r>
      <w:r w:rsidR="00964530" w:rsidRPr="00964530">
        <w:rPr>
          <w:sz w:val="20"/>
          <w:szCs w:val="20"/>
        </w:rPr>
        <w:t xml:space="preserve">  </w:t>
      </w:r>
      <w:r w:rsidRPr="00964530">
        <w:rPr>
          <w:sz w:val="20"/>
          <w:szCs w:val="20"/>
        </w:rPr>
        <w:t>Esta inversión incluyen:</w:t>
      </w:r>
    </w:p>
    <w:p w:rsidR="00C67348" w:rsidRPr="00964530" w:rsidRDefault="00C67348" w:rsidP="00C67348">
      <w:pPr>
        <w:pStyle w:val="Prrafodelista"/>
        <w:numPr>
          <w:ilvl w:val="0"/>
          <w:numId w:val="21"/>
        </w:numPr>
        <w:spacing w:after="0" w:line="240" w:lineRule="auto"/>
        <w:jc w:val="left"/>
        <w:rPr>
          <w:rFonts w:ascii="Calibri" w:eastAsia="Times New Roman" w:hAnsi="Calibri" w:cs="Times New Roman"/>
          <w:noProof w:val="0"/>
          <w:color w:val="000000"/>
          <w:lang w:val="es-SV" w:eastAsia="es-SV"/>
        </w:rPr>
      </w:pPr>
      <w:r w:rsidRPr="00964530">
        <w:rPr>
          <w:rFonts w:ascii="Calibri" w:eastAsia="Times New Roman" w:hAnsi="Calibri" w:cs="Times New Roman"/>
          <w:noProof w:val="0"/>
          <w:color w:val="000000"/>
          <w:lang w:val="es-SV" w:eastAsia="es-SV"/>
        </w:rPr>
        <w:t xml:space="preserve">Estudios de </w:t>
      </w:r>
      <w:r w:rsidR="00C25F79" w:rsidRPr="00964530">
        <w:rPr>
          <w:rFonts w:ascii="Calibri" w:eastAsia="Times New Roman" w:hAnsi="Calibri" w:cs="Times New Roman"/>
          <w:noProof w:val="0"/>
          <w:color w:val="000000"/>
          <w:lang w:val="es-SV" w:eastAsia="es-SV"/>
        </w:rPr>
        <w:t>impacto ambiental</w:t>
      </w:r>
    </w:p>
    <w:p w:rsidR="00C67348" w:rsidRPr="00964530" w:rsidRDefault="00C67348" w:rsidP="00C67348">
      <w:pPr>
        <w:pStyle w:val="Prrafodelista"/>
        <w:numPr>
          <w:ilvl w:val="0"/>
          <w:numId w:val="21"/>
        </w:numPr>
        <w:spacing w:after="0" w:line="240" w:lineRule="auto"/>
        <w:jc w:val="left"/>
        <w:rPr>
          <w:rFonts w:ascii="Calibri" w:eastAsia="Times New Roman" w:hAnsi="Calibri" w:cs="Times New Roman"/>
          <w:noProof w:val="0"/>
          <w:color w:val="000000"/>
          <w:lang w:val="es-SV" w:eastAsia="es-SV"/>
        </w:rPr>
      </w:pPr>
      <w:r w:rsidRPr="00964530">
        <w:rPr>
          <w:rFonts w:ascii="Calibri" w:eastAsia="Times New Roman" w:hAnsi="Calibri" w:cs="Times New Roman"/>
          <w:noProof w:val="0"/>
          <w:color w:val="000000"/>
          <w:lang w:val="es-SV" w:eastAsia="es-SV"/>
        </w:rPr>
        <w:t xml:space="preserve">Proyectos de </w:t>
      </w:r>
      <w:r w:rsidR="00C25F79" w:rsidRPr="00964530">
        <w:rPr>
          <w:rFonts w:ascii="Calibri" w:eastAsia="Times New Roman" w:hAnsi="Calibri" w:cs="Times New Roman"/>
          <w:noProof w:val="0"/>
          <w:color w:val="000000"/>
          <w:lang w:val="es-SV" w:eastAsia="es-SV"/>
        </w:rPr>
        <w:t xml:space="preserve">obras de protección </w:t>
      </w:r>
    </w:p>
    <w:p w:rsidR="00C67348" w:rsidRPr="00964530" w:rsidRDefault="00C67348" w:rsidP="00C67348">
      <w:pPr>
        <w:pStyle w:val="Prrafodelista"/>
        <w:numPr>
          <w:ilvl w:val="0"/>
          <w:numId w:val="21"/>
        </w:numPr>
        <w:spacing w:after="0" w:line="240" w:lineRule="auto"/>
        <w:jc w:val="left"/>
        <w:rPr>
          <w:lang w:val="es-SV"/>
        </w:rPr>
      </w:pPr>
      <w:r w:rsidRPr="00964530">
        <w:rPr>
          <w:rFonts w:ascii="Calibri" w:eastAsia="Times New Roman" w:hAnsi="Calibri" w:cs="Times New Roman"/>
          <w:noProof w:val="0"/>
          <w:color w:val="000000"/>
          <w:lang w:val="es-SV" w:eastAsia="es-SV"/>
        </w:rPr>
        <w:t xml:space="preserve">Proyectos de </w:t>
      </w:r>
      <w:r w:rsidR="00C25F79" w:rsidRPr="00964530">
        <w:rPr>
          <w:rFonts w:ascii="Calibri" w:eastAsia="Times New Roman" w:hAnsi="Calibri" w:cs="Times New Roman"/>
          <w:noProof w:val="0"/>
          <w:color w:val="000000"/>
          <w:lang w:val="es-SV" w:eastAsia="es-SV"/>
        </w:rPr>
        <w:t xml:space="preserve">obras de mitigación de riesgos </w:t>
      </w:r>
    </w:p>
    <w:p w:rsidR="000634E0" w:rsidRPr="00964530" w:rsidRDefault="003B033F" w:rsidP="00C67348">
      <w:pPr>
        <w:pStyle w:val="Ttulo2"/>
        <w:numPr>
          <w:ilvl w:val="0"/>
          <w:numId w:val="9"/>
        </w:numPr>
        <w:rPr>
          <w:sz w:val="20"/>
          <w:szCs w:val="20"/>
        </w:rPr>
      </w:pPr>
      <w:bookmarkStart w:id="11" w:name="_Toc485995127"/>
      <w:r w:rsidRPr="00964530">
        <w:rPr>
          <w:sz w:val="20"/>
          <w:szCs w:val="20"/>
        </w:rPr>
        <w:t>Mejora la e</w:t>
      </w:r>
      <w:r w:rsidR="000634E0" w:rsidRPr="00964530">
        <w:rPr>
          <w:sz w:val="20"/>
          <w:szCs w:val="20"/>
        </w:rPr>
        <w:t>conomía de las familias en condición de pobreza y vulnerabilidad</w:t>
      </w:r>
      <w:bookmarkEnd w:id="11"/>
    </w:p>
    <w:p w:rsidR="00C67348" w:rsidRPr="00964530" w:rsidRDefault="00C67348" w:rsidP="00C67348">
      <w:pPr>
        <w:pStyle w:val="Prrafodelista"/>
        <w:keepNext/>
        <w:keepLines/>
        <w:numPr>
          <w:ilvl w:val="0"/>
          <w:numId w:val="20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0D78CA" w:themeColor="background2" w:themeShade="80"/>
          <w:lang w:val="es-SV" w:eastAsia="es-SV" w:bidi="ar-SA"/>
        </w:rPr>
      </w:pPr>
      <w:bookmarkStart w:id="12" w:name="_Toc485995128"/>
      <w:bookmarkEnd w:id="12"/>
    </w:p>
    <w:p w:rsidR="00C67348" w:rsidRPr="00964530" w:rsidRDefault="00C67348" w:rsidP="00C67348">
      <w:pPr>
        <w:pStyle w:val="Prrafodelista"/>
        <w:keepNext/>
        <w:keepLines/>
        <w:numPr>
          <w:ilvl w:val="0"/>
          <w:numId w:val="20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0D78CA" w:themeColor="background2" w:themeShade="80"/>
          <w:lang w:val="es-SV" w:eastAsia="es-SV" w:bidi="ar-SA"/>
        </w:rPr>
      </w:pPr>
      <w:bookmarkStart w:id="13" w:name="_Toc485995129"/>
      <w:bookmarkEnd w:id="13"/>
    </w:p>
    <w:p w:rsidR="00C67348" w:rsidRPr="00964530" w:rsidRDefault="00C67348" w:rsidP="00C67348">
      <w:pPr>
        <w:pStyle w:val="Prrafodelista"/>
        <w:keepNext/>
        <w:keepLines/>
        <w:numPr>
          <w:ilvl w:val="0"/>
          <w:numId w:val="20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0D78CA" w:themeColor="background2" w:themeShade="80"/>
          <w:lang w:val="es-SV" w:eastAsia="es-SV" w:bidi="ar-SA"/>
        </w:rPr>
      </w:pPr>
      <w:bookmarkStart w:id="14" w:name="_Toc485995130"/>
      <w:bookmarkEnd w:id="14"/>
    </w:p>
    <w:p w:rsidR="000634E0" w:rsidRPr="00964530" w:rsidRDefault="000634E0" w:rsidP="00C67348">
      <w:pPr>
        <w:pStyle w:val="Ttulo3"/>
        <w:numPr>
          <w:ilvl w:val="1"/>
          <w:numId w:val="20"/>
        </w:numPr>
        <w:rPr>
          <w:sz w:val="20"/>
          <w:szCs w:val="20"/>
        </w:rPr>
      </w:pPr>
      <w:bookmarkStart w:id="15" w:name="_Toc485995131"/>
      <w:r w:rsidRPr="00964530">
        <w:rPr>
          <w:sz w:val="20"/>
          <w:szCs w:val="20"/>
        </w:rPr>
        <w:t>Transferencias monetarias a las familias en el área rural</w:t>
      </w:r>
      <w:bookmarkEnd w:id="15"/>
    </w:p>
    <w:p w:rsidR="000634E0" w:rsidRPr="00964530" w:rsidRDefault="004507D0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>A</w:t>
      </w:r>
      <w:r w:rsidR="000634E0" w:rsidRPr="00964530">
        <w:rPr>
          <w:sz w:val="20"/>
          <w:szCs w:val="20"/>
        </w:rPr>
        <w:t xml:space="preserve"> través del programa Comunidades Solidarias Rurales, </w:t>
      </w:r>
      <w:r w:rsidRPr="00964530">
        <w:rPr>
          <w:sz w:val="20"/>
          <w:szCs w:val="20"/>
        </w:rPr>
        <w:t xml:space="preserve">se hizo </w:t>
      </w:r>
      <w:r w:rsidR="000634E0" w:rsidRPr="00964530">
        <w:rPr>
          <w:sz w:val="20"/>
          <w:szCs w:val="20"/>
        </w:rPr>
        <w:t>entreg</w:t>
      </w:r>
      <w:r w:rsidRPr="00964530">
        <w:rPr>
          <w:sz w:val="20"/>
          <w:szCs w:val="20"/>
        </w:rPr>
        <w:t>a</w:t>
      </w:r>
      <w:r w:rsidR="000634E0" w:rsidRPr="00964530">
        <w:rPr>
          <w:sz w:val="20"/>
          <w:szCs w:val="20"/>
        </w:rPr>
        <w:t xml:space="preserve"> </w:t>
      </w:r>
      <w:r w:rsidRPr="00964530">
        <w:rPr>
          <w:sz w:val="20"/>
          <w:szCs w:val="20"/>
        </w:rPr>
        <w:t>d</w:t>
      </w:r>
      <w:r w:rsidR="000634E0" w:rsidRPr="00964530">
        <w:rPr>
          <w:sz w:val="20"/>
          <w:szCs w:val="20"/>
        </w:rPr>
        <w:t xml:space="preserve">el Bono de Salud y Educación a </w:t>
      </w:r>
      <w:r w:rsidR="00966322" w:rsidRPr="00964530">
        <w:rPr>
          <w:sz w:val="20"/>
          <w:szCs w:val="20"/>
        </w:rPr>
        <w:t>66,628</w:t>
      </w:r>
      <w:r w:rsidR="000634E0" w:rsidRPr="00964530">
        <w:rPr>
          <w:sz w:val="20"/>
          <w:szCs w:val="20"/>
        </w:rPr>
        <w:t xml:space="preserve"> familias que cumplieron con sus corresponsabilidades en los 100 municipios de </w:t>
      </w:r>
      <w:r w:rsidR="00C25F79" w:rsidRPr="00964530">
        <w:rPr>
          <w:sz w:val="20"/>
          <w:szCs w:val="20"/>
        </w:rPr>
        <w:t xml:space="preserve">Pobreza Extrema Severa y Alta </w:t>
      </w:r>
      <w:r w:rsidR="000634E0" w:rsidRPr="00964530">
        <w:rPr>
          <w:sz w:val="20"/>
          <w:szCs w:val="20"/>
        </w:rPr>
        <w:t>del país.  El monto entregado asciende a USD$</w:t>
      </w:r>
      <w:r w:rsidR="00966322" w:rsidRPr="00964530">
        <w:rPr>
          <w:sz w:val="20"/>
          <w:szCs w:val="20"/>
        </w:rPr>
        <w:t>43.50</w:t>
      </w:r>
      <w:r w:rsidR="000634E0" w:rsidRPr="00964530">
        <w:rPr>
          <w:sz w:val="20"/>
          <w:szCs w:val="20"/>
        </w:rPr>
        <w:t xml:space="preserve"> millones</w:t>
      </w:r>
      <w:r w:rsidR="001B0F09" w:rsidRPr="00964530">
        <w:rPr>
          <w:sz w:val="20"/>
          <w:szCs w:val="20"/>
        </w:rPr>
        <w:t>.</w:t>
      </w:r>
    </w:p>
    <w:p w:rsidR="000634E0" w:rsidRPr="00964530" w:rsidRDefault="000634E0" w:rsidP="00C67348">
      <w:pPr>
        <w:pStyle w:val="Ttulo3"/>
        <w:numPr>
          <w:ilvl w:val="1"/>
          <w:numId w:val="20"/>
        </w:numPr>
        <w:rPr>
          <w:sz w:val="20"/>
          <w:szCs w:val="20"/>
        </w:rPr>
      </w:pPr>
      <w:bookmarkStart w:id="16" w:name="_Toc485995132"/>
      <w:r w:rsidRPr="00964530">
        <w:rPr>
          <w:sz w:val="20"/>
          <w:szCs w:val="20"/>
        </w:rPr>
        <w:t>Transferencias monetarias a las familias en el área urbana</w:t>
      </w:r>
      <w:bookmarkEnd w:id="16"/>
    </w:p>
    <w:p w:rsidR="000634E0" w:rsidRPr="00964530" w:rsidRDefault="000634E0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Como parte del programa Comunidades Solidarias Urbanas, </w:t>
      </w:r>
      <w:r w:rsidR="00066B6D" w:rsidRPr="00964530">
        <w:rPr>
          <w:sz w:val="20"/>
          <w:szCs w:val="20"/>
        </w:rPr>
        <w:t xml:space="preserve">un total de </w:t>
      </w:r>
      <w:r w:rsidR="00661BEA" w:rsidRPr="00964530">
        <w:rPr>
          <w:sz w:val="20"/>
          <w:szCs w:val="20"/>
        </w:rPr>
        <w:t>6,244</w:t>
      </w:r>
      <w:r w:rsidRPr="00964530">
        <w:rPr>
          <w:sz w:val="20"/>
          <w:szCs w:val="20"/>
        </w:rPr>
        <w:t xml:space="preserve"> jóvenes </w:t>
      </w:r>
      <w:r w:rsidR="00066B6D" w:rsidRPr="00964530">
        <w:rPr>
          <w:sz w:val="20"/>
          <w:szCs w:val="20"/>
        </w:rPr>
        <w:t xml:space="preserve">que habitan en </w:t>
      </w:r>
      <w:r w:rsidR="00661BEA" w:rsidRPr="00964530">
        <w:rPr>
          <w:sz w:val="20"/>
          <w:szCs w:val="20"/>
        </w:rPr>
        <w:t>15</w:t>
      </w:r>
      <w:r w:rsidRPr="00964530">
        <w:rPr>
          <w:sz w:val="20"/>
          <w:szCs w:val="20"/>
        </w:rPr>
        <w:t xml:space="preserve"> municipios fueron beneficiados con el Bono de Educación Urbano</w:t>
      </w:r>
      <w:r w:rsidR="00066B6D" w:rsidRPr="00964530">
        <w:rPr>
          <w:sz w:val="20"/>
          <w:szCs w:val="20"/>
        </w:rPr>
        <w:t xml:space="preserve">, de dicho total el </w:t>
      </w:r>
      <w:r w:rsidR="00661BEA" w:rsidRPr="00964530">
        <w:rPr>
          <w:sz w:val="20"/>
          <w:szCs w:val="20"/>
        </w:rPr>
        <w:t>85.33%</w:t>
      </w:r>
      <w:r w:rsidR="00066B6D" w:rsidRPr="00964530">
        <w:rPr>
          <w:sz w:val="20"/>
          <w:szCs w:val="20"/>
        </w:rPr>
        <w:t xml:space="preserve"> son mujeres.</w:t>
      </w:r>
      <w:r w:rsidRPr="00964530">
        <w:rPr>
          <w:sz w:val="20"/>
          <w:szCs w:val="20"/>
        </w:rPr>
        <w:t xml:space="preserve"> La inversión en este rubro, asciende a USD$</w:t>
      </w:r>
      <w:r w:rsidR="00661BEA" w:rsidRPr="00964530">
        <w:rPr>
          <w:sz w:val="20"/>
          <w:szCs w:val="20"/>
        </w:rPr>
        <w:t>4.47</w:t>
      </w:r>
      <w:r w:rsidRPr="00964530">
        <w:rPr>
          <w:sz w:val="20"/>
          <w:szCs w:val="20"/>
        </w:rPr>
        <w:t xml:space="preserve"> millones</w:t>
      </w:r>
      <w:r w:rsidR="00066B6D" w:rsidRPr="00964530">
        <w:rPr>
          <w:sz w:val="20"/>
          <w:szCs w:val="20"/>
        </w:rPr>
        <w:t>.</w:t>
      </w:r>
    </w:p>
    <w:p w:rsidR="000634E0" w:rsidRPr="00964530" w:rsidRDefault="000634E0" w:rsidP="00C67348">
      <w:pPr>
        <w:pStyle w:val="Ttulo3"/>
        <w:numPr>
          <w:ilvl w:val="1"/>
          <w:numId w:val="20"/>
        </w:numPr>
        <w:rPr>
          <w:sz w:val="20"/>
          <w:szCs w:val="20"/>
        </w:rPr>
      </w:pPr>
      <w:bookmarkStart w:id="17" w:name="_Toc485995133"/>
      <w:r w:rsidRPr="00964530">
        <w:rPr>
          <w:sz w:val="20"/>
          <w:szCs w:val="20"/>
        </w:rPr>
        <w:t>Transferencias monetarias a las personas adultas mayores en el área rural</w:t>
      </w:r>
      <w:bookmarkEnd w:id="17"/>
      <w:r w:rsidRPr="00964530">
        <w:rPr>
          <w:sz w:val="20"/>
          <w:szCs w:val="20"/>
        </w:rPr>
        <w:t xml:space="preserve"> </w:t>
      </w:r>
    </w:p>
    <w:p w:rsidR="000634E0" w:rsidRPr="00964530" w:rsidRDefault="00066B6D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>Con la entrega de l</w:t>
      </w:r>
      <w:r w:rsidR="000634E0" w:rsidRPr="00964530">
        <w:rPr>
          <w:sz w:val="20"/>
          <w:szCs w:val="20"/>
        </w:rPr>
        <w:t xml:space="preserve">a Pensión Básica Universal </w:t>
      </w:r>
      <w:r w:rsidRPr="00964530">
        <w:rPr>
          <w:sz w:val="20"/>
          <w:szCs w:val="20"/>
        </w:rPr>
        <w:t xml:space="preserve">en </w:t>
      </w:r>
      <w:r w:rsidR="00C06A58" w:rsidRPr="00964530">
        <w:rPr>
          <w:sz w:val="20"/>
          <w:szCs w:val="20"/>
        </w:rPr>
        <w:t>81</w:t>
      </w:r>
      <w:r w:rsidRPr="00964530">
        <w:rPr>
          <w:sz w:val="20"/>
          <w:szCs w:val="20"/>
        </w:rPr>
        <w:t xml:space="preserve"> municipios de los 100 de </w:t>
      </w:r>
      <w:r w:rsidR="00C25F79" w:rsidRPr="00964530">
        <w:rPr>
          <w:sz w:val="20"/>
          <w:szCs w:val="20"/>
        </w:rPr>
        <w:t>Pobreza Extrema Severa y Alta</w:t>
      </w:r>
      <w:r w:rsidRPr="00964530">
        <w:rPr>
          <w:sz w:val="20"/>
          <w:szCs w:val="20"/>
        </w:rPr>
        <w:t>, se ha beneficiado a</w:t>
      </w:r>
      <w:r w:rsidR="000634E0" w:rsidRPr="00964530">
        <w:rPr>
          <w:sz w:val="20"/>
          <w:szCs w:val="20"/>
        </w:rPr>
        <w:t xml:space="preserve"> </w:t>
      </w:r>
      <w:r w:rsidR="00C06A58" w:rsidRPr="00964530">
        <w:rPr>
          <w:sz w:val="20"/>
          <w:szCs w:val="20"/>
        </w:rPr>
        <w:t>27,887</w:t>
      </w:r>
      <w:r w:rsidR="000634E0" w:rsidRPr="00964530">
        <w:rPr>
          <w:sz w:val="20"/>
          <w:szCs w:val="20"/>
        </w:rPr>
        <w:t xml:space="preserve"> personas adultas mayores</w:t>
      </w:r>
      <w:r w:rsidRPr="00964530">
        <w:rPr>
          <w:sz w:val="20"/>
          <w:szCs w:val="20"/>
        </w:rPr>
        <w:t xml:space="preserve"> que habitan en el área rural</w:t>
      </w:r>
      <w:r w:rsidR="000634E0" w:rsidRPr="00964530">
        <w:rPr>
          <w:sz w:val="20"/>
          <w:szCs w:val="20"/>
        </w:rPr>
        <w:t xml:space="preserve">, de </w:t>
      </w:r>
      <w:r w:rsidRPr="00964530">
        <w:rPr>
          <w:sz w:val="20"/>
          <w:szCs w:val="20"/>
        </w:rPr>
        <w:t>las cuales el</w:t>
      </w:r>
      <w:r w:rsidR="004B45C9" w:rsidRPr="00964530">
        <w:rPr>
          <w:sz w:val="20"/>
          <w:szCs w:val="20"/>
        </w:rPr>
        <w:t xml:space="preserve"> </w:t>
      </w:r>
      <w:r w:rsidRPr="00964530">
        <w:rPr>
          <w:sz w:val="20"/>
          <w:szCs w:val="20"/>
        </w:rPr>
        <w:t xml:space="preserve"> </w:t>
      </w:r>
      <w:r w:rsidR="00C06A58" w:rsidRPr="00964530">
        <w:rPr>
          <w:sz w:val="20"/>
          <w:szCs w:val="20"/>
        </w:rPr>
        <w:t>52.55%</w:t>
      </w:r>
      <w:r w:rsidRPr="00964530">
        <w:rPr>
          <w:sz w:val="20"/>
          <w:szCs w:val="20"/>
        </w:rPr>
        <w:t xml:space="preserve"> son mujeres. </w:t>
      </w:r>
      <w:r w:rsidR="00C25F79" w:rsidRPr="00964530">
        <w:rPr>
          <w:sz w:val="20"/>
          <w:szCs w:val="20"/>
        </w:rPr>
        <w:t>U</w:t>
      </w:r>
      <w:r w:rsidRPr="00964530">
        <w:rPr>
          <w:sz w:val="20"/>
          <w:szCs w:val="20"/>
        </w:rPr>
        <w:t>n monto de USD$</w:t>
      </w:r>
      <w:r w:rsidR="00C06A58" w:rsidRPr="00964530">
        <w:rPr>
          <w:sz w:val="20"/>
          <w:szCs w:val="20"/>
        </w:rPr>
        <w:t>49.73</w:t>
      </w:r>
      <w:r w:rsidRPr="00964530">
        <w:rPr>
          <w:sz w:val="20"/>
          <w:szCs w:val="20"/>
        </w:rPr>
        <w:t xml:space="preserve"> millones</w:t>
      </w:r>
      <w:r w:rsidR="00C25F79" w:rsidRPr="00964530">
        <w:rPr>
          <w:sz w:val="20"/>
          <w:szCs w:val="20"/>
        </w:rPr>
        <w:t>, fue invertido.</w:t>
      </w:r>
    </w:p>
    <w:p w:rsidR="000634E0" w:rsidRPr="00964530" w:rsidRDefault="000634E0" w:rsidP="00C67348">
      <w:pPr>
        <w:pStyle w:val="Ttulo3"/>
        <w:numPr>
          <w:ilvl w:val="1"/>
          <w:numId w:val="20"/>
        </w:numPr>
        <w:rPr>
          <w:sz w:val="20"/>
          <w:szCs w:val="20"/>
        </w:rPr>
      </w:pPr>
      <w:bookmarkStart w:id="18" w:name="_Toc485995134"/>
      <w:r w:rsidRPr="00964530">
        <w:rPr>
          <w:sz w:val="20"/>
          <w:szCs w:val="20"/>
        </w:rPr>
        <w:lastRenderedPageBreak/>
        <w:t>Transferencias monetarias a las personas adultas mayores en el área urbana</w:t>
      </w:r>
      <w:bookmarkEnd w:id="18"/>
    </w:p>
    <w:p w:rsidR="000634E0" w:rsidRPr="00964530" w:rsidRDefault="00066B6D" w:rsidP="0000294A">
      <w:pPr>
        <w:rPr>
          <w:sz w:val="20"/>
          <w:szCs w:val="20"/>
        </w:rPr>
      </w:pPr>
      <w:r w:rsidRPr="00964530">
        <w:rPr>
          <w:sz w:val="20"/>
          <w:szCs w:val="20"/>
        </w:rPr>
        <w:t>En el área urbana se</w:t>
      </w:r>
      <w:r w:rsidR="000634E0" w:rsidRPr="00964530">
        <w:rPr>
          <w:sz w:val="20"/>
          <w:szCs w:val="20"/>
        </w:rPr>
        <w:t xml:space="preserve"> ha entregado la Pensión Básica Universal a 4,848 personas adultas mayores que residen de los 15 munici</w:t>
      </w:r>
      <w:r w:rsidRPr="00964530">
        <w:rPr>
          <w:sz w:val="20"/>
          <w:szCs w:val="20"/>
        </w:rPr>
        <w:t>pios priorizados, de las cuales</w:t>
      </w:r>
      <w:r w:rsidR="000634E0" w:rsidRPr="00964530">
        <w:rPr>
          <w:sz w:val="20"/>
          <w:szCs w:val="20"/>
        </w:rPr>
        <w:t xml:space="preserve"> el </w:t>
      </w:r>
      <w:r w:rsidR="003F090C" w:rsidRPr="00964530">
        <w:rPr>
          <w:sz w:val="20"/>
          <w:szCs w:val="20"/>
        </w:rPr>
        <w:t>58.29%</w:t>
      </w:r>
      <w:r w:rsidR="000634E0" w:rsidRPr="00964530">
        <w:rPr>
          <w:sz w:val="20"/>
          <w:szCs w:val="20"/>
        </w:rPr>
        <w:t xml:space="preserve"> son mujeres.</w:t>
      </w:r>
      <w:r w:rsidRPr="00964530">
        <w:rPr>
          <w:sz w:val="20"/>
          <w:szCs w:val="20"/>
        </w:rPr>
        <w:t xml:space="preserve"> </w:t>
      </w:r>
      <w:r w:rsidR="000634E0" w:rsidRPr="00964530">
        <w:rPr>
          <w:sz w:val="20"/>
          <w:szCs w:val="20"/>
        </w:rPr>
        <w:t xml:space="preserve">La inversión </w:t>
      </w:r>
      <w:r w:rsidRPr="00964530">
        <w:rPr>
          <w:sz w:val="20"/>
          <w:szCs w:val="20"/>
        </w:rPr>
        <w:t>fue de</w:t>
      </w:r>
      <w:r w:rsidR="000634E0" w:rsidRPr="00964530">
        <w:rPr>
          <w:sz w:val="20"/>
          <w:szCs w:val="20"/>
        </w:rPr>
        <w:t xml:space="preserve"> USD$</w:t>
      </w:r>
      <w:r w:rsidR="003F090C" w:rsidRPr="00964530">
        <w:rPr>
          <w:sz w:val="20"/>
          <w:szCs w:val="20"/>
        </w:rPr>
        <w:t>7.77</w:t>
      </w:r>
      <w:r w:rsidR="00C722F7" w:rsidRPr="00964530">
        <w:rPr>
          <w:sz w:val="20"/>
          <w:szCs w:val="20"/>
        </w:rPr>
        <w:t xml:space="preserve"> millones</w:t>
      </w:r>
      <w:r w:rsidR="000634E0" w:rsidRPr="00964530">
        <w:rPr>
          <w:sz w:val="20"/>
          <w:szCs w:val="20"/>
        </w:rPr>
        <w:t>.</w:t>
      </w:r>
    </w:p>
    <w:p w:rsidR="000634E0" w:rsidRPr="00964530" w:rsidRDefault="000634E0" w:rsidP="00C67348">
      <w:pPr>
        <w:pStyle w:val="Ttulo3"/>
        <w:numPr>
          <w:ilvl w:val="1"/>
          <w:numId w:val="20"/>
        </w:numPr>
        <w:rPr>
          <w:sz w:val="20"/>
          <w:szCs w:val="20"/>
        </w:rPr>
      </w:pPr>
      <w:bookmarkStart w:id="19" w:name="_Toc485995135"/>
      <w:r w:rsidRPr="00964530">
        <w:rPr>
          <w:sz w:val="20"/>
          <w:szCs w:val="20"/>
        </w:rPr>
        <w:t>Apoyo al ingreso y fortalecimiento de capacidades</w:t>
      </w:r>
      <w:bookmarkEnd w:id="19"/>
    </w:p>
    <w:p w:rsidR="000634E0" w:rsidRPr="00964530" w:rsidRDefault="00066B6D" w:rsidP="0000294A">
      <w:pPr>
        <w:rPr>
          <w:sz w:val="20"/>
          <w:szCs w:val="20"/>
        </w:rPr>
      </w:pPr>
      <w:r w:rsidRPr="00964530">
        <w:rPr>
          <w:sz w:val="20"/>
          <w:szCs w:val="20"/>
          <w:lang w:val="es-MX"/>
        </w:rPr>
        <w:t>El P</w:t>
      </w:r>
      <w:r w:rsidR="007F7379" w:rsidRPr="00964530">
        <w:rPr>
          <w:sz w:val="20"/>
          <w:szCs w:val="20"/>
          <w:lang w:val="es-MX"/>
        </w:rPr>
        <w:t xml:space="preserve">rograma de </w:t>
      </w:r>
      <w:r w:rsidRPr="00964530">
        <w:rPr>
          <w:sz w:val="20"/>
          <w:szCs w:val="20"/>
          <w:lang w:val="es-MX"/>
        </w:rPr>
        <w:t>A</w:t>
      </w:r>
      <w:r w:rsidR="007F7379" w:rsidRPr="00964530">
        <w:rPr>
          <w:sz w:val="20"/>
          <w:szCs w:val="20"/>
          <w:lang w:val="es-MX"/>
        </w:rPr>
        <w:t xml:space="preserve">poyo </w:t>
      </w:r>
      <w:r w:rsidRPr="00964530">
        <w:rPr>
          <w:sz w:val="20"/>
          <w:szCs w:val="20"/>
          <w:lang w:val="es-MX"/>
        </w:rPr>
        <w:t>T</w:t>
      </w:r>
      <w:r w:rsidR="007F7379" w:rsidRPr="00964530">
        <w:rPr>
          <w:sz w:val="20"/>
          <w:szCs w:val="20"/>
          <w:lang w:val="es-MX"/>
        </w:rPr>
        <w:t xml:space="preserve">emporal al </w:t>
      </w:r>
      <w:r w:rsidRPr="00964530">
        <w:rPr>
          <w:sz w:val="20"/>
          <w:szCs w:val="20"/>
          <w:lang w:val="es-MX"/>
        </w:rPr>
        <w:t>I</w:t>
      </w:r>
      <w:r w:rsidR="007F7379" w:rsidRPr="00964530">
        <w:rPr>
          <w:sz w:val="20"/>
          <w:szCs w:val="20"/>
          <w:lang w:val="es-MX"/>
        </w:rPr>
        <w:t>ngreso, PATI,</w:t>
      </w:r>
      <w:r w:rsidRPr="00964530">
        <w:rPr>
          <w:sz w:val="20"/>
          <w:szCs w:val="20"/>
          <w:lang w:val="es-MX"/>
        </w:rPr>
        <w:t xml:space="preserve"> ha sido ejecutado en </w:t>
      </w:r>
      <w:r w:rsidR="001E7E4A" w:rsidRPr="00964530">
        <w:rPr>
          <w:sz w:val="20"/>
          <w:szCs w:val="20"/>
          <w:lang w:val="es-MX"/>
        </w:rPr>
        <w:t>16</w:t>
      </w:r>
      <w:r w:rsidRPr="00964530">
        <w:rPr>
          <w:sz w:val="20"/>
          <w:szCs w:val="20"/>
          <w:lang w:val="es-MX"/>
        </w:rPr>
        <w:t xml:space="preserve"> municipios durante </w:t>
      </w:r>
      <w:r w:rsidR="00C722F7" w:rsidRPr="00964530">
        <w:rPr>
          <w:sz w:val="20"/>
          <w:szCs w:val="20"/>
          <w:lang w:val="es-MX"/>
        </w:rPr>
        <w:t>estos tres años</w:t>
      </w:r>
      <w:r w:rsidRPr="00964530">
        <w:rPr>
          <w:sz w:val="20"/>
          <w:szCs w:val="20"/>
          <w:lang w:val="es-MX"/>
        </w:rPr>
        <w:t xml:space="preserve"> de gestión, beneficiando a más de </w:t>
      </w:r>
      <w:r w:rsidR="00234E5C" w:rsidRPr="00964530">
        <w:rPr>
          <w:sz w:val="20"/>
          <w:szCs w:val="20"/>
          <w:lang w:val="es-MX"/>
        </w:rPr>
        <w:t>5 mil</w:t>
      </w:r>
      <w:r w:rsidRPr="00964530">
        <w:rPr>
          <w:sz w:val="20"/>
          <w:szCs w:val="20"/>
          <w:lang w:val="es-MX"/>
        </w:rPr>
        <w:t xml:space="preserve"> mujeres y más de </w:t>
      </w:r>
      <w:r w:rsidR="00234E5C" w:rsidRPr="00964530">
        <w:rPr>
          <w:sz w:val="20"/>
          <w:szCs w:val="20"/>
          <w:lang w:val="es-MX"/>
        </w:rPr>
        <w:t>2 mil</w:t>
      </w:r>
      <w:r w:rsidRPr="00964530">
        <w:rPr>
          <w:sz w:val="20"/>
          <w:szCs w:val="20"/>
          <w:lang w:val="es-MX"/>
        </w:rPr>
        <w:t xml:space="preserve"> hombres. </w:t>
      </w:r>
      <w:r w:rsidR="002B569B" w:rsidRPr="00964530">
        <w:rPr>
          <w:sz w:val="20"/>
          <w:szCs w:val="20"/>
        </w:rPr>
        <w:t>Con</w:t>
      </w:r>
      <w:r w:rsidRPr="00964530">
        <w:rPr>
          <w:sz w:val="20"/>
          <w:szCs w:val="20"/>
        </w:rPr>
        <w:t xml:space="preserve"> </w:t>
      </w:r>
      <w:r w:rsidR="002B569B" w:rsidRPr="00964530">
        <w:rPr>
          <w:sz w:val="20"/>
          <w:szCs w:val="20"/>
        </w:rPr>
        <w:t xml:space="preserve">la entrega de este apoyo monetario el FISDL </w:t>
      </w:r>
      <w:r w:rsidR="000634E0" w:rsidRPr="00964530">
        <w:rPr>
          <w:sz w:val="20"/>
          <w:szCs w:val="20"/>
        </w:rPr>
        <w:t>ha invertido USD$</w:t>
      </w:r>
      <w:r w:rsidR="00AF588D" w:rsidRPr="00964530">
        <w:rPr>
          <w:sz w:val="20"/>
          <w:szCs w:val="20"/>
        </w:rPr>
        <w:t>6.74</w:t>
      </w:r>
      <w:r w:rsidR="000634E0" w:rsidRPr="00964530">
        <w:rPr>
          <w:sz w:val="20"/>
          <w:szCs w:val="20"/>
        </w:rPr>
        <w:t xml:space="preserve"> millones</w:t>
      </w:r>
      <w:r w:rsidR="002B569B" w:rsidRPr="00964530">
        <w:rPr>
          <w:sz w:val="20"/>
          <w:szCs w:val="20"/>
        </w:rPr>
        <w:t>, apoyando</w:t>
      </w:r>
      <w:r w:rsidR="000634E0" w:rsidRPr="00964530">
        <w:rPr>
          <w:sz w:val="20"/>
          <w:szCs w:val="20"/>
        </w:rPr>
        <w:t xml:space="preserve"> a </w:t>
      </w:r>
      <w:r w:rsidR="00234E5C" w:rsidRPr="00964530">
        <w:rPr>
          <w:sz w:val="20"/>
          <w:szCs w:val="20"/>
        </w:rPr>
        <w:t>7,926</w:t>
      </w:r>
      <w:r w:rsidR="00C722F7" w:rsidRPr="00964530">
        <w:rPr>
          <w:sz w:val="20"/>
          <w:szCs w:val="20"/>
        </w:rPr>
        <w:t xml:space="preserve"> personas</w:t>
      </w:r>
      <w:r w:rsidR="000634E0" w:rsidRPr="00964530">
        <w:rPr>
          <w:sz w:val="20"/>
          <w:szCs w:val="20"/>
        </w:rPr>
        <w:t xml:space="preserve">.  Esta inversión incluye las capacitaciones </w:t>
      </w:r>
      <w:r w:rsidR="002B569B" w:rsidRPr="00964530">
        <w:rPr>
          <w:sz w:val="20"/>
          <w:szCs w:val="20"/>
        </w:rPr>
        <w:t xml:space="preserve">brindadas a los participantes </w:t>
      </w:r>
      <w:r w:rsidR="000634E0" w:rsidRPr="00964530">
        <w:rPr>
          <w:sz w:val="20"/>
          <w:szCs w:val="20"/>
        </w:rPr>
        <w:t>y los gastos administrativos realizados.</w:t>
      </w:r>
      <w:r w:rsidR="004B45C9" w:rsidRPr="00964530">
        <w:rPr>
          <w:sz w:val="20"/>
          <w:szCs w:val="20"/>
          <w:lang w:val="es-MX" w:eastAsia="es-MX"/>
        </w:rPr>
        <w:t xml:space="preserve"> </w:t>
      </w:r>
    </w:p>
    <w:p w:rsidR="002974C5" w:rsidRPr="00964530" w:rsidRDefault="002974C5" w:rsidP="00C25F79">
      <w:pPr>
        <w:pStyle w:val="Ttulo3"/>
        <w:numPr>
          <w:ilvl w:val="1"/>
          <w:numId w:val="20"/>
        </w:numPr>
        <w:rPr>
          <w:sz w:val="20"/>
          <w:szCs w:val="20"/>
        </w:rPr>
      </w:pPr>
      <w:bookmarkStart w:id="20" w:name="_Toc485995136"/>
      <w:r w:rsidRPr="00964530">
        <w:rPr>
          <w:sz w:val="20"/>
          <w:szCs w:val="20"/>
        </w:rPr>
        <w:t>Tra</w:t>
      </w:r>
      <w:r w:rsidR="00D17454" w:rsidRPr="00964530">
        <w:rPr>
          <w:sz w:val="20"/>
          <w:szCs w:val="20"/>
        </w:rPr>
        <w:t>n</w:t>
      </w:r>
      <w:r w:rsidRPr="00964530">
        <w:rPr>
          <w:sz w:val="20"/>
          <w:szCs w:val="20"/>
        </w:rPr>
        <w:t>sferencias Monetarias a Veteranos de Guerra y Víctimas de Graves Violaciones</w:t>
      </w:r>
      <w:bookmarkEnd w:id="20"/>
      <w:r w:rsidR="00C25F79" w:rsidRPr="00964530">
        <w:rPr>
          <w:sz w:val="20"/>
          <w:szCs w:val="20"/>
        </w:rPr>
        <w:t xml:space="preserve"> a los Derechos Humanos durante el conflicto armado.</w:t>
      </w:r>
    </w:p>
    <w:p w:rsidR="00AE1864" w:rsidRPr="00964530" w:rsidRDefault="00ED38D1" w:rsidP="00AE1864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En cumplimiento al Decreto Ejecutivo No. 31 (año 2012), donde se establece el otorgamiento de una transferencia monetaria a los veteranos de guerra mayores de setenta años de edad, del histórico Frente Farabundo Martí para la Liberación Nacional , FMLN, eL FISDL ha invertido USD$3.45 millones, beneficiando a 1,982 personas de 148 municipios, de las cuales 737 personas, son mujeres. </w:t>
      </w:r>
    </w:p>
    <w:p w:rsidR="002974C5" w:rsidRDefault="00ED38D1" w:rsidP="00AE1864">
      <w:pPr>
        <w:rPr>
          <w:sz w:val="20"/>
          <w:szCs w:val="20"/>
          <w:lang w:val="es-MX" w:eastAsia="es-MX"/>
        </w:rPr>
      </w:pPr>
      <w:r w:rsidRPr="00964530">
        <w:rPr>
          <w:sz w:val="20"/>
          <w:szCs w:val="20"/>
        </w:rPr>
        <w:t>Así mismo, e</w:t>
      </w:r>
      <w:r w:rsidR="00AE1864" w:rsidRPr="00964530">
        <w:rPr>
          <w:sz w:val="20"/>
          <w:szCs w:val="20"/>
        </w:rPr>
        <w:t>n el tercer año de esta gestión se inició con la entrega de indemnizaciones a víctimas de</w:t>
      </w:r>
      <w:r w:rsidR="00511FCC" w:rsidRPr="00964530">
        <w:rPr>
          <w:sz w:val="20"/>
          <w:szCs w:val="20"/>
        </w:rPr>
        <w:t xml:space="preserve"> graves violaciones a los derechos humanos durante el</w:t>
      </w:r>
      <w:r w:rsidR="00AE1864" w:rsidRPr="00964530">
        <w:rPr>
          <w:sz w:val="20"/>
          <w:szCs w:val="20"/>
        </w:rPr>
        <w:t xml:space="preserve"> conflicto armado, beneficiando a 2,125 personas adultas mayores (en 81 municipios) y a 1,163 familias (en 68 municipios)</w:t>
      </w:r>
      <w:r w:rsidR="002974C5" w:rsidRPr="00964530">
        <w:rPr>
          <w:sz w:val="20"/>
          <w:szCs w:val="20"/>
        </w:rPr>
        <w:t>.</w:t>
      </w:r>
      <w:r w:rsidR="002974C5" w:rsidRPr="00964530">
        <w:rPr>
          <w:sz w:val="20"/>
          <w:szCs w:val="20"/>
          <w:lang w:val="es-MX" w:eastAsia="es-MX"/>
        </w:rPr>
        <w:t xml:space="preserve"> </w:t>
      </w:r>
      <w:r w:rsidR="00AE1864" w:rsidRPr="00964530">
        <w:rPr>
          <w:sz w:val="20"/>
          <w:szCs w:val="20"/>
          <w:lang w:val="es-MX" w:eastAsia="es-MX"/>
        </w:rPr>
        <w:t>La inversión fue de USD$0.49 millones.</w:t>
      </w:r>
    </w:p>
    <w:p w:rsidR="000634E0" w:rsidRPr="00964530" w:rsidRDefault="00660749" w:rsidP="00C67348">
      <w:pPr>
        <w:pStyle w:val="Ttulo2"/>
        <w:numPr>
          <w:ilvl w:val="0"/>
          <w:numId w:val="20"/>
        </w:numPr>
        <w:rPr>
          <w:sz w:val="20"/>
          <w:szCs w:val="20"/>
        </w:rPr>
      </w:pPr>
      <w:bookmarkStart w:id="21" w:name="_Toc485995137"/>
      <w:r w:rsidRPr="00964530">
        <w:rPr>
          <w:sz w:val="20"/>
          <w:szCs w:val="20"/>
        </w:rPr>
        <w:t>Se fortalece la a</w:t>
      </w:r>
      <w:r w:rsidR="000634E0" w:rsidRPr="00964530">
        <w:rPr>
          <w:sz w:val="20"/>
          <w:szCs w:val="20"/>
        </w:rPr>
        <w:t>ctividad económica en el ámbito local</w:t>
      </w:r>
      <w:bookmarkEnd w:id="21"/>
    </w:p>
    <w:p w:rsidR="00203EFC" w:rsidRPr="00964530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0D78CA" w:themeColor="background2" w:themeShade="80"/>
          <w:lang w:val="es-SV" w:bidi="ar-SA"/>
        </w:rPr>
      </w:pPr>
      <w:bookmarkStart w:id="22" w:name="_Toc485995138"/>
      <w:bookmarkEnd w:id="22"/>
    </w:p>
    <w:p w:rsidR="00203EFC" w:rsidRPr="00964530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0D78CA" w:themeColor="background2" w:themeShade="80"/>
          <w:lang w:val="es-SV" w:bidi="ar-SA"/>
        </w:rPr>
      </w:pPr>
      <w:bookmarkStart w:id="23" w:name="_Toc485995139"/>
      <w:bookmarkEnd w:id="23"/>
    </w:p>
    <w:p w:rsidR="00203EFC" w:rsidRPr="00964530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0D78CA" w:themeColor="background2" w:themeShade="80"/>
          <w:lang w:val="es-SV" w:bidi="ar-SA"/>
        </w:rPr>
      </w:pPr>
      <w:bookmarkStart w:id="24" w:name="_Toc485995140"/>
      <w:bookmarkEnd w:id="24"/>
    </w:p>
    <w:p w:rsidR="00203EFC" w:rsidRPr="00964530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0D78CA" w:themeColor="background2" w:themeShade="80"/>
          <w:lang w:val="es-SV" w:bidi="ar-SA"/>
        </w:rPr>
      </w:pPr>
      <w:bookmarkStart w:id="25" w:name="_Toc485995141"/>
      <w:bookmarkEnd w:id="25"/>
    </w:p>
    <w:p w:rsidR="000634E0" w:rsidRPr="00964530" w:rsidRDefault="000634E0" w:rsidP="00203EFC">
      <w:pPr>
        <w:pStyle w:val="Ttulo3"/>
        <w:numPr>
          <w:ilvl w:val="1"/>
          <w:numId w:val="18"/>
        </w:numPr>
        <w:rPr>
          <w:sz w:val="20"/>
          <w:szCs w:val="20"/>
        </w:rPr>
      </w:pPr>
      <w:bookmarkStart w:id="26" w:name="_Toc485995142"/>
      <w:r w:rsidRPr="00964530">
        <w:rPr>
          <w:sz w:val="20"/>
          <w:szCs w:val="20"/>
        </w:rPr>
        <w:t>Fortalecimiento de emprendimientos económicos (Emprendimiento Solidario)</w:t>
      </w:r>
      <w:bookmarkEnd w:id="26"/>
    </w:p>
    <w:p w:rsidR="000634E0" w:rsidRPr="00964530" w:rsidRDefault="0032127C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>La inversión en el bono productivo y emprendimientos solidarios es de</w:t>
      </w:r>
      <w:r w:rsidR="000634E0" w:rsidRPr="00964530">
        <w:rPr>
          <w:sz w:val="20"/>
          <w:szCs w:val="20"/>
        </w:rPr>
        <w:t xml:space="preserve"> USD$</w:t>
      </w:r>
      <w:r w:rsidR="001D71C9" w:rsidRPr="00964530">
        <w:rPr>
          <w:sz w:val="20"/>
          <w:szCs w:val="20"/>
        </w:rPr>
        <w:t>4.61</w:t>
      </w:r>
      <w:r w:rsidR="000634E0" w:rsidRPr="00964530">
        <w:rPr>
          <w:sz w:val="20"/>
          <w:szCs w:val="20"/>
        </w:rPr>
        <w:t xml:space="preserve"> millones</w:t>
      </w:r>
      <w:r w:rsidR="00C722F7" w:rsidRPr="00964530">
        <w:rPr>
          <w:sz w:val="20"/>
          <w:szCs w:val="20"/>
        </w:rPr>
        <w:t>,</w:t>
      </w:r>
      <w:r w:rsidR="008170C2" w:rsidRPr="00964530">
        <w:rPr>
          <w:sz w:val="20"/>
          <w:szCs w:val="20"/>
        </w:rPr>
        <w:t xml:space="preserve"> obteniendo como resultado l</w:t>
      </w:r>
      <w:r w:rsidRPr="00964530">
        <w:rPr>
          <w:sz w:val="20"/>
          <w:szCs w:val="20"/>
        </w:rPr>
        <w:t xml:space="preserve">a creación de </w:t>
      </w:r>
      <w:r w:rsidR="001D71C9" w:rsidRPr="00964530">
        <w:rPr>
          <w:sz w:val="20"/>
          <w:szCs w:val="20"/>
        </w:rPr>
        <w:t xml:space="preserve">1,289 iniciativas </w:t>
      </w:r>
      <w:r w:rsidRPr="00964530">
        <w:rPr>
          <w:sz w:val="20"/>
          <w:szCs w:val="20"/>
        </w:rPr>
        <w:t>emprend</w:t>
      </w:r>
      <w:r w:rsidR="001D71C9" w:rsidRPr="00964530">
        <w:rPr>
          <w:sz w:val="20"/>
          <w:szCs w:val="20"/>
        </w:rPr>
        <w:t>edoras</w:t>
      </w:r>
      <w:r w:rsidRPr="00964530">
        <w:rPr>
          <w:sz w:val="20"/>
          <w:szCs w:val="20"/>
        </w:rPr>
        <w:t xml:space="preserve">, </w:t>
      </w:r>
      <w:r w:rsidR="008170C2" w:rsidRPr="00964530">
        <w:rPr>
          <w:sz w:val="20"/>
          <w:szCs w:val="20"/>
        </w:rPr>
        <w:t xml:space="preserve">que han </w:t>
      </w:r>
      <w:r w:rsidR="000634E0" w:rsidRPr="00964530">
        <w:rPr>
          <w:sz w:val="20"/>
          <w:szCs w:val="20"/>
        </w:rPr>
        <w:t>beneficia</w:t>
      </w:r>
      <w:r w:rsidR="008170C2" w:rsidRPr="00964530">
        <w:rPr>
          <w:sz w:val="20"/>
          <w:szCs w:val="20"/>
        </w:rPr>
        <w:t xml:space="preserve">do a </w:t>
      </w:r>
      <w:r w:rsidR="001D71C9" w:rsidRPr="00964530">
        <w:rPr>
          <w:sz w:val="20"/>
          <w:szCs w:val="20"/>
        </w:rPr>
        <w:t>3,512</w:t>
      </w:r>
      <w:r w:rsidR="008170C2" w:rsidRPr="00964530">
        <w:rPr>
          <w:sz w:val="20"/>
          <w:szCs w:val="20"/>
        </w:rPr>
        <w:t xml:space="preserve"> personas </w:t>
      </w:r>
      <w:r w:rsidR="000634E0" w:rsidRPr="00964530">
        <w:rPr>
          <w:sz w:val="20"/>
          <w:szCs w:val="20"/>
        </w:rPr>
        <w:t>e</w:t>
      </w:r>
      <w:r w:rsidR="008170C2" w:rsidRPr="00964530">
        <w:rPr>
          <w:sz w:val="20"/>
          <w:szCs w:val="20"/>
        </w:rPr>
        <w:t>n</w:t>
      </w:r>
      <w:r w:rsidR="000634E0" w:rsidRPr="00964530">
        <w:rPr>
          <w:sz w:val="20"/>
          <w:szCs w:val="20"/>
        </w:rPr>
        <w:t xml:space="preserve"> </w:t>
      </w:r>
      <w:r w:rsidR="001D71C9" w:rsidRPr="00964530">
        <w:rPr>
          <w:sz w:val="20"/>
          <w:szCs w:val="20"/>
        </w:rPr>
        <w:t>83</w:t>
      </w:r>
      <w:r w:rsidR="000634E0" w:rsidRPr="00964530">
        <w:rPr>
          <w:sz w:val="20"/>
          <w:szCs w:val="20"/>
        </w:rPr>
        <w:t xml:space="preserve"> municipios</w:t>
      </w:r>
      <w:r w:rsidR="008170C2" w:rsidRPr="00964530">
        <w:rPr>
          <w:sz w:val="20"/>
          <w:szCs w:val="20"/>
        </w:rPr>
        <w:t xml:space="preserve">, siendo </w:t>
      </w:r>
      <w:r w:rsidR="001D71C9" w:rsidRPr="00964530">
        <w:rPr>
          <w:sz w:val="20"/>
          <w:szCs w:val="20"/>
        </w:rPr>
        <w:t xml:space="preserve">mujeres </w:t>
      </w:r>
      <w:r w:rsidR="008170C2" w:rsidRPr="00964530">
        <w:rPr>
          <w:sz w:val="20"/>
          <w:szCs w:val="20"/>
        </w:rPr>
        <w:t>e</w:t>
      </w:r>
      <w:r w:rsidR="000634E0" w:rsidRPr="00964530">
        <w:rPr>
          <w:sz w:val="20"/>
          <w:szCs w:val="20"/>
        </w:rPr>
        <w:t xml:space="preserve">l </w:t>
      </w:r>
      <w:r w:rsidR="001D71C9" w:rsidRPr="00964530">
        <w:rPr>
          <w:sz w:val="20"/>
          <w:szCs w:val="20"/>
        </w:rPr>
        <w:t>85.36%</w:t>
      </w:r>
      <w:r w:rsidR="000634E0" w:rsidRPr="00964530">
        <w:rPr>
          <w:sz w:val="20"/>
          <w:szCs w:val="20"/>
        </w:rPr>
        <w:t xml:space="preserve"> de las per</w:t>
      </w:r>
      <w:r w:rsidR="003B62F7" w:rsidRPr="00964530">
        <w:rPr>
          <w:sz w:val="20"/>
          <w:szCs w:val="20"/>
        </w:rPr>
        <w:t>sonas beneficiadas.</w:t>
      </w:r>
    </w:p>
    <w:p w:rsidR="000634E0" w:rsidRPr="00964530" w:rsidRDefault="000634E0" w:rsidP="002974C5">
      <w:pPr>
        <w:pStyle w:val="Ttulo3"/>
        <w:numPr>
          <w:ilvl w:val="1"/>
          <w:numId w:val="18"/>
        </w:numPr>
        <w:rPr>
          <w:sz w:val="20"/>
          <w:szCs w:val="20"/>
        </w:rPr>
      </w:pPr>
      <w:bookmarkStart w:id="27" w:name="_Toc485995143"/>
      <w:r w:rsidRPr="00964530">
        <w:rPr>
          <w:sz w:val="20"/>
          <w:szCs w:val="20"/>
        </w:rPr>
        <w:t>Acceso a Infraestructura Productiva</w:t>
      </w:r>
      <w:bookmarkEnd w:id="27"/>
      <w:r w:rsidRPr="00964530">
        <w:rPr>
          <w:sz w:val="20"/>
          <w:szCs w:val="20"/>
        </w:rPr>
        <w:t xml:space="preserve">  </w:t>
      </w:r>
    </w:p>
    <w:p w:rsidR="000634E0" w:rsidRPr="00964530" w:rsidRDefault="000634E0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>El FISDL ha invertido USD$</w:t>
      </w:r>
      <w:r w:rsidR="00F556E6" w:rsidRPr="00964530">
        <w:rPr>
          <w:sz w:val="20"/>
          <w:szCs w:val="20"/>
        </w:rPr>
        <w:t>1.46</w:t>
      </w:r>
      <w:r w:rsidRPr="00964530">
        <w:rPr>
          <w:sz w:val="20"/>
          <w:szCs w:val="20"/>
        </w:rPr>
        <w:t xml:space="preserve"> mil</w:t>
      </w:r>
      <w:r w:rsidR="00F556E6" w:rsidRPr="00964530">
        <w:rPr>
          <w:sz w:val="20"/>
          <w:szCs w:val="20"/>
        </w:rPr>
        <w:t>lones</w:t>
      </w:r>
      <w:r w:rsidRPr="00964530">
        <w:rPr>
          <w:sz w:val="20"/>
          <w:szCs w:val="20"/>
        </w:rPr>
        <w:t xml:space="preserve"> en infraestructura productiva</w:t>
      </w:r>
      <w:r w:rsidR="003B62F7" w:rsidRPr="00964530">
        <w:rPr>
          <w:sz w:val="20"/>
          <w:szCs w:val="20"/>
        </w:rPr>
        <w:t>.</w:t>
      </w:r>
      <w:r w:rsidR="00F556E6" w:rsidRPr="00964530">
        <w:rPr>
          <w:sz w:val="20"/>
          <w:szCs w:val="20"/>
        </w:rPr>
        <w:t xml:space="preserve"> </w:t>
      </w:r>
      <w:r w:rsidRPr="00964530">
        <w:rPr>
          <w:sz w:val="20"/>
          <w:szCs w:val="20"/>
        </w:rPr>
        <w:t xml:space="preserve">Esta inversión ha beneficiado a </w:t>
      </w:r>
      <w:r w:rsidR="00F556E6" w:rsidRPr="00964530">
        <w:rPr>
          <w:sz w:val="20"/>
          <w:szCs w:val="20"/>
        </w:rPr>
        <w:t>131,942</w:t>
      </w:r>
      <w:r w:rsidRPr="00964530">
        <w:rPr>
          <w:sz w:val="20"/>
          <w:szCs w:val="20"/>
        </w:rPr>
        <w:t xml:space="preserve"> personas con la ejecución de </w:t>
      </w:r>
      <w:r w:rsidR="00F556E6" w:rsidRPr="00964530">
        <w:rPr>
          <w:sz w:val="20"/>
          <w:szCs w:val="20"/>
        </w:rPr>
        <w:t>19</w:t>
      </w:r>
      <w:r w:rsidRPr="00964530">
        <w:rPr>
          <w:sz w:val="20"/>
          <w:szCs w:val="20"/>
        </w:rPr>
        <w:t xml:space="preserve"> proyectos</w:t>
      </w:r>
      <w:r w:rsidR="00F556E6" w:rsidRPr="00964530">
        <w:rPr>
          <w:sz w:val="20"/>
          <w:szCs w:val="20"/>
        </w:rPr>
        <w:t xml:space="preserve"> en 15 municipios.</w:t>
      </w:r>
    </w:p>
    <w:p w:rsidR="000634E0" w:rsidRPr="00964530" w:rsidRDefault="000634E0" w:rsidP="002974C5">
      <w:pPr>
        <w:pStyle w:val="Ttulo3"/>
        <w:numPr>
          <w:ilvl w:val="1"/>
          <w:numId w:val="18"/>
        </w:numPr>
        <w:rPr>
          <w:sz w:val="20"/>
          <w:szCs w:val="20"/>
        </w:rPr>
      </w:pPr>
      <w:bookmarkStart w:id="28" w:name="_Toc485995144"/>
      <w:r w:rsidRPr="00964530">
        <w:rPr>
          <w:sz w:val="20"/>
          <w:szCs w:val="20"/>
        </w:rPr>
        <w:t>Ampliación y Mejora de la Infraestructura Vial</w:t>
      </w:r>
      <w:bookmarkEnd w:id="28"/>
    </w:p>
    <w:p w:rsidR="004B45C9" w:rsidRPr="00964530" w:rsidRDefault="000634E0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>E</w:t>
      </w:r>
      <w:r w:rsidR="00DA7B13" w:rsidRPr="00964530">
        <w:rPr>
          <w:sz w:val="20"/>
          <w:szCs w:val="20"/>
        </w:rPr>
        <w:t>l FISDL ha pavimentado, concret</w:t>
      </w:r>
      <w:r w:rsidRPr="00964530">
        <w:rPr>
          <w:sz w:val="20"/>
          <w:szCs w:val="20"/>
        </w:rPr>
        <w:t xml:space="preserve">ado, asfaltado, reparado y/o mejorado </w:t>
      </w:r>
      <w:r w:rsidR="00774FA5" w:rsidRPr="00964530">
        <w:rPr>
          <w:sz w:val="20"/>
          <w:szCs w:val="20"/>
        </w:rPr>
        <w:t>36.49</w:t>
      </w:r>
      <w:r w:rsidRPr="00964530">
        <w:rPr>
          <w:sz w:val="20"/>
          <w:szCs w:val="20"/>
        </w:rPr>
        <w:t xml:space="preserve"> kilómetros, beneficiando a </w:t>
      </w:r>
      <w:r w:rsidR="00774FA5" w:rsidRPr="00964530">
        <w:rPr>
          <w:sz w:val="20"/>
          <w:szCs w:val="20"/>
        </w:rPr>
        <w:t>más de 765 mil</w:t>
      </w:r>
      <w:r w:rsidRPr="00964530">
        <w:rPr>
          <w:sz w:val="20"/>
          <w:szCs w:val="20"/>
        </w:rPr>
        <w:t xml:space="preserve"> personas de </w:t>
      </w:r>
      <w:r w:rsidR="00774FA5" w:rsidRPr="00964530">
        <w:rPr>
          <w:sz w:val="20"/>
          <w:szCs w:val="20"/>
        </w:rPr>
        <w:t>29</w:t>
      </w:r>
      <w:r w:rsidRPr="00964530">
        <w:rPr>
          <w:sz w:val="20"/>
          <w:szCs w:val="20"/>
        </w:rPr>
        <w:t xml:space="preserve"> municipios co</w:t>
      </w:r>
      <w:r w:rsidR="003B62F7" w:rsidRPr="00964530">
        <w:rPr>
          <w:sz w:val="20"/>
          <w:szCs w:val="20"/>
        </w:rPr>
        <w:t xml:space="preserve">n </w:t>
      </w:r>
      <w:r w:rsidR="00774FA5" w:rsidRPr="00964530">
        <w:rPr>
          <w:sz w:val="20"/>
          <w:szCs w:val="20"/>
        </w:rPr>
        <w:t>46 proyectos</w:t>
      </w:r>
      <w:r w:rsidR="003B62F7" w:rsidRPr="00964530">
        <w:rPr>
          <w:sz w:val="20"/>
          <w:szCs w:val="20"/>
        </w:rPr>
        <w:t>.</w:t>
      </w:r>
      <w:r w:rsidR="00774FA5" w:rsidRPr="00964530">
        <w:rPr>
          <w:sz w:val="20"/>
          <w:szCs w:val="20"/>
        </w:rPr>
        <w:t xml:space="preserve">  </w:t>
      </w:r>
      <w:r w:rsidRPr="00964530">
        <w:rPr>
          <w:sz w:val="20"/>
          <w:szCs w:val="20"/>
        </w:rPr>
        <w:t>La inversión asciende a USD$</w:t>
      </w:r>
      <w:r w:rsidR="00774FA5" w:rsidRPr="00964530">
        <w:rPr>
          <w:sz w:val="20"/>
          <w:szCs w:val="20"/>
        </w:rPr>
        <w:t>8.45</w:t>
      </w:r>
      <w:r w:rsidRPr="00964530">
        <w:rPr>
          <w:sz w:val="20"/>
          <w:szCs w:val="20"/>
        </w:rPr>
        <w:t xml:space="preserve"> millones</w:t>
      </w:r>
      <w:r w:rsidR="004B45C9" w:rsidRPr="00964530">
        <w:rPr>
          <w:sz w:val="20"/>
          <w:szCs w:val="20"/>
        </w:rPr>
        <w:t>.</w:t>
      </w:r>
    </w:p>
    <w:p w:rsidR="000634E0" w:rsidRPr="00964530" w:rsidRDefault="000634E0" w:rsidP="002974C5">
      <w:pPr>
        <w:pStyle w:val="Ttulo2"/>
        <w:numPr>
          <w:ilvl w:val="0"/>
          <w:numId w:val="18"/>
        </w:numPr>
        <w:spacing w:after="240"/>
        <w:rPr>
          <w:sz w:val="20"/>
          <w:szCs w:val="20"/>
        </w:rPr>
      </w:pPr>
      <w:bookmarkStart w:id="29" w:name="_Toc485995145"/>
      <w:r w:rsidRPr="00964530">
        <w:rPr>
          <w:sz w:val="20"/>
          <w:szCs w:val="20"/>
        </w:rPr>
        <w:t>Fortalecimiento de capacidades en las familias, comunidades y gobiernos locales</w:t>
      </w:r>
      <w:bookmarkEnd w:id="29"/>
    </w:p>
    <w:p w:rsidR="000634E0" w:rsidRPr="00964530" w:rsidRDefault="000634E0" w:rsidP="002974C5">
      <w:pPr>
        <w:pStyle w:val="Ttulo3"/>
        <w:numPr>
          <w:ilvl w:val="1"/>
          <w:numId w:val="18"/>
        </w:numPr>
        <w:rPr>
          <w:sz w:val="20"/>
          <w:szCs w:val="20"/>
        </w:rPr>
      </w:pPr>
      <w:bookmarkStart w:id="30" w:name="_Toc485995146"/>
      <w:r w:rsidRPr="00964530">
        <w:rPr>
          <w:sz w:val="20"/>
          <w:szCs w:val="20"/>
        </w:rPr>
        <w:t>Apoyo y fortalecimiento en el ámbito local</w:t>
      </w:r>
      <w:bookmarkEnd w:id="30"/>
    </w:p>
    <w:p w:rsidR="000634E0" w:rsidRPr="00964530" w:rsidRDefault="000634E0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>A través de asistencias técnicas el FISDL ha invertido USD$</w:t>
      </w:r>
      <w:r w:rsidR="000A3601" w:rsidRPr="00964530">
        <w:rPr>
          <w:sz w:val="20"/>
          <w:szCs w:val="20"/>
        </w:rPr>
        <w:t>4.62</w:t>
      </w:r>
      <w:r w:rsidRPr="00964530">
        <w:rPr>
          <w:sz w:val="20"/>
          <w:szCs w:val="20"/>
        </w:rPr>
        <w:t xml:space="preserve"> millones.</w:t>
      </w:r>
    </w:p>
    <w:p w:rsidR="000634E0" w:rsidRPr="00964530" w:rsidRDefault="000634E0" w:rsidP="008A2B9E">
      <w:pPr>
        <w:spacing w:after="0"/>
        <w:jc w:val="center"/>
        <w:rPr>
          <w:b/>
          <w:sz w:val="20"/>
          <w:szCs w:val="20"/>
        </w:rPr>
      </w:pPr>
      <w:r w:rsidRPr="00964530">
        <w:rPr>
          <w:b/>
          <w:sz w:val="20"/>
          <w:szCs w:val="20"/>
        </w:rPr>
        <w:t xml:space="preserve">Cuadro </w:t>
      </w:r>
      <w:r w:rsidR="00C722F7" w:rsidRPr="00964530">
        <w:rPr>
          <w:b/>
          <w:sz w:val="20"/>
          <w:szCs w:val="20"/>
        </w:rPr>
        <w:t>3</w:t>
      </w:r>
      <w:r w:rsidRPr="00964530">
        <w:rPr>
          <w:b/>
          <w:sz w:val="20"/>
          <w:szCs w:val="20"/>
        </w:rPr>
        <w:t>: Desglose de Inversión en Asistencias Técnicas (USD$)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1909"/>
        <w:gridCol w:w="1373"/>
      </w:tblGrid>
      <w:tr w:rsidR="000A3601" w:rsidRPr="00964530" w:rsidTr="000A3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tcW w:w="0" w:type="auto"/>
            <w:noWrap/>
            <w:hideMark/>
          </w:tcPr>
          <w:p w:rsidR="000A3601" w:rsidRPr="00964530" w:rsidRDefault="000A3601" w:rsidP="00441D47">
            <w:pPr>
              <w:jc w:val="left"/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  <w:t xml:space="preserve">Tipo de </w:t>
            </w:r>
            <w:r w:rsidR="00441D47" w:rsidRPr="00964530"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  <w:t>a</w:t>
            </w: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  <w:t xml:space="preserve">sistencia </w:t>
            </w:r>
            <w:r w:rsidR="00441D47" w:rsidRPr="00964530"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  <w:t>t</w:t>
            </w: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  <w:t>écnica</w:t>
            </w:r>
          </w:p>
        </w:tc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left"/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20"/>
                <w:lang w:eastAsia="es-SV"/>
              </w:rPr>
              <w:t>Ejecutado (USD$)</w:t>
            </w:r>
          </w:p>
        </w:tc>
      </w:tr>
      <w:tr w:rsidR="000A3601" w:rsidRPr="00964530" w:rsidTr="000A3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Asocios Públicos Privados</w:t>
            </w:r>
          </w:p>
        </w:tc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$130,595</w:t>
            </w:r>
          </w:p>
        </w:tc>
      </w:tr>
      <w:tr w:rsidR="000A3601" w:rsidRPr="00964530" w:rsidTr="000A3601">
        <w:trPr>
          <w:trHeight w:val="57"/>
          <w:jc w:val="center"/>
        </w:trPr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Consultorías</w:t>
            </w:r>
          </w:p>
        </w:tc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$659,252</w:t>
            </w:r>
          </w:p>
        </w:tc>
      </w:tr>
      <w:tr w:rsidR="000A3601" w:rsidRPr="00964530" w:rsidTr="000A3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Mejoramiento de Vida</w:t>
            </w:r>
          </w:p>
        </w:tc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$1,678,103</w:t>
            </w:r>
          </w:p>
        </w:tc>
      </w:tr>
      <w:tr w:rsidR="000A3601" w:rsidRPr="00964530" w:rsidTr="000A3601">
        <w:trPr>
          <w:trHeight w:val="57"/>
          <w:jc w:val="center"/>
        </w:trPr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Papilla CSR</w:t>
            </w:r>
          </w:p>
        </w:tc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$1,287,000</w:t>
            </w:r>
          </w:p>
        </w:tc>
      </w:tr>
      <w:tr w:rsidR="000A3601" w:rsidRPr="00964530" w:rsidTr="000A3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Promotores CSR</w:t>
            </w:r>
          </w:p>
        </w:tc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$861,884</w:t>
            </w:r>
          </w:p>
        </w:tc>
      </w:tr>
      <w:tr w:rsidR="000A3601" w:rsidRPr="00964530" w:rsidTr="000A36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Total General</w:t>
            </w:r>
          </w:p>
        </w:tc>
        <w:tc>
          <w:tcPr>
            <w:tcW w:w="0" w:type="auto"/>
            <w:noWrap/>
            <w:hideMark/>
          </w:tcPr>
          <w:p w:rsidR="000A3601" w:rsidRPr="00964530" w:rsidRDefault="000A3601" w:rsidP="000A3601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20"/>
                <w:lang w:eastAsia="es-SV"/>
              </w:rPr>
              <w:t>$4,616,833</w:t>
            </w:r>
          </w:p>
        </w:tc>
      </w:tr>
    </w:tbl>
    <w:p w:rsidR="000634E0" w:rsidRPr="00964530" w:rsidRDefault="000634E0" w:rsidP="0000294A">
      <w:pPr>
        <w:rPr>
          <w:sz w:val="20"/>
          <w:szCs w:val="20"/>
        </w:rPr>
      </w:pPr>
    </w:p>
    <w:p w:rsidR="000634E0" w:rsidRPr="00964530" w:rsidRDefault="000634E0" w:rsidP="002974C5">
      <w:pPr>
        <w:pStyle w:val="Ttulo3"/>
        <w:numPr>
          <w:ilvl w:val="1"/>
          <w:numId w:val="18"/>
        </w:numPr>
        <w:spacing w:after="240"/>
        <w:rPr>
          <w:sz w:val="20"/>
          <w:szCs w:val="20"/>
        </w:rPr>
      </w:pPr>
      <w:bookmarkStart w:id="31" w:name="_Toc485995147"/>
      <w:r w:rsidRPr="00964530">
        <w:rPr>
          <w:sz w:val="20"/>
          <w:szCs w:val="20"/>
        </w:rPr>
        <w:lastRenderedPageBreak/>
        <w:t xml:space="preserve">Mejora de los </w:t>
      </w:r>
      <w:r w:rsidR="002876B9" w:rsidRPr="00964530">
        <w:rPr>
          <w:sz w:val="20"/>
          <w:szCs w:val="20"/>
        </w:rPr>
        <w:t xml:space="preserve">procesos y sistemas administrativos, financieros y técnicos municipales </w:t>
      </w:r>
      <w:r w:rsidR="00EE56E5" w:rsidRPr="00964530">
        <w:rPr>
          <w:sz w:val="20"/>
          <w:szCs w:val="20"/>
        </w:rPr>
        <w:t xml:space="preserve">por medio del </w:t>
      </w:r>
      <w:r w:rsidRPr="00964530">
        <w:rPr>
          <w:sz w:val="20"/>
          <w:szCs w:val="20"/>
        </w:rPr>
        <w:t>P</w:t>
      </w:r>
      <w:r w:rsidR="00EE56E5" w:rsidRPr="00964530">
        <w:rPr>
          <w:sz w:val="20"/>
          <w:szCs w:val="20"/>
        </w:rPr>
        <w:t xml:space="preserve">rograma de </w:t>
      </w:r>
      <w:r w:rsidRPr="00964530">
        <w:rPr>
          <w:sz w:val="20"/>
          <w:szCs w:val="20"/>
        </w:rPr>
        <w:t>F</w:t>
      </w:r>
      <w:r w:rsidR="00EE56E5" w:rsidRPr="00964530">
        <w:rPr>
          <w:sz w:val="20"/>
          <w:szCs w:val="20"/>
        </w:rPr>
        <w:t xml:space="preserve">ortalecimiento de los </w:t>
      </w:r>
      <w:r w:rsidRPr="00964530">
        <w:rPr>
          <w:sz w:val="20"/>
          <w:szCs w:val="20"/>
        </w:rPr>
        <w:t>G</w:t>
      </w:r>
      <w:r w:rsidR="00EE56E5" w:rsidRPr="00964530">
        <w:rPr>
          <w:sz w:val="20"/>
          <w:szCs w:val="20"/>
        </w:rPr>
        <w:t xml:space="preserve">obiernos </w:t>
      </w:r>
      <w:r w:rsidRPr="00964530">
        <w:rPr>
          <w:sz w:val="20"/>
          <w:szCs w:val="20"/>
        </w:rPr>
        <w:t>L</w:t>
      </w:r>
      <w:r w:rsidR="00EE56E5" w:rsidRPr="00964530">
        <w:rPr>
          <w:sz w:val="20"/>
          <w:szCs w:val="20"/>
        </w:rPr>
        <w:t>ocales</w:t>
      </w:r>
      <w:bookmarkEnd w:id="31"/>
      <w:r w:rsidR="002876B9" w:rsidRPr="00964530">
        <w:rPr>
          <w:sz w:val="20"/>
          <w:szCs w:val="20"/>
        </w:rPr>
        <w:t xml:space="preserve"> - PFGL</w:t>
      </w:r>
    </w:p>
    <w:p w:rsidR="000634E0" w:rsidRPr="00964530" w:rsidRDefault="000634E0" w:rsidP="00964530">
      <w:pPr>
        <w:rPr>
          <w:sz w:val="20"/>
          <w:szCs w:val="20"/>
        </w:rPr>
      </w:pPr>
      <w:r w:rsidRPr="00964530">
        <w:rPr>
          <w:sz w:val="20"/>
          <w:szCs w:val="20"/>
        </w:rPr>
        <w:t xml:space="preserve">El FISDL a través del Proyecto de Fortalecimiento de Gobiernos Locales – PFGL, que diera inicio en 2010, </w:t>
      </w:r>
      <w:r w:rsidR="002876B9" w:rsidRPr="00964530">
        <w:rPr>
          <w:sz w:val="20"/>
          <w:szCs w:val="20"/>
        </w:rPr>
        <w:t>invirtió</w:t>
      </w:r>
      <w:r w:rsidRPr="00964530">
        <w:rPr>
          <w:sz w:val="20"/>
          <w:szCs w:val="20"/>
        </w:rPr>
        <w:t xml:space="preserve"> de junio 201</w:t>
      </w:r>
      <w:r w:rsidR="00ED38C9" w:rsidRPr="00964530">
        <w:rPr>
          <w:sz w:val="20"/>
          <w:szCs w:val="20"/>
        </w:rPr>
        <w:t>4</w:t>
      </w:r>
      <w:r w:rsidRPr="00964530">
        <w:rPr>
          <w:sz w:val="20"/>
          <w:szCs w:val="20"/>
        </w:rPr>
        <w:t xml:space="preserve"> a mayo 201</w:t>
      </w:r>
      <w:r w:rsidR="00ED38C9" w:rsidRPr="00964530">
        <w:rPr>
          <w:sz w:val="20"/>
          <w:szCs w:val="20"/>
        </w:rPr>
        <w:t>7</w:t>
      </w:r>
      <w:r w:rsidRPr="00964530">
        <w:rPr>
          <w:sz w:val="20"/>
          <w:szCs w:val="20"/>
        </w:rPr>
        <w:t xml:space="preserve"> USD$</w:t>
      </w:r>
      <w:r w:rsidR="008B2FA0" w:rsidRPr="00964530">
        <w:rPr>
          <w:sz w:val="20"/>
          <w:szCs w:val="20"/>
        </w:rPr>
        <w:t>14.23</w:t>
      </w:r>
      <w:r w:rsidRPr="00964530">
        <w:rPr>
          <w:sz w:val="20"/>
          <w:szCs w:val="20"/>
        </w:rPr>
        <w:t xml:space="preserve"> millones</w:t>
      </w:r>
      <w:r w:rsidR="008B2FA0" w:rsidRPr="00964530">
        <w:rPr>
          <w:sz w:val="20"/>
          <w:szCs w:val="20"/>
        </w:rPr>
        <w:t>, de los cuales USD$7.18 millones fueron ejecutados en el componente 1 (Infraestructura) y USD$7.04 millones en el Componente 2 (Asistencias Técnicas)</w:t>
      </w:r>
      <w:r w:rsidRPr="00964530">
        <w:rPr>
          <w:sz w:val="20"/>
          <w:szCs w:val="20"/>
        </w:rPr>
        <w:t>.</w:t>
      </w:r>
    </w:p>
    <w:p w:rsidR="000634E0" w:rsidRPr="00964530" w:rsidRDefault="000634E0" w:rsidP="00DA7B13">
      <w:pPr>
        <w:jc w:val="center"/>
        <w:rPr>
          <w:b/>
          <w:sz w:val="20"/>
          <w:szCs w:val="20"/>
        </w:rPr>
      </w:pPr>
      <w:r w:rsidRPr="00964530">
        <w:rPr>
          <w:b/>
          <w:sz w:val="20"/>
          <w:szCs w:val="20"/>
        </w:rPr>
        <w:t xml:space="preserve">Cuadro 4: Resultados </w:t>
      </w:r>
      <w:r w:rsidR="002876B9" w:rsidRPr="00964530">
        <w:rPr>
          <w:b/>
          <w:sz w:val="20"/>
          <w:szCs w:val="20"/>
        </w:rPr>
        <w:t>g</w:t>
      </w:r>
      <w:r w:rsidRPr="00964530">
        <w:rPr>
          <w:b/>
          <w:sz w:val="20"/>
          <w:szCs w:val="20"/>
        </w:rPr>
        <w:t>enerales del PFGL de junio 201</w:t>
      </w:r>
      <w:r w:rsidR="00ED38C9" w:rsidRPr="00964530">
        <w:rPr>
          <w:b/>
          <w:sz w:val="20"/>
          <w:szCs w:val="20"/>
        </w:rPr>
        <w:t>4</w:t>
      </w:r>
      <w:r w:rsidRPr="00964530">
        <w:rPr>
          <w:b/>
          <w:sz w:val="20"/>
          <w:szCs w:val="20"/>
        </w:rPr>
        <w:t xml:space="preserve"> a mayo 201</w:t>
      </w:r>
      <w:r w:rsidR="00ED38C9" w:rsidRPr="00964530">
        <w:rPr>
          <w:b/>
          <w:sz w:val="20"/>
          <w:szCs w:val="20"/>
        </w:rPr>
        <w:t>7</w:t>
      </w:r>
    </w:p>
    <w:tbl>
      <w:tblPr>
        <w:tblStyle w:val="Listaclara-nfasis1"/>
        <w:tblW w:w="0" w:type="auto"/>
        <w:jc w:val="center"/>
        <w:tblLayout w:type="fixed"/>
        <w:tblLook w:val="0460" w:firstRow="1" w:lastRow="1" w:firstColumn="0" w:lastColumn="0" w:noHBand="0" w:noVBand="1"/>
      </w:tblPr>
      <w:tblGrid>
        <w:gridCol w:w="2802"/>
        <w:gridCol w:w="2693"/>
        <w:gridCol w:w="2410"/>
        <w:gridCol w:w="1943"/>
      </w:tblGrid>
      <w:tr w:rsidR="008B2FA0" w:rsidRPr="00964530" w:rsidTr="008B2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Tipología de Proyecto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Cantidad de Proyectos ejecutados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Cantidad de Beneficiarios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Cantidad de Municipios Atendidos</w:t>
            </w:r>
          </w:p>
        </w:tc>
      </w:tr>
      <w:tr w:rsidR="008B2FA0" w:rsidRPr="00964530" w:rsidTr="008B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8B2FA0" w:rsidP="008B2FA0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Agua Potable y Saneamiento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2,608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8B2FA0" w:rsidRPr="00964530" w:rsidTr="008B2FA0">
        <w:trPr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2876B9" w:rsidP="002876B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Asistencia técnica - C2 PFGL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2,322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población de los 251 municipios atendidos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251</w:t>
            </w:r>
          </w:p>
        </w:tc>
      </w:tr>
      <w:tr w:rsidR="008B2FA0" w:rsidRPr="00964530" w:rsidTr="008B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8B2FA0" w:rsidP="008B2FA0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Caminos y Puentes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186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420,307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139</w:t>
            </w:r>
          </w:p>
        </w:tc>
      </w:tr>
      <w:tr w:rsidR="008B2FA0" w:rsidRPr="00964530" w:rsidTr="008B2FA0">
        <w:trPr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8B2FA0" w:rsidP="008B2FA0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Educación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2,825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8B2FA0" w:rsidRPr="00964530" w:rsidTr="008B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8B2FA0" w:rsidP="008B2FA0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Electrificación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65,157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22</w:t>
            </w:r>
          </w:p>
        </w:tc>
      </w:tr>
      <w:tr w:rsidR="008B2FA0" w:rsidRPr="00964530" w:rsidTr="008B2FA0">
        <w:trPr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8B2FA0" w:rsidP="008B2FA0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Estudios de Pre Factibilidad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8B2FA0" w:rsidRPr="00964530" w:rsidTr="008B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802" w:type="dxa"/>
            <w:noWrap/>
            <w:vAlign w:val="center"/>
            <w:hideMark/>
          </w:tcPr>
          <w:p w:rsidR="008B2FA0" w:rsidRPr="00964530" w:rsidRDefault="002876B9" w:rsidP="008B2FA0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Desarrollo comunal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180,320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17</w:t>
            </w:r>
          </w:p>
        </w:tc>
      </w:tr>
      <w:tr w:rsidR="008B2FA0" w:rsidRPr="00964530" w:rsidTr="008B2F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2802" w:type="dxa"/>
            <w:noWrap/>
            <w:hideMark/>
          </w:tcPr>
          <w:p w:rsidR="008B2FA0" w:rsidRPr="00964530" w:rsidRDefault="008B2FA0" w:rsidP="008B2FA0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Total general</w:t>
            </w:r>
          </w:p>
        </w:tc>
        <w:tc>
          <w:tcPr>
            <w:tcW w:w="269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2,573</w:t>
            </w:r>
          </w:p>
        </w:tc>
        <w:tc>
          <w:tcPr>
            <w:tcW w:w="2410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todo el país</w:t>
            </w:r>
          </w:p>
        </w:tc>
        <w:tc>
          <w:tcPr>
            <w:tcW w:w="1943" w:type="dxa"/>
            <w:noWrap/>
            <w:vAlign w:val="center"/>
            <w:hideMark/>
          </w:tcPr>
          <w:p w:rsidR="008B2FA0" w:rsidRPr="00964530" w:rsidRDefault="008B2FA0" w:rsidP="008B2FA0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96453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262</w:t>
            </w:r>
          </w:p>
        </w:tc>
      </w:tr>
    </w:tbl>
    <w:p w:rsidR="000634E0" w:rsidRPr="00964530" w:rsidRDefault="000634E0" w:rsidP="0000294A">
      <w:pPr>
        <w:pStyle w:val="Ttulo1"/>
        <w:rPr>
          <w:sz w:val="32"/>
        </w:rPr>
      </w:pPr>
      <w:bookmarkStart w:id="32" w:name="_Toc485995148"/>
      <w:r w:rsidRPr="00964530">
        <w:rPr>
          <w:sz w:val="32"/>
        </w:rPr>
        <w:t>Ejecución Presupuest</w:t>
      </w:r>
      <w:r w:rsidR="00EE56E5" w:rsidRPr="00964530">
        <w:rPr>
          <w:sz w:val="32"/>
        </w:rPr>
        <w:t>aria</w:t>
      </w:r>
      <w:r w:rsidRPr="00964530">
        <w:rPr>
          <w:sz w:val="32"/>
        </w:rPr>
        <w:t xml:space="preserve"> FISDL y FINET 201</w:t>
      </w:r>
      <w:r w:rsidR="00ED38C9" w:rsidRPr="00964530">
        <w:rPr>
          <w:sz w:val="32"/>
        </w:rPr>
        <w:t>4 a 2017</w:t>
      </w:r>
      <w:r w:rsidR="00EE56E5" w:rsidRPr="00964530">
        <w:rPr>
          <w:sz w:val="32"/>
        </w:rPr>
        <w:t xml:space="preserve"> (</w:t>
      </w:r>
      <w:r w:rsidR="0071174F" w:rsidRPr="00964530">
        <w:rPr>
          <w:sz w:val="32"/>
        </w:rPr>
        <w:t>Período</w:t>
      </w:r>
      <w:r w:rsidR="00ED38C9" w:rsidRPr="00964530">
        <w:rPr>
          <w:sz w:val="32"/>
        </w:rPr>
        <w:t>s</w:t>
      </w:r>
      <w:r w:rsidR="00EE56E5" w:rsidRPr="00964530">
        <w:rPr>
          <w:sz w:val="32"/>
        </w:rPr>
        <w:t xml:space="preserve"> </w:t>
      </w:r>
      <w:r w:rsidR="00964530">
        <w:rPr>
          <w:sz w:val="32"/>
        </w:rPr>
        <w:t>f</w:t>
      </w:r>
      <w:r w:rsidR="00EE56E5" w:rsidRPr="00964530">
        <w:rPr>
          <w:sz w:val="32"/>
        </w:rPr>
        <w:t>iscal</w:t>
      </w:r>
      <w:r w:rsidR="00ED38C9" w:rsidRPr="00964530">
        <w:rPr>
          <w:sz w:val="32"/>
        </w:rPr>
        <w:t>es</w:t>
      </w:r>
      <w:r w:rsidR="00EE56E5" w:rsidRPr="00964530">
        <w:rPr>
          <w:sz w:val="32"/>
        </w:rPr>
        <w:t>)</w:t>
      </w:r>
      <w:bookmarkEnd w:id="32"/>
    </w:p>
    <w:p w:rsidR="00CD0F03" w:rsidRPr="00964530" w:rsidRDefault="00964530" w:rsidP="00964530">
      <w:pPr>
        <w:jc w:val="center"/>
        <w:rPr>
          <w:b/>
          <w:sz w:val="20"/>
          <w:szCs w:val="20"/>
        </w:rPr>
      </w:pPr>
      <w:bookmarkStart w:id="33" w:name="_Toc485995149"/>
      <w:r w:rsidRPr="00964530">
        <w:rPr>
          <w:b/>
          <w:sz w:val="20"/>
          <w:szCs w:val="20"/>
        </w:rPr>
        <w:t>Cuadro 5: Ejecución Presupuestarias del FISDL (millones de USD$)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1554"/>
        <w:gridCol w:w="1101"/>
        <w:gridCol w:w="892"/>
        <w:gridCol w:w="695"/>
      </w:tblGrid>
      <w:tr w:rsidR="00964530" w:rsidRPr="00964530" w:rsidTr="0096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jc w:val="center"/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Año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jc w:val="center"/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Presupuesto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jc w:val="center"/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Ejecución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jc w:val="center"/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Saldo</w:t>
            </w:r>
          </w:p>
        </w:tc>
      </w:tr>
      <w:tr w:rsidR="00964530" w:rsidRPr="00964530" w:rsidTr="0096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2014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$119.33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$88.71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$30.62</w:t>
            </w:r>
          </w:p>
        </w:tc>
      </w:tr>
      <w:tr w:rsidR="00964530" w:rsidRPr="00964530" w:rsidTr="00964530">
        <w:trPr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2015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$107.38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$84.56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$22.82</w:t>
            </w:r>
          </w:p>
        </w:tc>
      </w:tr>
      <w:tr w:rsidR="00964530" w:rsidRPr="00964530" w:rsidTr="0096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2016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$80.73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$70.98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$9.74</w:t>
            </w:r>
          </w:p>
        </w:tc>
      </w:tr>
      <w:tr w:rsidR="00964530" w:rsidRPr="00964530" w:rsidTr="00964530">
        <w:trPr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Enero a mayo 2017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$23.52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$4.72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bCs/>
                <w:spacing w:val="5"/>
                <w:kern w:val="28"/>
                <w:sz w:val="16"/>
                <w:szCs w:val="16"/>
              </w:rPr>
              <w:t>$18.81</w:t>
            </w:r>
          </w:p>
        </w:tc>
      </w:tr>
      <w:tr w:rsidR="00964530" w:rsidRPr="00964530" w:rsidTr="009645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Total General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$330.96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$248.97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</w:pPr>
            <w:r w:rsidRPr="00964530">
              <w:rPr>
                <w:rFonts w:eastAsiaTheme="majorEastAsia" w:cstheme="majorBidi"/>
                <w:spacing w:val="5"/>
                <w:kern w:val="28"/>
                <w:sz w:val="16"/>
                <w:szCs w:val="16"/>
              </w:rPr>
              <w:t>$81.99</w:t>
            </w:r>
          </w:p>
        </w:tc>
      </w:tr>
    </w:tbl>
    <w:p w:rsidR="00964530" w:rsidRPr="00964530" w:rsidRDefault="00964530" w:rsidP="00964530">
      <w:pPr>
        <w:jc w:val="center"/>
        <w:rPr>
          <w:b/>
          <w:sz w:val="20"/>
          <w:szCs w:val="20"/>
        </w:rPr>
      </w:pPr>
      <w:r w:rsidRPr="00964530">
        <w:rPr>
          <w:b/>
          <w:sz w:val="20"/>
          <w:szCs w:val="20"/>
        </w:rPr>
        <w:t xml:space="preserve">Cuadro </w:t>
      </w:r>
      <w:r>
        <w:rPr>
          <w:b/>
          <w:sz w:val="20"/>
          <w:szCs w:val="20"/>
        </w:rPr>
        <w:t>6</w:t>
      </w:r>
      <w:r w:rsidRPr="0096453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Ejecución Presupuestarias del </w:t>
      </w:r>
      <w:r w:rsidRPr="00964530">
        <w:rPr>
          <w:b/>
          <w:sz w:val="20"/>
          <w:szCs w:val="20"/>
        </w:rPr>
        <w:t>FINET</w:t>
      </w:r>
      <w:r>
        <w:rPr>
          <w:b/>
          <w:sz w:val="20"/>
          <w:szCs w:val="20"/>
        </w:rPr>
        <w:t xml:space="preserve"> </w:t>
      </w:r>
      <w:r w:rsidRPr="00964530">
        <w:rPr>
          <w:b/>
          <w:sz w:val="20"/>
          <w:szCs w:val="20"/>
        </w:rPr>
        <w:t>(millones de USD$)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1469"/>
        <w:gridCol w:w="1046"/>
        <w:gridCol w:w="847"/>
        <w:gridCol w:w="665"/>
      </w:tblGrid>
      <w:tr w:rsidR="00964530" w:rsidRPr="00964530" w:rsidTr="0096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jc w:val="center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Año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jc w:val="center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Presupuesto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jc w:val="center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Ejecución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jc w:val="center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Saldo</w:t>
            </w:r>
          </w:p>
        </w:tc>
      </w:tr>
      <w:tr w:rsidR="00964530" w:rsidRPr="00964530" w:rsidTr="0096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2014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$179.39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$178.43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$0.96</w:t>
            </w:r>
          </w:p>
        </w:tc>
      </w:tr>
      <w:tr w:rsidR="00964530" w:rsidRPr="00964530" w:rsidTr="00964530">
        <w:trPr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2015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$174.86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$131.79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$43.08</w:t>
            </w:r>
          </w:p>
        </w:tc>
      </w:tr>
      <w:tr w:rsidR="00964530" w:rsidRPr="00964530" w:rsidTr="0096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$93.17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$91.18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$1.98</w:t>
            </w:r>
          </w:p>
        </w:tc>
      </w:tr>
      <w:tr w:rsidR="00964530" w:rsidRPr="00964530" w:rsidTr="00964530">
        <w:trPr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Enero a mayo 2017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$22.85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$0.02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$22.82</w:t>
            </w:r>
          </w:p>
        </w:tc>
      </w:tr>
      <w:tr w:rsidR="00964530" w:rsidRPr="00964530" w:rsidTr="009645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Total General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$470.27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$401.42</w:t>
            </w:r>
          </w:p>
        </w:tc>
        <w:tc>
          <w:tcPr>
            <w:tcW w:w="0" w:type="auto"/>
            <w:hideMark/>
          </w:tcPr>
          <w:p w:rsidR="00252726" w:rsidRPr="00964530" w:rsidRDefault="0096453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$68.84</w:t>
            </w:r>
          </w:p>
        </w:tc>
      </w:tr>
    </w:tbl>
    <w:p w:rsidR="000634E0" w:rsidRPr="00964530" w:rsidRDefault="000634E0" w:rsidP="0000294A">
      <w:pPr>
        <w:pStyle w:val="Ttulo1"/>
        <w:rPr>
          <w:sz w:val="32"/>
        </w:rPr>
      </w:pPr>
      <w:r w:rsidRPr="00964530">
        <w:rPr>
          <w:sz w:val="32"/>
        </w:rPr>
        <w:t>Problemas Enfrentados</w:t>
      </w:r>
      <w:bookmarkEnd w:id="33"/>
    </w:p>
    <w:p w:rsidR="0073447B" w:rsidRPr="00964530" w:rsidRDefault="000634E0" w:rsidP="00DA7B13">
      <w:pPr>
        <w:jc w:val="center"/>
        <w:rPr>
          <w:b/>
          <w:sz w:val="20"/>
        </w:rPr>
      </w:pPr>
      <w:r w:rsidRPr="00964530">
        <w:rPr>
          <w:b/>
          <w:sz w:val="20"/>
        </w:rPr>
        <w:t>Cuadro</w:t>
      </w:r>
      <w:r w:rsidR="00964530">
        <w:rPr>
          <w:b/>
          <w:sz w:val="20"/>
        </w:rPr>
        <w:t xml:space="preserve"> 7</w:t>
      </w:r>
      <w:r w:rsidRPr="00964530">
        <w:rPr>
          <w:b/>
          <w:sz w:val="20"/>
        </w:rPr>
        <w:t xml:space="preserve">: Problemas </w:t>
      </w:r>
      <w:r w:rsidR="0073447B" w:rsidRPr="00964530">
        <w:rPr>
          <w:b/>
          <w:sz w:val="20"/>
        </w:rPr>
        <w:t>enfrentados</w:t>
      </w:r>
    </w:p>
    <w:tbl>
      <w:tblPr>
        <w:tblStyle w:val="Listaclara-nfasis1"/>
        <w:tblW w:w="0" w:type="auto"/>
        <w:jc w:val="center"/>
        <w:tblLook w:val="0420" w:firstRow="1" w:lastRow="0" w:firstColumn="0" w:lastColumn="0" w:noHBand="0" w:noVBand="1"/>
      </w:tblPr>
      <w:tblGrid>
        <w:gridCol w:w="3161"/>
        <w:gridCol w:w="6611"/>
      </w:tblGrid>
      <w:tr w:rsidR="00CD0F03" w:rsidRPr="00964530" w:rsidTr="00284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161" w:type="dxa"/>
          </w:tcPr>
          <w:p w:rsidR="00701E1D" w:rsidRPr="00964530" w:rsidRDefault="00701E1D" w:rsidP="00964530">
            <w:pPr>
              <w:pStyle w:val="Sinespaciado"/>
              <w:jc w:val="center"/>
              <w:rPr>
                <w:b w:val="0"/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Problema</w:t>
            </w:r>
          </w:p>
        </w:tc>
        <w:tc>
          <w:tcPr>
            <w:tcW w:w="6611" w:type="dxa"/>
          </w:tcPr>
          <w:p w:rsidR="00701E1D" w:rsidRPr="00964530" w:rsidRDefault="008C7275" w:rsidP="00964530">
            <w:pPr>
              <w:pStyle w:val="Sinespaciado"/>
              <w:jc w:val="center"/>
              <w:rPr>
                <w:b w:val="0"/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Situación que genera</w:t>
            </w:r>
          </w:p>
        </w:tc>
      </w:tr>
      <w:tr w:rsidR="00701E1D" w:rsidRPr="00964530" w:rsidTr="00284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161" w:type="dxa"/>
          </w:tcPr>
          <w:p w:rsidR="00701E1D" w:rsidRPr="00964530" w:rsidRDefault="00CE362C" w:rsidP="00964530">
            <w:pPr>
              <w:pStyle w:val="Sinespaciado"/>
              <w:rPr>
                <w:b/>
                <w:sz w:val="16"/>
                <w:szCs w:val="16"/>
                <w:highlight w:val="yellow"/>
              </w:rPr>
            </w:pPr>
            <w:r w:rsidRPr="00964530">
              <w:rPr>
                <w:b/>
                <w:sz w:val="16"/>
                <w:szCs w:val="16"/>
              </w:rPr>
              <w:t xml:space="preserve">DEMORA EN LA TRANSFERENCIA DE FONDOS </w:t>
            </w:r>
            <w:r w:rsidR="004928C2" w:rsidRPr="00964530">
              <w:rPr>
                <w:b/>
                <w:sz w:val="16"/>
                <w:szCs w:val="16"/>
              </w:rPr>
              <w:t xml:space="preserve">POR PARTE DEL </w:t>
            </w:r>
            <w:r w:rsidRPr="00964530">
              <w:rPr>
                <w:b/>
                <w:sz w:val="16"/>
                <w:szCs w:val="16"/>
              </w:rPr>
              <w:t>MINISTERIO DE HACIENDA PARA EL PAGO DE TRANSFERENCIAS MONETARIAS CONDICIONADAS Y NO CONDICIONADAS</w:t>
            </w:r>
          </w:p>
        </w:tc>
        <w:tc>
          <w:tcPr>
            <w:tcW w:w="6611" w:type="dxa"/>
          </w:tcPr>
          <w:p w:rsidR="00CE362C" w:rsidRPr="00964530" w:rsidRDefault="001F0AE5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Atraso en los pagos de transferencias monetarias condicionadas y no condicionadas a las personas participantes</w:t>
            </w:r>
            <w:r w:rsidR="00CE362C" w:rsidRPr="00964530">
              <w:rPr>
                <w:sz w:val="16"/>
                <w:szCs w:val="16"/>
              </w:rPr>
              <w:t>.</w:t>
            </w:r>
          </w:p>
          <w:p w:rsidR="00701E1D" w:rsidRPr="00964530" w:rsidRDefault="001F0AE5" w:rsidP="00964530">
            <w:pPr>
              <w:pStyle w:val="Sinespaciado"/>
              <w:rPr>
                <w:sz w:val="16"/>
                <w:szCs w:val="16"/>
                <w:lang w:val="es-MX"/>
              </w:rPr>
            </w:pPr>
            <w:r w:rsidRPr="00964530">
              <w:rPr>
                <w:sz w:val="16"/>
                <w:szCs w:val="16"/>
              </w:rPr>
              <w:t>Riesgo de no cumplir las metas institucionales</w:t>
            </w:r>
            <w:r w:rsidR="00CE362C" w:rsidRPr="00964530">
              <w:rPr>
                <w:sz w:val="16"/>
                <w:szCs w:val="16"/>
              </w:rPr>
              <w:t>.</w:t>
            </w:r>
          </w:p>
        </w:tc>
      </w:tr>
      <w:tr w:rsidR="00701E1D" w:rsidRPr="00964530" w:rsidTr="00284B80">
        <w:trPr>
          <w:jc w:val="center"/>
        </w:trPr>
        <w:tc>
          <w:tcPr>
            <w:tcW w:w="3161" w:type="dxa"/>
          </w:tcPr>
          <w:p w:rsidR="00701E1D" w:rsidRPr="00964530" w:rsidRDefault="00701E1D" w:rsidP="00964530">
            <w:pPr>
              <w:pStyle w:val="Sinespaciado"/>
              <w:rPr>
                <w:b/>
                <w:sz w:val="16"/>
                <w:szCs w:val="16"/>
              </w:rPr>
            </w:pPr>
            <w:r w:rsidRPr="00964530">
              <w:rPr>
                <w:b/>
                <w:sz w:val="16"/>
                <w:szCs w:val="16"/>
              </w:rPr>
              <w:t>INSEGURIDAD</w:t>
            </w:r>
            <w:r w:rsidR="00AF6257" w:rsidRPr="00964530">
              <w:rPr>
                <w:b/>
                <w:sz w:val="16"/>
                <w:szCs w:val="16"/>
              </w:rPr>
              <w:t xml:space="preserve"> EN LAS ÁREAS DE EJECUCIÓN DE PROYECTOS</w:t>
            </w:r>
          </w:p>
        </w:tc>
        <w:tc>
          <w:tcPr>
            <w:tcW w:w="6611" w:type="dxa"/>
          </w:tcPr>
          <w:p w:rsidR="00701E1D" w:rsidRPr="008C615F" w:rsidRDefault="00A04318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 xml:space="preserve">A pesar de los problemas de inseguridad en las zonas donde se ejecutan las obras, se </w:t>
            </w:r>
            <w:r w:rsidR="004928C2" w:rsidRPr="00964530">
              <w:rPr>
                <w:sz w:val="16"/>
                <w:szCs w:val="16"/>
              </w:rPr>
              <w:t xml:space="preserve">hacen </w:t>
            </w:r>
            <w:r w:rsidRPr="00964530">
              <w:rPr>
                <w:sz w:val="16"/>
                <w:szCs w:val="16"/>
              </w:rPr>
              <w:t>esfuerzos para lograr que los proyectos se terminen y liquiden en</w:t>
            </w:r>
            <w:r w:rsidR="005B741C" w:rsidRPr="00964530">
              <w:rPr>
                <w:sz w:val="16"/>
                <w:szCs w:val="16"/>
              </w:rPr>
              <w:t xml:space="preserve"> el presente ejercicio fiscal. </w:t>
            </w:r>
            <w:r w:rsidRPr="00964530">
              <w:rPr>
                <w:sz w:val="16"/>
                <w:szCs w:val="16"/>
              </w:rPr>
              <w:t xml:space="preserve"> </w:t>
            </w:r>
          </w:p>
        </w:tc>
      </w:tr>
      <w:tr w:rsidR="000728E7" w:rsidRPr="00964530" w:rsidTr="00284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161" w:type="dxa"/>
          </w:tcPr>
          <w:p w:rsidR="000728E7" w:rsidRPr="00964530" w:rsidRDefault="000728E7" w:rsidP="00964530">
            <w:pPr>
              <w:pStyle w:val="Sinespaciado"/>
              <w:rPr>
                <w:b/>
                <w:sz w:val="16"/>
                <w:szCs w:val="16"/>
              </w:rPr>
            </w:pPr>
            <w:r w:rsidRPr="00964530">
              <w:rPr>
                <w:b/>
                <w:sz w:val="16"/>
                <w:szCs w:val="16"/>
              </w:rPr>
              <w:t>FALTA DE DILIGENCIA DE LAS MUNICIPALIDADES PARA LIQUIDAR LOS FONDOS TRANSFERIDOS A ELLAS.</w:t>
            </w:r>
          </w:p>
        </w:tc>
        <w:tc>
          <w:tcPr>
            <w:tcW w:w="6611" w:type="dxa"/>
          </w:tcPr>
          <w:p w:rsidR="000728E7" w:rsidRPr="00964530" w:rsidRDefault="000728E7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Retraso en los procesos de liquidación de fondos a cooperantes y Ministerio de Hacienda.</w:t>
            </w:r>
          </w:p>
        </w:tc>
      </w:tr>
      <w:tr w:rsidR="001F0AE5" w:rsidRPr="00964530" w:rsidTr="00284B80">
        <w:trPr>
          <w:jc w:val="center"/>
        </w:trPr>
        <w:tc>
          <w:tcPr>
            <w:tcW w:w="3161" w:type="dxa"/>
          </w:tcPr>
          <w:p w:rsidR="001F0AE5" w:rsidRPr="00964530" w:rsidRDefault="001F0AE5" w:rsidP="00964530">
            <w:pPr>
              <w:pStyle w:val="Sinespaciado"/>
              <w:rPr>
                <w:b/>
                <w:sz w:val="16"/>
                <w:szCs w:val="16"/>
              </w:rPr>
            </w:pPr>
            <w:r w:rsidRPr="00964530">
              <w:rPr>
                <w:b/>
                <w:sz w:val="16"/>
                <w:szCs w:val="16"/>
              </w:rPr>
              <w:lastRenderedPageBreak/>
              <w:t>LIMITADA COORDINACIÓN CON LAS INSTITUCIONES EN EL TERRITORIO.</w:t>
            </w:r>
          </w:p>
        </w:tc>
        <w:tc>
          <w:tcPr>
            <w:tcW w:w="6611" w:type="dxa"/>
          </w:tcPr>
          <w:p w:rsidR="001F0AE5" w:rsidRPr="00964530" w:rsidRDefault="001F0AE5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 xml:space="preserve">Se han  desarrollado esfuerzos a nivel central, así como en el territorio, para lograr unificar esfuerzos en algunos municipios. </w:t>
            </w:r>
          </w:p>
          <w:p w:rsidR="001F0AE5" w:rsidRPr="00964530" w:rsidRDefault="001F0AE5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>Existe contraposición de enfoques de trabajo a nivel local que genera confusión en las personas participantes, ya que algunas instituciones privilegian el asistencialismo en detrimento a los  procesos de autogestión que se quieren desarrollar a nivel personal, familiar y comunitario.</w:t>
            </w:r>
          </w:p>
        </w:tc>
      </w:tr>
      <w:tr w:rsidR="001F0AE5" w:rsidRPr="00964530" w:rsidTr="00284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161" w:type="dxa"/>
          </w:tcPr>
          <w:p w:rsidR="001F0AE5" w:rsidRPr="00964530" w:rsidRDefault="001F0AE5" w:rsidP="00964530">
            <w:pPr>
              <w:pStyle w:val="Sinespaciado"/>
              <w:rPr>
                <w:b/>
                <w:sz w:val="16"/>
                <w:szCs w:val="16"/>
              </w:rPr>
            </w:pPr>
            <w:r w:rsidRPr="00964530">
              <w:rPr>
                <w:b/>
                <w:sz w:val="16"/>
                <w:szCs w:val="16"/>
              </w:rPr>
              <w:t>COYUNTURA ELECTORAL</w:t>
            </w:r>
          </w:p>
        </w:tc>
        <w:tc>
          <w:tcPr>
            <w:tcW w:w="6611" w:type="dxa"/>
          </w:tcPr>
          <w:p w:rsidR="001F0AE5" w:rsidRPr="00964530" w:rsidRDefault="00284B80" w:rsidP="00964530">
            <w:pPr>
              <w:pStyle w:val="Sinespaciado"/>
              <w:rPr>
                <w:sz w:val="16"/>
                <w:szCs w:val="16"/>
              </w:rPr>
            </w:pPr>
            <w:r w:rsidRPr="00964530">
              <w:rPr>
                <w:sz w:val="16"/>
                <w:szCs w:val="16"/>
              </w:rPr>
              <w:t xml:space="preserve">Se han desarrollado acciones de sensibilización y toma de conciencia con los promotores y personal de las municipalidades para que los </w:t>
            </w:r>
            <w:proofErr w:type="gramStart"/>
            <w:r w:rsidRPr="00964530">
              <w:rPr>
                <w:sz w:val="16"/>
                <w:szCs w:val="16"/>
              </w:rPr>
              <w:t>programas</w:t>
            </w:r>
            <w:proofErr w:type="gramEnd"/>
            <w:r w:rsidRPr="00964530">
              <w:rPr>
                <w:sz w:val="16"/>
                <w:szCs w:val="16"/>
              </w:rPr>
              <w:t xml:space="preserve"> sociales que ejecuta el FISDL no sean utilizados para fines electorales.</w:t>
            </w:r>
          </w:p>
        </w:tc>
      </w:tr>
    </w:tbl>
    <w:p w:rsidR="00EC79CB" w:rsidRPr="00964530" w:rsidRDefault="00EC79CB">
      <w:pPr>
        <w:rPr>
          <w:sz w:val="10"/>
          <w:szCs w:val="10"/>
          <w:highlight w:val="magenta"/>
        </w:rPr>
      </w:pPr>
    </w:p>
    <w:p w:rsidR="000634E0" w:rsidRPr="00964530" w:rsidRDefault="000634E0" w:rsidP="00964530">
      <w:pPr>
        <w:pStyle w:val="Ttulo1"/>
        <w:rPr>
          <w:sz w:val="32"/>
        </w:rPr>
      </w:pPr>
      <w:bookmarkStart w:id="34" w:name="_Toc485995150"/>
      <w:r w:rsidRPr="00964530">
        <w:rPr>
          <w:sz w:val="32"/>
        </w:rPr>
        <w:t xml:space="preserve">Proyecciones </w:t>
      </w:r>
      <w:r w:rsidR="007F7379" w:rsidRPr="00964530">
        <w:rPr>
          <w:sz w:val="32"/>
        </w:rPr>
        <w:t>para el período</w:t>
      </w:r>
      <w:r w:rsidRPr="00964530">
        <w:rPr>
          <w:sz w:val="32"/>
        </w:rPr>
        <w:t xml:space="preserve"> </w:t>
      </w:r>
      <w:r w:rsidR="007F7379" w:rsidRPr="00964530">
        <w:rPr>
          <w:sz w:val="32"/>
        </w:rPr>
        <w:t>J</w:t>
      </w:r>
      <w:r w:rsidRPr="00964530">
        <w:rPr>
          <w:sz w:val="32"/>
        </w:rPr>
        <w:t>unio</w:t>
      </w:r>
      <w:r w:rsidR="007F7379" w:rsidRPr="00964530">
        <w:rPr>
          <w:sz w:val="32"/>
        </w:rPr>
        <w:t>-D</w:t>
      </w:r>
      <w:r w:rsidRPr="00964530">
        <w:rPr>
          <w:sz w:val="32"/>
        </w:rPr>
        <w:t>iciembre 201</w:t>
      </w:r>
      <w:r w:rsidR="00ED38C9" w:rsidRPr="00964530">
        <w:rPr>
          <w:sz w:val="32"/>
        </w:rPr>
        <w:t>7</w:t>
      </w:r>
      <w:bookmarkEnd w:id="34"/>
      <w:r w:rsidRPr="00964530">
        <w:rPr>
          <w:sz w:val="32"/>
        </w:rPr>
        <w:t xml:space="preserve"> </w:t>
      </w:r>
    </w:p>
    <w:p w:rsidR="000634E0" w:rsidRPr="00964530" w:rsidRDefault="007F7379" w:rsidP="007F7379">
      <w:pPr>
        <w:spacing w:after="120"/>
        <w:rPr>
          <w:sz w:val="20"/>
        </w:rPr>
      </w:pPr>
      <w:r w:rsidRPr="00964530">
        <w:rPr>
          <w:sz w:val="20"/>
        </w:rPr>
        <w:t>En los siguientes meses del año 201</w:t>
      </w:r>
      <w:r w:rsidR="00ED38C9" w:rsidRPr="00964530">
        <w:rPr>
          <w:sz w:val="20"/>
        </w:rPr>
        <w:t>7</w:t>
      </w:r>
      <w:r w:rsidR="000634E0" w:rsidRPr="00964530">
        <w:rPr>
          <w:sz w:val="20"/>
        </w:rPr>
        <w:t xml:space="preserve">, el FISDL tiene proyectado ejecutar </w:t>
      </w:r>
      <w:r w:rsidR="000634E0" w:rsidRPr="00964530">
        <w:rPr>
          <w:b/>
          <w:sz w:val="20"/>
        </w:rPr>
        <w:t>USD$</w:t>
      </w:r>
      <w:r w:rsidR="00686A29" w:rsidRPr="00964530">
        <w:rPr>
          <w:b/>
          <w:sz w:val="20"/>
        </w:rPr>
        <w:t>54.22</w:t>
      </w:r>
      <w:r w:rsidR="000634E0" w:rsidRPr="00964530">
        <w:rPr>
          <w:b/>
          <w:sz w:val="20"/>
        </w:rPr>
        <w:t xml:space="preserve"> millones</w:t>
      </w:r>
      <w:r w:rsidR="000634E0" w:rsidRPr="00964530">
        <w:rPr>
          <w:sz w:val="20"/>
        </w:rPr>
        <w:t>, desglosados así:</w:t>
      </w:r>
    </w:p>
    <w:p w:rsidR="000634E0" w:rsidRPr="00DA7B13" w:rsidRDefault="000634E0" w:rsidP="00DA7B13">
      <w:pPr>
        <w:jc w:val="center"/>
        <w:rPr>
          <w:b/>
        </w:rPr>
      </w:pPr>
      <w:r w:rsidRPr="00964530">
        <w:rPr>
          <w:b/>
          <w:sz w:val="20"/>
        </w:rPr>
        <w:t xml:space="preserve">Cuadro </w:t>
      </w:r>
      <w:r w:rsidR="00964530">
        <w:rPr>
          <w:b/>
          <w:sz w:val="20"/>
        </w:rPr>
        <w:t>8</w:t>
      </w:r>
      <w:r w:rsidRPr="00964530">
        <w:rPr>
          <w:b/>
          <w:sz w:val="20"/>
        </w:rPr>
        <w:t>: Proyección por Tipología de Proyectos (USD$)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2796"/>
        <w:gridCol w:w="2791"/>
      </w:tblGrid>
      <w:tr w:rsidR="00686A29" w:rsidRPr="008C615F" w:rsidTr="00686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Tipología de Proyecto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sz w:val="16"/>
                <w:szCs w:val="16"/>
                <w:lang w:eastAsia="es-SV"/>
              </w:rPr>
              <w:t>Programado junio a diciembre de 2017</w:t>
            </w:r>
          </w:p>
        </w:tc>
      </w:tr>
      <w:tr w:rsidR="00686A29" w:rsidRPr="008C615F" w:rsidTr="00686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Transferencias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$25,434,790.18</w:t>
            </w:r>
          </w:p>
        </w:tc>
      </w:tr>
      <w:tr w:rsidR="00686A29" w:rsidRPr="008C615F" w:rsidTr="00686A29">
        <w:trPr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Agua Potable y Saneamiento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$7,034,641.19</w:t>
            </w:r>
          </w:p>
        </w:tc>
      </w:tr>
      <w:tr w:rsidR="00686A29" w:rsidRPr="008C615F" w:rsidTr="00686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Infraestructura para el Desarrollo Social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$6,997,483.36</w:t>
            </w:r>
          </w:p>
        </w:tc>
      </w:tr>
      <w:tr w:rsidR="00686A29" w:rsidRPr="008C615F" w:rsidTr="00686A29">
        <w:trPr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Gastos Asociados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$4,407,341.97</w:t>
            </w:r>
          </w:p>
        </w:tc>
      </w:tr>
      <w:tr w:rsidR="00686A29" w:rsidRPr="008C615F" w:rsidTr="00686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Gestión Territorial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$3,364,815.00</w:t>
            </w:r>
          </w:p>
        </w:tc>
      </w:tr>
      <w:tr w:rsidR="00686A29" w:rsidRPr="008C615F" w:rsidTr="00686A29">
        <w:trPr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Asistencia Técnica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$2,605,980.00</w:t>
            </w:r>
          </w:p>
        </w:tc>
      </w:tr>
      <w:tr w:rsidR="00686A29" w:rsidRPr="008C615F" w:rsidTr="00686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Caminos y Puentes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$1,822,537.18</w:t>
            </w:r>
          </w:p>
        </w:tc>
      </w:tr>
      <w:tr w:rsidR="00686A29" w:rsidRPr="008C615F" w:rsidTr="00686A29">
        <w:trPr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Educación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$1,101,805.78</w:t>
            </w:r>
          </w:p>
        </w:tc>
      </w:tr>
      <w:tr w:rsidR="00686A29" w:rsidRPr="008C615F" w:rsidTr="00686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Electrificación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$772,909.09</w:t>
            </w:r>
          </w:p>
        </w:tc>
      </w:tr>
      <w:tr w:rsidR="00686A29" w:rsidRPr="008C615F" w:rsidTr="00686A29">
        <w:trPr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Infraestructura Productiva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$307,656.20</w:t>
            </w:r>
          </w:p>
        </w:tc>
      </w:tr>
      <w:tr w:rsidR="00686A29" w:rsidRPr="008C615F" w:rsidTr="00686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Gestión de Riesgos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$174,899.74</w:t>
            </w:r>
          </w:p>
        </w:tc>
      </w:tr>
      <w:tr w:rsidR="00686A29" w:rsidRPr="008C615F" w:rsidTr="00686A29">
        <w:trPr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Estudios de Pre Factibilidad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$135,545.67</w:t>
            </w:r>
          </w:p>
        </w:tc>
      </w:tr>
      <w:tr w:rsidR="00686A29" w:rsidRPr="008C615F" w:rsidTr="00686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Salud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$58,527.20</w:t>
            </w:r>
          </w:p>
        </w:tc>
      </w:tr>
      <w:tr w:rsidR="00686A29" w:rsidRPr="008C615F" w:rsidTr="00686A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lef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Total general</w:t>
            </w:r>
          </w:p>
        </w:tc>
        <w:tc>
          <w:tcPr>
            <w:tcW w:w="0" w:type="auto"/>
            <w:noWrap/>
            <w:hideMark/>
          </w:tcPr>
          <w:p w:rsidR="00686A29" w:rsidRPr="008C615F" w:rsidRDefault="00686A29" w:rsidP="00686A2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</w:pPr>
            <w:r w:rsidRPr="008C615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eastAsia="es-SV"/>
              </w:rPr>
              <w:t>$54,218,932.57</w:t>
            </w:r>
          </w:p>
        </w:tc>
      </w:tr>
    </w:tbl>
    <w:p w:rsidR="008C615F" w:rsidRDefault="008C615F" w:rsidP="00DA7B13">
      <w:pPr>
        <w:jc w:val="center"/>
        <w:rPr>
          <w:b/>
          <w:sz w:val="20"/>
        </w:rPr>
      </w:pPr>
    </w:p>
    <w:sectPr w:rsidR="008C615F" w:rsidSect="005B29A9">
      <w:footerReference w:type="default" r:id="rId11"/>
      <w:pgSz w:w="12240" w:h="15840"/>
      <w:pgMar w:top="1134" w:right="1134" w:bottom="1247" w:left="1134" w:header="0" w:footer="0" w:gutter="0"/>
      <w:pgBorders w:offsetFrom="page">
        <w:top w:val="single" w:sz="8" w:space="24" w:color="4E67C8" w:themeColor="accent1"/>
        <w:left w:val="single" w:sz="8" w:space="24" w:color="4E67C8" w:themeColor="accent1"/>
        <w:bottom w:val="single" w:sz="8" w:space="24" w:color="4E67C8" w:themeColor="accent1"/>
        <w:right w:val="single" w:sz="8" w:space="24" w:color="4E67C8" w:themeColor="accent1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B3" w:rsidRDefault="00D007B3" w:rsidP="0000294A">
      <w:pPr>
        <w:spacing w:after="0" w:line="240" w:lineRule="auto"/>
      </w:pPr>
      <w:r>
        <w:separator/>
      </w:r>
    </w:p>
    <w:p w:rsidR="00D007B3" w:rsidRDefault="00D007B3"/>
  </w:endnote>
  <w:endnote w:type="continuationSeparator" w:id="0">
    <w:p w:rsidR="00D007B3" w:rsidRDefault="00D007B3" w:rsidP="0000294A">
      <w:pPr>
        <w:spacing w:after="0" w:line="240" w:lineRule="auto"/>
      </w:pPr>
      <w:r>
        <w:continuationSeparator/>
      </w:r>
    </w:p>
    <w:p w:rsidR="00D007B3" w:rsidRDefault="00D00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E6" w:rsidRDefault="00591CE6">
    <w:pPr>
      <w:pStyle w:val="Piedepgina"/>
      <w:jc w:val="right"/>
    </w:pPr>
  </w:p>
  <w:p w:rsidR="00591CE6" w:rsidRDefault="00591CE6" w:rsidP="0000294A"/>
  <w:p w:rsidR="00591CE6" w:rsidRDefault="00591C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B3" w:rsidRDefault="00D007B3" w:rsidP="0000294A">
      <w:pPr>
        <w:spacing w:after="0" w:line="240" w:lineRule="auto"/>
      </w:pPr>
      <w:r>
        <w:separator/>
      </w:r>
    </w:p>
    <w:p w:rsidR="00D007B3" w:rsidRDefault="00D007B3"/>
  </w:footnote>
  <w:footnote w:type="continuationSeparator" w:id="0">
    <w:p w:rsidR="00D007B3" w:rsidRDefault="00D007B3" w:rsidP="0000294A">
      <w:pPr>
        <w:spacing w:after="0" w:line="240" w:lineRule="auto"/>
      </w:pPr>
      <w:r>
        <w:continuationSeparator/>
      </w:r>
    </w:p>
    <w:p w:rsidR="00D007B3" w:rsidRDefault="00D007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C9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4E372D"/>
    <w:multiLevelType w:val="hybridMultilevel"/>
    <w:tmpl w:val="60F89A34"/>
    <w:lvl w:ilvl="0" w:tplc="2DD46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A0B5F4">
      <w:numFmt w:val="none"/>
      <w:lvlText w:val=""/>
      <w:lvlJc w:val="left"/>
      <w:pPr>
        <w:tabs>
          <w:tab w:val="num" w:pos="360"/>
        </w:tabs>
      </w:pPr>
    </w:lvl>
    <w:lvl w:ilvl="2" w:tplc="D86AD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DA4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25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B83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B2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F0D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288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595CEF"/>
    <w:multiLevelType w:val="hybridMultilevel"/>
    <w:tmpl w:val="2EDC220C"/>
    <w:lvl w:ilvl="0" w:tplc="44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171C3580"/>
    <w:multiLevelType w:val="hybridMultilevel"/>
    <w:tmpl w:val="4D48549E"/>
    <w:lvl w:ilvl="0" w:tplc="B8122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42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24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A1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07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C8B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0D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E2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C0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9B2BB0"/>
    <w:multiLevelType w:val="hybridMultilevel"/>
    <w:tmpl w:val="7EAC04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70B66"/>
    <w:multiLevelType w:val="hybridMultilevel"/>
    <w:tmpl w:val="FAB0C2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D5C47"/>
    <w:multiLevelType w:val="hybridMultilevel"/>
    <w:tmpl w:val="960238EC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8A6C3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6706841"/>
    <w:multiLevelType w:val="hybridMultilevel"/>
    <w:tmpl w:val="8800D8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36B58"/>
    <w:multiLevelType w:val="hybridMultilevel"/>
    <w:tmpl w:val="9F40D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E2FCD"/>
    <w:multiLevelType w:val="hybridMultilevel"/>
    <w:tmpl w:val="07489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80BAE"/>
    <w:multiLevelType w:val="hybridMultilevel"/>
    <w:tmpl w:val="A3C69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05E2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B6167A"/>
    <w:multiLevelType w:val="hybridMultilevel"/>
    <w:tmpl w:val="FD3CB3E8"/>
    <w:lvl w:ilvl="0" w:tplc="795A0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0D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AC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3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8D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E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A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0F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CA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3F1008"/>
    <w:multiLevelType w:val="hybridMultilevel"/>
    <w:tmpl w:val="486A7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A0644"/>
    <w:multiLevelType w:val="hybridMultilevel"/>
    <w:tmpl w:val="253236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D0D19"/>
    <w:multiLevelType w:val="hybridMultilevel"/>
    <w:tmpl w:val="3FFE5D70"/>
    <w:lvl w:ilvl="0" w:tplc="1D42A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0A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4B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2D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9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E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641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E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E2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4927A24"/>
    <w:multiLevelType w:val="hybridMultilevel"/>
    <w:tmpl w:val="322E715A"/>
    <w:lvl w:ilvl="0" w:tplc="23F4A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0B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09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A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E2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86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4B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6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65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9FC2B36"/>
    <w:multiLevelType w:val="hybridMultilevel"/>
    <w:tmpl w:val="A056B2E4"/>
    <w:lvl w:ilvl="0" w:tplc="440A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2" w:tplc="44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>
    <w:nsid w:val="6BF56F71"/>
    <w:multiLevelType w:val="hybridMultilevel"/>
    <w:tmpl w:val="1CCC1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20843"/>
    <w:multiLevelType w:val="hybridMultilevel"/>
    <w:tmpl w:val="658C056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CE2E3B"/>
    <w:multiLevelType w:val="hybridMultilevel"/>
    <w:tmpl w:val="83C22B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422F2"/>
    <w:multiLevelType w:val="multilevel"/>
    <w:tmpl w:val="4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14"/>
  </w:num>
  <w:num w:numId="7">
    <w:abstractNumId w:val="19"/>
  </w:num>
  <w:num w:numId="8">
    <w:abstractNumId w:val="18"/>
  </w:num>
  <w:num w:numId="9">
    <w:abstractNumId w:val="12"/>
  </w:num>
  <w:num w:numId="10">
    <w:abstractNumId w:val="20"/>
  </w:num>
  <w:num w:numId="11">
    <w:abstractNumId w:val="22"/>
  </w:num>
  <w:num w:numId="12">
    <w:abstractNumId w:val="11"/>
  </w:num>
  <w:num w:numId="13">
    <w:abstractNumId w:val="9"/>
  </w:num>
  <w:num w:numId="14">
    <w:abstractNumId w:val="6"/>
  </w:num>
  <w:num w:numId="15">
    <w:abstractNumId w:val="16"/>
  </w:num>
  <w:num w:numId="16">
    <w:abstractNumId w:val="13"/>
  </w:num>
  <w:num w:numId="17">
    <w:abstractNumId w:val="17"/>
  </w:num>
  <w:num w:numId="18">
    <w:abstractNumId w:val="7"/>
  </w:num>
  <w:num w:numId="19">
    <w:abstractNumId w:val="4"/>
  </w:num>
  <w:num w:numId="20">
    <w:abstractNumId w:val="0"/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E0"/>
    <w:rsid w:val="0000294A"/>
    <w:rsid w:val="00027306"/>
    <w:rsid w:val="00030812"/>
    <w:rsid w:val="000462DE"/>
    <w:rsid w:val="00061897"/>
    <w:rsid w:val="000634E0"/>
    <w:rsid w:val="00066B6D"/>
    <w:rsid w:val="000718A3"/>
    <w:rsid w:val="000728E7"/>
    <w:rsid w:val="000A3601"/>
    <w:rsid w:val="000A654F"/>
    <w:rsid w:val="000C13C2"/>
    <w:rsid w:val="00115FB0"/>
    <w:rsid w:val="00123E84"/>
    <w:rsid w:val="00142D70"/>
    <w:rsid w:val="00174DBE"/>
    <w:rsid w:val="00186CB5"/>
    <w:rsid w:val="00194148"/>
    <w:rsid w:val="00196BFC"/>
    <w:rsid w:val="00196CD4"/>
    <w:rsid w:val="001A0E67"/>
    <w:rsid w:val="001A3B36"/>
    <w:rsid w:val="001B0F09"/>
    <w:rsid w:val="001B165B"/>
    <w:rsid w:val="001C2C88"/>
    <w:rsid w:val="001C4371"/>
    <w:rsid w:val="001D43B4"/>
    <w:rsid w:val="001D71C9"/>
    <w:rsid w:val="001E1AFE"/>
    <w:rsid w:val="001E7E4A"/>
    <w:rsid w:val="001F0AE5"/>
    <w:rsid w:val="001F13AC"/>
    <w:rsid w:val="001F5865"/>
    <w:rsid w:val="001F5933"/>
    <w:rsid w:val="00203EFC"/>
    <w:rsid w:val="00225564"/>
    <w:rsid w:val="00234E5C"/>
    <w:rsid w:val="00245C1A"/>
    <w:rsid w:val="00251DED"/>
    <w:rsid w:val="00252726"/>
    <w:rsid w:val="00263143"/>
    <w:rsid w:val="00265703"/>
    <w:rsid w:val="00270362"/>
    <w:rsid w:val="00284B80"/>
    <w:rsid w:val="002876B9"/>
    <w:rsid w:val="002974C5"/>
    <w:rsid w:val="002B2596"/>
    <w:rsid w:val="002B569B"/>
    <w:rsid w:val="002E7A59"/>
    <w:rsid w:val="00306CAE"/>
    <w:rsid w:val="0032127C"/>
    <w:rsid w:val="003238FE"/>
    <w:rsid w:val="003245D3"/>
    <w:rsid w:val="00340A95"/>
    <w:rsid w:val="00343643"/>
    <w:rsid w:val="0036080E"/>
    <w:rsid w:val="00360DF3"/>
    <w:rsid w:val="00381902"/>
    <w:rsid w:val="00382A07"/>
    <w:rsid w:val="003B033F"/>
    <w:rsid w:val="003B62F7"/>
    <w:rsid w:val="003D6EB8"/>
    <w:rsid w:val="003E4C83"/>
    <w:rsid w:val="003F090C"/>
    <w:rsid w:val="00416BDE"/>
    <w:rsid w:val="004200B2"/>
    <w:rsid w:val="0043182D"/>
    <w:rsid w:val="00441D47"/>
    <w:rsid w:val="00442728"/>
    <w:rsid w:val="004507D0"/>
    <w:rsid w:val="00467B9D"/>
    <w:rsid w:val="00473FDC"/>
    <w:rsid w:val="00475DE5"/>
    <w:rsid w:val="0047764D"/>
    <w:rsid w:val="0048421C"/>
    <w:rsid w:val="004928C2"/>
    <w:rsid w:val="00495D32"/>
    <w:rsid w:val="004A6B52"/>
    <w:rsid w:val="004B45C9"/>
    <w:rsid w:val="004D0B29"/>
    <w:rsid w:val="004D78E1"/>
    <w:rsid w:val="00511FCC"/>
    <w:rsid w:val="0052169E"/>
    <w:rsid w:val="00524837"/>
    <w:rsid w:val="00525ED4"/>
    <w:rsid w:val="00536B48"/>
    <w:rsid w:val="00544B8D"/>
    <w:rsid w:val="005564CE"/>
    <w:rsid w:val="00591CE6"/>
    <w:rsid w:val="0059300F"/>
    <w:rsid w:val="005B1ACA"/>
    <w:rsid w:val="005B29A9"/>
    <w:rsid w:val="005B741C"/>
    <w:rsid w:val="006004F6"/>
    <w:rsid w:val="00601E22"/>
    <w:rsid w:val="00627465"/>
    <w:rsid w:val="00633B6D"/>
    <w:rsid w:val="00643E7E"/>
    <w:rsid w:val="00660749"/>
    <w:rsid w:val="00661BEA"/>
    <w:rsid w:val="00674A94"/>
    <w:rsid w:val="00676094"/>
    <w:rsid w:val="00686A29"/>
    <w:rsid w:val="00694D83"/>
    <w:rsid w:val="006B7615"/>
    <w:rsid w:val="006E6539"/>
    <w:rsid w:val="006F1767"/>
    <w:rsid w:val="006F376F"/>
    <w:rsid w:val="00701E1D"/>
    <w:rsid w:val="0071174F"/>
    <w:rsid w:val="00720BAC"/>
    <w:rsid w:val="0073447B"/>
    <w:rsid w:val="007419F8"/>
    <w:rsid w:val="00774FA5"/>
    <w:rsid w:val="00784555"/>
    <w:rsid w:val="007B462F"/>
    <w:rsid w:val="007D55D7"/>
    <w:rsid w:val="007D5EA3"/>
    <w:rsid w:val="007E54A6"/>
    <w:rsid w:val="007E6DB7"/>
    <w:rsid w:val="007F7379"/>
    <w:rsid w:val="007F7DB4"/>
    <w:rsid w:val="008170C2"/>
    <w:rsid w:val="008339AB"/>
    <w:rsid w:val="00856D33"/>
    <w:rsid w:val="00857CD8"/>
    <w:rsid w:val="0086759C"/>
    <w:rsid w:val="008A2B9E"/>
    <w:rsid w:val="008A3BDF"/>
    <w:rsid w:val="008B1340"/>
    <w:rsid w:val="008B2FA0"/>
    <w:rsid w:val="008B3EC5"/>
    <w:rsid w:val="008C615F"/>
    <w:rsid w:val="008C7275"/>
    <w:rsid w:val="00914B43"/>
    <w:rsid w:val="0092243B"/>
    <w:rsid w:val="00937719"/>
    <w:rsid w:val="00964530"/>
    <w:rsid w:val="00966322"/>
    <w:rsid w:val="009803B9"/>
    <w:rsid w:val="009853F4"/>
    <w:rsid w:val="009873DB"/>
    <w:rsid w:val="00990429"/>
    <w:rsid w:val="009B346A"/>
    <w:rsid w:val="00A01782"/>
    <w:rsid w:val="00A04318"/>
    <w:rsid w:val="00A26728"/>
    <w:rsid w:val="00A42A1B"/>
    <w:rsid w:val="00A53BEF"/>
    <w:rsid w:val="00A6262D"/>
    <w:rsid w:val="00A733E5"/>
    <w:rsid w:val="00A902C4"/>
    <w:rsid w:val="00A90D9E"/>
    <w:rsid w:val="00AB1712"/>
    <w:rsid w:val="00AB6FFB"/>
    <w:rsid w:val="00AE1864"/>
    <w:rsid w:val="00AE66FF"/>
    <w:rsid w:val="00AF588D"/>
    <w:rsid w:val="00AF6257"/>
    <w:rsid w:val="00B22464"/>
    <w:rsid w:val="00B27AFA"/>
    <w:rsid w:val="00B51852"/>
    <w:rsid w:val="00B7385A"/>
    <w:rsid w:val="00B84E38"/>
    <w:rsid w:val="00BA66BA"/>
    <w:rsid w:val="00BC20B1"/>
    <w:rsid w:val="00C06A58"/>
    <w:rsid w:val="00C14D97"/>
    <w:rsid w:val="00C25F79"/>
    <w:rsid w:val="00C276D9"/>
    <w:rsid w:val="00C34245"/>
    <w:rsid w:val="00C3449A"/>
    <w:rsid w:val="00C61045"/>
    <w:rsid w:val="00C67348"/>
    <w:rsid w:val="00C722F7"/>
    <w:rsid w:val="00CD0F03"/>
    <w:rsid w:val="00CE2D73"/>
    <w:rsid w:val="00CE362C"/>
    <w:rsid w:val="00D007B3"/>
    <w:rsid w:val="00D14FFE"/>
    <w:rsid w:val="00D17454"/>
    <w:rsid w:val="00D20238"/>
    <w:rsid w:val="00D21577"/>
    <w:rsid w:val="00D228A7"/>
    <w:rsid w:val="00D46E9E"/>
    <w:rsid w:val="00D63E04"/>
    <w:rsid w:val="00D7631C"/>
    <w:rsid w:val="00D80963"/>
    <w:rsid w:val="00D80C2D"/>
    <w:rsid w:val="00D932AA"/>
    <w:rsid w:val="00D9539A"/>
    <w:rsid w:val="00DA7B13"/>
    <w:rsid w:val="00DB64BD"/>
    <w:rsid w:val="00DB6AD5"/>
    <w:rsid w:val="00DF5547"/>
    <w:rsid w:val="00E06AF4"/>
    <w:rsid w:val="00E11F31"/>
    <w:rsid w:val="00E12656"/>
    <w:rsid w:val="00E35A8E"/>
    <w:rsid w:val="00E41EDA"/>
    <w:rsid w:val="00E7585B"/>
    <w:rsid w:val="00E827EA"/>
    <w:rsid w:val="00E9531B"/>
    <w:rsid w:val="00EC0FF3"/>
    <w:rsid w:val="00EC1C05"/>
    <w:rsid w:val="00EC79CB"/>
    <w:rsid w:val="00ED38C9"/>
    <w:rsid w:val="00ED38D1"/>
    <w:rsid w:val="00ED3EDA"/>
    <w:rsid w:val="00EE56E5"/>
    <w:rsid w:val="00EF0D1C"/>
    <w:rsid w:val="00F026DF"/>
    <w:rsid w:val="00F32F5F"/>
    <w:rsid w:val="00F33992"/>
    <w:rsid w:val="00F4175B"/>
    <w:rsid w:val="00F556E6"/>
    <w:rsid w:val="00F930C9"/>
    <w:rsid w:val="00F967AB"/>
    <w:rsid w:val="00FA3631"/>
    <w:rsid w:val="00FC0674"/>
    <w:rsid w:val="00FC299A"/>
    <w:rsid w:val="00F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4A"/>
    <w:pPr>
      <w:jc w:val="both"/>
    </w:pPr>
    <w:rPr>
      <w:noProof/>
      <w:lang w:val="es-SV"/>
    </w:rPr>
  </w:style>
  <w:style w:type="paragraph" w:styleId="Ttulo1">
    <w:name w:val="heading 1"/>
    <w:basedOn w:val="Ttulo"/>
    <w:next w:val="Normal"/>
    <w:link w:val="Ttulo1Car"/>
    <w:uiPriority w:val="9"/>
    <w:qFormat/>
    <w:rsid w:val="0000294A"/>
    <w:pPr>
      <w:keepNext/>
      <w:keepLines/>
      <w:spacing w:before="480" w:after="0"/>
      <w:outlineLvl w:val="0"/>
    </w:pPr>
    <w:rPr>
      <w:b/>
      <w:bCs/>
      <w:color w:val="31479E" w:themeColor="accent1" w:themeShade="BF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2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63C64" w:themeColor="background2" w:themeShade="4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2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78CA" w:themeColor="background2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94A"/>
    <w:rPr>
      <w:rFonts w:asciiTheme="majorHAnsi" w:eastAsiaTheme="majorEastAsia" w:hAnsiTheme="majorHAnsi" w:cstheme="majorBidi"/>
      <w:b/>
      <w:bCs/>
      <w:noProof/>
      <w:color w:val="31479E" w:themeColor="accent1" w:themeShade="BF"/>
      <w:spacing w:val="5"/>
      <w:kern w:val="28"/>
      <w:sz w:val="36"/>
      <w:szCs w:val="28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0294A"/>
    <w:rPr>
      <w:rFonts w:asciiTheme="majorHAnsi" w:eastAsiaTheme="majorEastAsia" w:hAnsiTheme="majorHAnsi" w:cstheme="majorBidi"/>
      <w:b/>
      <w:bCs/>
      <w:noProof/>
      <w:color w:val="063C64" w:themeColor="background2" w:themeShade="40"/>
      <w:sz w:val="26"/>
      <w:szCs w:val="26"/>
      <w:lang w:val="es-SV"/>
    </w:rPr>
  </w:style>
  <w:style w:type="paragraph" w:styleId="Ttulo">
    <w:name w:val="Title"/>
    <w:basedOn w:val="Normal"/>
    <w:next w:val="Normal"/>
    <w:link w:val="TtuloCar"/>
    <w:uiPriority w:val="10"/>
    <w:qFormat/>
    <w:rsid w:val="000634E0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34E0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  <w:lang w:val="es-SV"/>
    </w:rPr>
  </w:style>
  <w:style w:type="paragraph" w:styleId="Sinespaciado">
    <w:name w:val="No Spacing"/>
    <w:link w:val="SinespaciadoCar"/>
    <w:uiPriority w:val="1"/>
    <w:qFormat/>
    <w:rsid w:val="000634E0"/>
    <w:pPr>
      <w:spacing w:after="0" w:line="240" w:lineRule="auto"/>
    </w:pPr>
    <w:rPr>
      <w:lang w:val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4E0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0634E0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E0"/>
    <w:rPr>
      <w:rFonts w:ascii="Tahoma" w:hAnsi="Tahoma" w:cs="Tahoma"/>
      <w:sz w:val="16"/>
      <w:szCs w:val="16"/>
      <w:lang w:val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34E0"/>
    <w:rPr>
      <w:lang w:val="es-SV"/>
    </w:rPr>
  </w:style>
  <w:style w:type="paragraph" w:styleId="Prrafodelista">
    <w:name w:val="List Paragraph"/>
    <w:basedOn w:val="Normal"/>
    <w:link w:val="PrrafodelistaCar"/>
    <w:uiPriority w:val="34"/>
    <w:qFormat/>
    <w:rsid w:val="000634E0"/>
    <w:pPr>
      <w:spacing w:before="200"/>
      <w:ind w:left="720"/>
      <w:contextualSpacing/>
    </w:pPr>
    <w:rPr>
      <w:rFonts w:eastAsiaTheme="minorEastAsia"/>
      <w:sz w:val="20"/>
      <w:szCs w:val="20"/>
      <w:lang w:val="en-US" w:bidi="en-US"/>
    </w:rPr>
  </w:style>
  <w:style w:type="character" w:customStyle="1" w:styleId="PrrafodelistaCar">
    <w:name w:val="Párrafo de lista Car"/>
    <w:link w:val="Prrafodelista"/>
    <w:uiPriority w:val="34"/>
    <w:locked/>
    <w:rsid w:val="000634E0"/>
    <w:rPr>
      <w:rFonts w:eastAsiaTheme="minorEastAsia"/>
      <w:sz w:val="20"/>
      <w:szCs w:val="20"/>
      <w:lang w:val="en-US" w:bidi="en-US"/>
    </w:rPr>
  </w:style>
  <w:style w:type="table" w:styleId="Listaclara-nfasis1">
    <w:name w:val="Light List Accent 1"/>
    <w:basedOn w:val="Tablanormal"/>
    <w:uiPriority w:val="61"/>
    <w:rsid w:val="000634E0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0634E0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3B62F7"/>
    <w:pPr>
      <w:tabs>
        <w:tab w:val="right" w:leader="dot" w:pos="9622"/>
      </w:tabs>
      <w:spacing w:after="10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0634E0"/>
    <w:pPr>
      <w:tabs>
        <w:tab w:val="left" w:pos="660"/>
        <w:tab w:val="right" w:leader="dot" w:pos="9622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634E0"/>
    <w:rPr>
      <w:color w:val="56C7AA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4E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4E0"/>
    <w:rPr>
      <w:lang w:val="es-SV"/>
    </w:rPr>
  </w:style>
  <w:style w:type="character" w:customStyle="1" w:styleId="Ttulo3Car">
    <w:name w:val="Título 3 Car"/>
    <w:basedOn w:val="Fuentedeprrafopredeter"/>
    <w:link w:val="Ttulo3"/>
    <w:uiPriority w:val="9"/>
    <w:rsid w:val="0000294A"/>
    <w:rPr>
      <w:rFonts w:asciiTheme="majorHAnsi" w:eastAsiaTheme="majorEastAsia" w:hAnsiTheme="majorHAnsi" w:cstheme="majorBidi"/>
      <w:b/>
      <w:bCs/>
      <w:noProof/>
      <w:color w:val="0D78CA" w:themeColor="background2" w:themeShade="80"/>
      <w:lang w:val="es-SV"/>
    </w:rPr>
  </w:style>
  <w:style w:type="paragraph" w:styleId="TDC3">
    <w:name w:val="toc 3"/>
    <w:basedOn w:val="Normal"/>
    <w:next w:val="Normal"/>
    <w:autoRedefine/>
    <w:uiPriority w:val="39"/>
    <w:unhideWhenUsed/>
    <w:rsid w:val="003B62F7"/>
    <w:pPr>
      <w:spacing w:after="100"/>
      <w:ind w:left="440"/>
    </w:pPr>
  </w:style>
  <w:style w:type="table" w:styleId="Tablaconcuadrcula">
    <w:name w:val="Table Grid"/>
    <w:basedOn w:val="Tablanormal"/>
    <w:uiPriority w:val="59"/>
    <w:rsid w:val="0070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4A"/>
    <w:pPr>
      <w:jc w:val="both"/>
    </w:pPr>
    <w:rPr>
      <w:noProof/>
      <w:lang w:val="es-SV"/>
    </w:rPr>
  </w:style>
  <w:style w:type="paragraph" w:styleId="Ttulo1">
    <w:name w:val="heading 1"/>
    <w:basedOn w:val="Ttulo"/>
    <w:next w:val="Normal"/>
    <w:link w:val="Ttulo1Car"/>
    <w:uiPriority w:val="9"/>
    <w:qFormat/>
    <w:rsid w:val="0000294A"/>
    <w:pPr>
      <w:keepNext/>
      <w:keepLines/>
      <w:spacing w:before="480" w:after="0"/>
      <w:outlineLvl w:val="0"/>
    </w:pPr>
    <w:rPr>
      <w:b/>
      <w:bCs/>
      <w:color w:val="31479E" w:themeColor="accent1" w:themeShade="BF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2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63C64" w:themeColor="background2" w:themeShade="4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2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78CA" w:themeColor="background2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94A"/>
    <w:rPr>
      <w:rFonts w:asciiTheme="majorHAnsi" w:eastAsiaTheme="majorEastAsia" w:hAnsiTheme="majorHAnsi" w:cstheme="majorBidi"/>
      <w:b/>
      <w:bCs/>
      <w:noProof/>
      <w:color w:val="31479E" w:themeColor="accent1" w:themeShade="BF"/>
      <w:spacing w:val="5"/>
      <w:kern w:val="28"/>
      <w:sz w:val="36"/>
      <w:szCs w:val="28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0294A"/>
    <w:rPr>
      <w:rFonts w:asciiTheme="majorHAnsi" w:eastAsiaTheme="majorEastAsia" w:hAnsiTheme="majorHAnsi" w:cstheme="majorBidi"/>
      <w:b/>
      <w:bCs/>
      <w:noProof/>
      <w:color w:val="063C64" w:themeColor="background2" w:themeShade="40"/>
      <w:sz w:val="26"/>
      <w:szCs w:val="26"/>
      <w:lang w:val="es-SV"/>
    </w:rPr>
  </w:style>
  <w:style w:type="paragraph" w:styleId="Ttulo">
    <w:name w:val="Title"/>
    <w:basedOn w:val="Normal"/>
    <w:next w:val="Normal"/>
    <w:link w:val="TtuloCar"/>
    <w:uiPriority w:val="10"/>
    <w:qFormat/>
    <w:rsid w:val="000634E0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34E0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  <w:lang w:val="es-SV"/>
    </w:rPr>
  </w:style>
  <w:style w:type="paragraph" w:styleId="Sinespaciado">
    <w:name w:val="No Spacing"/>
    <w:link w:val="SinespaciadoCar"/>
    <w:uiPriority w:val="1"/>
    <w:qFormat/>
    <w:rsid w:val="000634E0"/>
    <w:pPr>
      <w:spacing w:after="0" w:line="240" w:lineRule="auto"/>
    </w:pPr>
    <w:rPr>
      <w:lang w:val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4E0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0634E0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E0"/>
    <w:rPr>
      <w:rFonts w:ascii="Tahoma" w:hAnsi="Tahoma" w:cs="Tahoma"/>
      <w:sz w:val="16"/>
      <w:szCs w:val="16"/>
      <w:lang w:val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34E0"/>
    <w:rPr>
      <w:lang w:val="es-SV"/>
    </w:rPr>
  </w:style>
  <w:style w:type="paragraph" w:styleId="Prrafodelista">
    <w:name w:val="List Paragraph"/>
    <w:basedOn w:val="Normal"/>
    <w:link w:val="PrrafodelistaCar"/>
    <w:uiPriority w:val="34"/>
    <w:qFormat/>
    <w:rsid w:val="000634E0"/>
    <w:pPr>
      <w:spacing w:before="200"/>
      <w:ind w:left="720"/>
      <w:contextualSpacing/>
    </w:pPr>
    <w:rPr>
      <w:rFonts w:eastAsiaTheme="minorEastAsia"/>
      <w:sz w:val="20"/>
      <w:szCs w:val="20"/>
      <w:lang w:val="en-US" w:bidi="en-US"/>
    </w:rPr>
  </w:style>
  <w:style w:type="character" w:customStyle="1" w:styleId="PrrafodelistaCar">
    <w:name w:val="Párrafo de lista Car"/>
    <w:link w:val="Prrafodelista"/>
    <w:uiPriority w:val="34"/>
    <w:locked/>
    <w:rsid w:val="000634E0"/>
    <w:rPr>
      <w:rFonts w:eastAsiaTheme="minorEastAsia"/>
      <w:sz w:val="20"/>
      <w:szCs w:val="20"/>
      <w:lang w:val="en-US" w:bidi="en-US"/>
    </w:rPr>
  </w:style>
  <w:style w:type="table" w:styleId="Listaclara-nfasis1">
    <w:name w:val="Light List Accent 1"/>
    <w:basedOn w:val="Tablanormal"/>
    <w:uiPriority w:val="61"/>
    <w:rsid w:val="000634E0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0634E0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3B62F7"/>
    <w:pPr>
      <w:tabs>
        <w:tab w:val="right" w:leader="dot" w:pos="9622"/>
      </w:tabs>
      <w:spacing w:after="10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0634E0"/>
    <w:pPr>
      <w:tabs>
        <w:tab w:val="left" w:pos="660"/>
        <w:tab w:val="right" w:leader="dot" w:pos="9622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634E0"/>
    <w:rPr>
      <w:color w:val="56C7AA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4E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4E0"/>
    <w:rPr>
      <w:lang w:val="es-SV"/>
    </w:rPr>
  </w:style>
  <w:style w:type="character" w:customStyle="1" w:styleId="Ttulo3Car">
    <w:name w:val="Título 3 Car"/>
    <w:basedOn w:val="Fuentedeprrafopredeter"/>
    <w:link w:val="Ttulo3"/>
    <w:uiPriority w:val="9"/>
    <w:rsid w:val="0000294A"/>
    <w:rPr>
      <w:rFonts w:asciiTheme="majorHAnsi" w:eastAsiaTheme="majorEastAsia" w:hAnsiTheme="majorHAnsi" w:cstheme="majorBidi"/>
      <w:b/>
      <w:bCs/>
      <w:noProof/>
      <w:color w:val="0D78CA" w:themeColor="background2" w:themeShade="80"/>
      <w:lang w:val="es-SV"/>
    </w:rPr>
  </w:style>
  <w:style w:type="paragraph" w:styleId="TDC3">
    <w:name w:val="toc 3"/>
    <w:basedOn w:val="Normal"/>
    <w:next w:val="Normal"/>
    <w:autoRedefine/>
    <w:uiPriority w:val="39"/>
    <w:unhideWhenUsed/>
    <w:rsid w:val="003B62F7"/>
    <w:pPr>
      <w:spacing w:after="100"/>
      <w:ind w:left="440"/>
    </w:pPr>
  </w:style>
  <w:style w:type="table" w:styleId="Tablaconcuadrcula">
    <w:name w:val="Table Grid"/>
    <w:basedOn w:val="Tablanormal"/>
    <w:uiPriority w:val="59"/>
    <w:rsid w:val="0070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2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Fondo de Inversión Social para el Desarrollo Local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397489-BAAA-4F72-8AB7-48F59730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11462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Rendición de Cuentas</vt:lpstr>
    </vt:vector>
  </TitlesOfParts>
  <Company/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Rendición de Cuentas</dc:title>
  <dc:subject>Tres años de Gestión         Junio 2014 – Mayo 2017</dc:subject>
  <dc:creator>LORENA SUYAPA VALDIVIESO VALENCIA</dc:creator>
  <cp:lastModifiedBy>ROBERTO MOLINA</cp:lastModifiedBy>
  <cp:revision>2</cp:revision>
  <cp:lastPrinted>2017-07-04T22:35:00Z</cp:lastPrinted>
  <dcterms:created xsi:type="dcterms:W3CDTF">2017-07-10T14:47:00Z</dcterms:created>
  <dcterms:modified xsi:type="dcterms:W3CDTF">2017-07-10T14:47:00Z</dcterms:modified>
</cp:coreProperties>
</file>