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5F" w:rsidRPr="00CB188E" w:rsidRDefault="0047325F" w:rsidP="0047325F">
      <w:pPr>
        <w:jc w:val="center"/>
        <w:rPr>
          <w:bCs/>
          <w:i/>
          <w:iCs/>
        </w:rPr>
      </w:pPr>
      <w:r>
        <w:rPr>
          <w:bCs/>
          <w:i/>
          <w:iCs/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35622" cy="1076325"/>
            <wp:effectExtent l="0" t="0" r="0" b="0"/>
            <wp:wrapTight wrapText="bothSides">
              <wp:wrapPolygon edited="0">
                <wp:start x="0" y="0"/>
                <wp:lineTo x="0" y="21027"/>
                <wp:lineTo x="21533" y="21027"/>
                <wp:lineTo x="215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622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88E">
        <w:rPr>
          <w:bCs/>
          <w:i/>
          <w:iCs/>
        </w:rPr>
        <w:t>UNIDAD DE ACCESO A LA INFORAMACION PÚBLICA</w:t>
      </w:r>
    </w:p>
    <w:p w:rsidR="0047325F" w:rsidRPr="0009647A" w:rsidRDefault="0047325F" w:rsidP="0047325F">
      <w:pPr>
        <w:jc w:val="right"/>
        <w:rPr>
          <w:rFonts w:ascii="Bookman Old Style" w:hAnsi="Bookman Old Style"/>
        </w:rPr>
      </w:pPr>
      <w:r w:rsidRPr="0009647A">
        <w:rPr>
          <w:rFonts w:ascii="Bookman Old Style" w:hAnsi="Bookman Old Style"/>
        </w:rPr>
        <w:t>N° de Solicitud</w:t>
      </w:r>
    </w:p>
    <w:p w:rsidR="0047325F" w:rsidRPr="0009647A" w:rsidRDefault="0047325F" w:rsidP="0047325F">
      <w:pPr>
        <w:jc w:val="right"/>
        <w:rPr>
          <w:rFonts w:ascii="Bookman Old Style" w:hAnsi="Bookman Old Style"/>
          <w:b/>
        </w:rPr>
      </w:pPr>
      <w:r w:rsidRPr="0009647A">
        <w:rPr>
          <w:rFonts w:ascii="Bookman Old Style" w:hAnsi="Bookman Old Style"/>
          <w:b/>
          <w:u w:val="single"/>
        </w:rPr>
        <w:t>UAIP.DIV.01.2019</w:t>
      </w:r>
    </w:p>
    <w:p w:rsidR="0047325F" w:rsidRPr="0009647A" w:rsidRDefault="0047325F" w:rsidP="0047325F">
      <w:pPr>
        <w:jc w:val="both"/>
        <w:rPr>
          <w:rFonts w:ascii="Bookman Old Style" w:hAnsi="Bookman Old Style"/>
        </w:rPr>
      </w:pPr>
    </w:p>
    <w:p w:rsidR="0047325F" w:rsidRPr="0009647A" w:rsidRDefault="0047325F" w:rsidP="0047325F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ALCALDIA MUNICIPAL DE EL DIVISADERO, DEPARTAMENTO DE MORAZAN; UNIDAD DE ACCESO A LA INFORMACION PUBLICA, En la Villa de El Divisadero Departamento de Morazán, a las </w:t>
      </w:r>
      <w:r>
        <w:rPr>
          <w:rFonts w:ascii="Bookman Old Style" w:hAnsi="Bookman Old Style"/>
          <w:sz w:val="22"/>
          <w:szCs w:val="22"/>
        </w:rPr>
        <w:t xml:space="preserve">nueve </w:t>
      </w:r>
      <w:r w:rsidRPr="0009647A">
        <w:rPr>
          <w:rFonts w:ascii="Bookman Old Style" w:hAnsi="Bookman Old Style"/>
          <w:sz w:val="22"/>
          <w:szCs w:val="22"/>
        </w:rPr>
        <w:t xml:space="preserve">horas del día </w:t>
      </w:r>
      <w:r>
        <w:rPr>
          <w:rFonts w:ascii="Bookman Old Style" w:hAnsi="Bookman Old Style"/>
          <w:sz w:val="22"/>
          <w:szCs w:val="22"/>
        </w:rPr>
        <w:t xml:space="preserve">treinta y </w:t>
      </w:r>
      <w:proofErr w:type="gramStart"/>
      <w:r>
        <w:rPr>
          <w:rFonts w:ascii="Bookman Old Style" w:hAnsi="Bookman Old Style"/>
          <w:sz w:val="22"/>
          <w:szCs w:val="22"/>
        </w:rPr>
        <w:t xml:space="preserve">uno </w:t>
      </w:r>
      <w:r w:rsidRPr="0009647A">
        <w:rPr>
          <w:rFonts w:ascii="Bookman Old Style" w:hAnsi="Bookman Old Style"/>
          <w:sz w:val="22"/>
          <w:szCs w:val="22"/>
        </w:rPr>
        <w:t xml:space="preserve"> de</w:t>
      </w:r>
      <w:proofErr w:type="gramEnd"/>
      <w:r w:rsidRPr="0009647A">
        <w:rPr>
          <w:rFonts w:ascii="Bookman Old Style" w:hAnsi="Bookman Old Style"/>
          <w:sz w:val="22"/>
          <w:szCs w:val="22"/>
        </w:rPr>
        <w:t xml:space="preserve"> Julio de dos mil diecinueve.</w:t>
      </w:r>
    </w:p>
    <w:p w:rsidR="0047325F" w:rsidRPr="0009647A" w:rsidRDefault="0047325F" w:rsidP="0047325F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I- </w:t>
      </w:r>
      <w:r w:rsidRPr="0009647A">
        <w:rPr>
          <w:rFonts w:ascii="Bookman Old Style" w:hAnsi="Bookman Old Style"/>
          <w:b/>
          <w:sz w:val="22"/>
          <w:szCs w:val="22"/>
        </w:rPr>
        <w:t>CONSIDERANDOS:</w:t>
      </w:r>
    </w:p>
    <w:p w:rsidR="0047325F" w:rsidRPr="0009647A" w:rsidRDefault="0047325F" w:rsidP="0047325F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A las a las veinte horas con diez minutos, del día </w:t>
      </w:r>
      <w:proofErr w:type="gramStart"/>
      <w:r w:rsidRPr="0009647A">
        <w:rPr>
          <w:rFonts w:ascii="Bookman Old Style" w:hAnsi="Bookman Old Style"/>
          <w:sz w:val="22"/>
          <w:szCs w:val="22"/>
        </w:rPr>
        <w:t>veinticuatro  de</w:t>
      </w:r>
      <w:proofErr w:type="gramEnd"/>
      <w:r w:rsidRPr="0009647A">
        <w:rPr>
          <w:rFonts w:ascii="Bookman Old Style" w:hAnsi="Bookman Old Style"/>
          <w:sz w:val="22"/>
          <w:szCs w:val="22"/>
        </w:rPr>
        <w:t xml:space="preserve"> Julio de dos mil diecinueve, se recibió solicitud de Acceso de Información, Vía correo electrónico, por</w:t>
      </w:r>
      <w:r>
        <w:rPr>
          <w:rFonts w:ascii="Bookman Old Style" w:hAnsi="Bookman Old Style"/>
          <w:sz w:val="22"/>
          <w:szCs w:val="22"/>
        </w:rPr>
        <w:t xml:space="preserve">  XXXXXXXXXXXXXXXXXXXXXXXXX</w:t>
      </w:r>
      <w:r w:rsidRPr="0009647A">
        <w:rPr>
          <w:rFonts w:ascii="Bookman Old Style" w:hAnsi="Bookman Old Style"/>
          <w:sz w:val="22"/>
          <w:szCs w:val="22"/>
        </w:rPr>
        <w:t xml:space="preserve">, Mayor de edad, del domicilio de </w:t>
      </w:r>
      <w:r>
        <w:rPr>
          <w:rFonts w:ascii="Bookman Old Style" w:hAnsi="Bookman Old Style"/>
          <w:sz w:val="22"/>
          <w:szCs w:val="22"/>
        </w:rPr>
        <w:t>XXXXXXXXX</w:t>
      </w:r>
      <w:r w:rsidRPr="0009647A">
        <w:rPr>
          <w:rFonts w:ascii="Bookman Old Style" w:hAnsi="Bookman Old Style"/>
          <w:sz w:val="22"/>
          <w:szCs w:val="22"/>
        </w:rPr>
        <w:t>, Departamento</w:t>
      </w:r>
      <w:r>
        <w:rPr>
          <w:rFonts w:ascii="Bookman Old Style" w:hAnsi="Bookman Old Style"/>
          <w:sz w:val="22"/>
          <w:szCs w:val="22"/>
        </w:rPr>
        <w:t xml:space="preserve"> de XXXXXXXX</w:t>
      </w:r>
      <w:r w:rsidRPr="0009647A">
        <w:rPr>
          <w:rFonts w:ascii="Bookman Old Style" w:hAnsi="Bookman Old Style"/>
          <w:sz w:val="22"/>
          <w:szCs w:val="22"/>
        </w:rPr>
        <w:t>, portador de su D</w:t>
      </w:r>
      <w:bookmarkStart w:id="0" w:name="_GoBack"/>
      <w:bookmarkEnd w:id="0"/>
      <w:r w:rsidRPr="0009647A">
        <w:rPr>
          <w:rFonts w:ascii="Bookman Old Style" w:hAnsi="Bookman Old Style"/>
          <w:sz w:val="22"/>
          <w:szCs w:val="22"/>
        </w:rPr>
        <w:t xml:space="preserve">ocumento Único de Identidad número </w:t>
      </w:r>
      <w:r>
        <w:rPr>
          <w:rFonts w:ascii="Bookman Old Style" w:hAnsi="Bookman Old Style"/>
          <w:sz w:val="22"/>
          <w:szCs w:val="22"/>
        </w:rPr>
        <w:t>XXXXXXXXX</w:t>
      </w:r>
      <w:r w:rsidRPr="0009647A">
        <w:rPr>
          <w:rFonts w:ascii="Bookman Old Style" w:hAnsi="Bookman Old Style"/>
          <w:sz w:val="22"/>
          <w:szCs w:val="22"/>
        </w:rPr>
        <w:t>, en su calidad de persona natural; solicitando la Información que se detalla a continuación:</w:t>
      </w:r>
    </w:p>
    <w:p w:rsidR="0047325F" w:rsidRPr="0009647A" w:rsidRDefault="0047325F" w:rsidP="0047325F">
      <w:pPr>
        <w:pStyle w:val="Default"/>
        <w:ind w:left="1416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bCs/>
          <w:i/>
          <w:iCs/>
          <w:sz w:val="22"/>
          <w:szCs w:val="22"/>
        </w:rPr>
      </w:pPr>
      <w:proofErr w:type="gramStart"/>
      <w:r w:rsidRPr="0009647A">
        <w:rPr>
          <w:rFonts w:ascii="Bookman Old Style" w:hAnsi="Bookman Old Style"/>
          <w:sz w:val="22"/>
          <w:szCs w:val="22"/>
        </w:rPr>
        <w:t>si  la</w:t>
      </w:r>
      <w:proofErr w:type="gramEnd"/>
      <w:r w:rsidRPr="0009647A">
        <w:rPr>
          <w:rFonts w:ascii="Bookman Old Style" w:hAnsi="Bookman Old Style"/>
          <w:sz w:val="22"/>
          <w:szCs w:val="22"/>
        </w:rPr>
        <w:t xml:space="preserve"> </w:t>
      </w:r>
      <w:r w:rsidRPr="0009647A">
        <w:rPr>
          <w:rFonts w:ascii="Bookman Old Style" w:hAnsi="Bookman Old Style"/>
          <w:b/>
          <w:sz w:val="22"/>
          <w:szCs w:val="22"/>
        </w:rPr>
        <w:t>SOCIEDAD CONSTRU GE SA DE C.V.</w:t>
      </w:r>
      <w:r w:rsidRPr="0009647A">
        <w:rPr>
          <w:rFonts w:ascii="Bookman Old Style" w:hAnsi="Bookman Old Style"/>
          <w:sz w:val="22"/>
          <w:szCs w:val="22"/>
        </w:rPr>
        <w:t xml:space="preserve"> Representada por el señor </w:t>
      </w:r>
      <w:r w:rsidRPr="0009647A">
        <w:rPr>
          <w:rFonts w:ascii="Bookman Old Style" w:hAnsi="Bookman Old Style"/>
          <w:b/>
          <w:sz w:val="22"/>
          <w:szCs w:val="22"/>
        </w:rPr>
        <w:t xml:space="preserve">Raúl Antonio Velásquez de la O, </w:t>
      </w:r>
      <w:r w:rsidRPr="0009647A">
        <w:rPr>
          <w:rFonts w:ascii="Bookman Old Style" w:hAnsi="Bookman Old Style"/>
          <w:sz w:val="22"/>
          <w:szCs w:val="22"/>
        </w:rPr>
        <w:t>ha prestado servicios Profesionales para la Municipalidad de El Divisadero desde el año 2009 a la fecha, de ser positiva la respuesta, extender fotocopia Certificada de las facturas extendidas</w:t>
      </w:r>
      <w:r>
        <w:rPr>
          <w:rFonts w:ascii="Bookman Old Style" w:hAnsi="Bookman Old Style"/>
          <w:sz w:val="22"/>
          <w:szCs w:val="22"/>
        </w:rPr>
        <w:t xml:space="preserve"> de los honorarios</w:t>
      </w:r>
      <w:r w:rsidRPr="0009647A">
        <w:rPr>
          <w:rFonts w:ascii="Bookman Old Style" w:hAnsi="Bookman Old Style"/>
          <w:sz w:val="22"/>
          <w:szCs w:val="22"/>
        </w:rPr>
        <w:t xml:space="preserve"> generados</w:t>
      </w:r>
    </w:p>
    <w:p w:rsidR="0047325F" w:rsidRPr="0009647A" w:rsidRDefault="0047325F" w:rsidP="0047325F">
      <w:pPr>
        <w:pStyle w:val="Default"/>
        <w:ind w:left="1416"/>
        <w:jc w:val="both"/>
        <w:rPr>
          <w:rFonts w:ascii="Bookman Old Style" w:hAnsi="Bookman Old Style"/>
          <w:bCs/>
          <w:i/>
          <w:iCs/>
          <w:sz w:val="22"/>
          <w:szCs w:val="22"/>
        </w:rPr>
      </w:pPr>
    </w:p>
    <w:p w:rsidR="0047325F" w:rsidRPr="0009647A" w:rsidRDefault="0047325F" w:rsidP="0047325F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Con base a las funciones que le corresponde al Oficial de Información, de conformidad al art. 50 literal d), i) y j) de la Ley de Acceso a la Información </w:t>
      </w:r>
      <w:proofErr w:type="spellStart"/>
      <w:r w:rsidRPr="0009647A">
        <w:rPr>
          <w:rFonts w:ascii="Bookman Old Style" w:hAnsi="Bookman Old Style"/>
          <w:sz w:val="22"/>
          <w:szCs w:val="22"/>
        </w:rPr>
        <w:t>Publica</w:t>
      </w:r>
      <w:proofErr w:type="spellEnd"/>
      <w:r w:rsidRPr="0009647A">
        <w:rPr>
          <w:rFonts w:ascii="Bookman Old Style" w:hAnsi="Bookman Old Style"/>
          <w:sz w:val="22"/>
          <w:szCs w:val="22"/>
        </w:rPr>
        <w:t>, en el sentido de realizar los trámites mediante procedimientos sencillos y expeditos, a fin de facilitar la información solicitada por la requirente de una manera oportuna y veraz.</w:t>
      </w:r>
    </w:p>
    <w:p w:rsidR="0047325F" w:rsidRDefault="0047325F" w:rsidP="0047325F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Es de aclarar que la Oficial de Información es el vínculo entre el ente obligado y la solicitante, realizando las </w:t>
      </w:r>
      <w:proofErr w:type="gramStart"/>
      <w:r w:rsidRPr="0009647A">
        <w:rPr>
          <w:rFonts w:ascii="Bookman Old Style" w:hAnsi="Bookman Old Style"/>
          <w:sz w:val="22"/>
          <w:szCs w:val="22"/>
        </w:rPr>
        <w:t>gestiones necesaria</w:t>
      </w:r>
      <w:proofErr w:type="gramEnd"/>
      <w:r w:rsidRPr="0009647A">
        <w:rPr>
          <w:rFonts w:ascii="Bookman Old Style" w:hAnsi="Bookman Old Style"/>
          <w:sz w:val="22"/>
          <w:szCs w:val="22"/>
        </w:rPr>
        <w:t>, para facilitar el acceso a la información</w:t>
      </w:r>
    </w:p>
    <w:p w:rsidR="0047325F" w:rsidRPr="0009647A" w:rsidRDefault="0047325F" w:rsidP="0047325F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II-</w:t>
      </w:r>
      <w:r w:rsidRPr="0009647A">
        <w:rPr>
          <w:rFonts w:ascii="Bookman Old Style" w:hAnsi="Bookman Old Style"/>
          <w:b/>
          <w:sz w:val="22"/>
          <w:szCs w:val="22"/>
        </w:rPr>
        <w:t xml:space="preserve"> FUNDAMENTACION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b/>
          <w:sz w:val="22"/>
          <w:szCs w:val="22"/>
        </w:rPr>
      </w:pPr>
    </w:p>
    <w:p w:rsidR="00FF73AB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El derecho de Acceso a la Información </w:t>
      </w:r>
      <w:proofErr w:type="spellStart"/>
      <w:r w:rsidRPr="0009647A">
        <w:rPr>
          <w:rFonts w:ascii="Bookman Old Style" w:hAnsi="Bookman Old Style"/>
          <w:sz w:val="22"/>
          <w:szCs w:val="22"/>
        </w:rPr>
        <w:t>Publica</w:t>
      </w:r>
      <w:proofErr w:type="spellEnd"/>
      <w:r w:rsidRPr="0009647A">
        <w:rPr>
          <w:rFonts w:ascii="Bookman Old Style" w:hAnsi="Bookman Old Style"/>
          <w:sz w:val="22"/>
          <w:szCs w:val="22"/>
        </w:rPr>
        <w:t xml:space="preserve">, tiene una condición discutible de derecho fundamental, anclada en el Reconocimiento constitucional del Derecho a la Libertad de Expresión (Art. 6 de la </w:t>
      </w:r>
      <w:proofErr w:type="spellStart"/>
      <w:r w:rsidRPr="0009647A">
        <w:rPr>
          <w:rFonts w:ascii="Bookman Old Style" w:hAnsi="Bookman Old Style"/>
          <w:sz w:val="22"/>
          <w:szCs w:val="22"/>
        </w:rPr>
        <w:t>Cn</w:t>
      </w:r>
      <w:proofErr w:type="spellEnd"/>
      <w:r w:rsidRPr="0009647A">
        <w:rPr>
          <w:rFonts w:ascii="Bookman Old Style" w:hAnsi="Bookman Old Style"/>
          <w:sz w:val="22"/>
          <w:szCs w:val="22"/>
        </w:rPr>
        <w:t xml:space="preserve">) que tiene como presupuesto el derecho de investigar o buscar y recibir informaciones de toda índole, pública o privada, que tengan interés público, y en el principio Democrático del Estado de Derecho -  de la Republica como forma de Estado- (Art. 85 </w:t>
      </w:r>
      <w:proofErr w:type="spellStart"/>
      <w:r w:rsidRPr="0009647A">
        <w:rPr>
          <w:rFonts w:ascii="Bookman Old Style" w:hAnsi="Bookman Old Style"/>
          <w:sz w:val="22"/>
          <w:szCs w:val="22"/>
        </w:rPr>
        <w:t>Cn</w:t>
      </w:r>
      <w:proofErr w:type="spellEnd"/>
      <w:r w:rsidRPr="0009647A">
        <w:rPr>
          <w:rFonts w:ascii="Bookman Old Style" w:hAnsi="Bookman Old Style"/>
          <w:sz w:val="22"/>
          <w:szCs w:val="22"/>
        </w:rPr>
        <w:t xml:space="preserve">.) que impone a los poderes públicos el deber de garantizar la Transparencia y la Publicidad en la Administración, así </w:t>
      </w:r>
    </w:p>
    <w:p w:rsidR="00FF73AB" w:rsidRDefault="00FF73AB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FF73AB" w:rsidRDefault="00FF73AB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FF73AB" w:rsidRDefault="00FF73AB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FF73AB" w:rsidRDefault="00FF73AB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FF73AB" w:rsidRDefault="00FF73AB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FF73AB" w:rsidRDefault="00FF73AB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>como la Rendición de cuentas sobre el destino de los Recursos y Fondos Públicos (</w:t>
      </w:r>
      <w:r w:rsidRPr="0009647A">
        <w:rPr>
          <w:rFonts w:ascii="Bookman Old Style" w:hAnsi="Bookman Old Style"/>
          <w:b/>
          <w:sz w:val="22"/>
          <w:szCs w:val="22"/>
        </w:rPr>
        <w:t xml:space="preserve">Sala de lo constitucional de la Corte Suprema de Justicia, amparo: 155-2013, del 6/03/2013, y las </w:t>
      </w:r>
      <w:proofErr w:type="gramStart"/>
      <w:r w:rsidRPr="0009647A">
        <w:rPr>
          <w:rFonts w:ascii="Bookman Old Style" w:hAnsi="Bookman Old Style"/>
          <w:b/>
          <w:sz w:val="22"/>
          <w:szCs w:val="22"/>
        </w:rPr>
        <w:t>que  se</w:t>
      </w:r>
      <w:proofErr w:type="gramEnd"/>
      <w:r w:rsidRPr="0009647A">
        <w:rPr>
          <w:rFonts w:ascii="Bookman Old Style" w:hAnsi="Bookman Old Style"/>
          <w:b/>
          <w:sz w:val="22"/>
          <w:szCs w:val="22"/>
        </w:rPr>
        <w:t xml:space="preserve"> citan: Inc. 13-2011, del 5/12/2012; Inc. 1-2010, del 25/08/2010; Inc. 91-2007, del 24/09/2010.)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b/>
          <w:sz w:val="22"/>
          <w:szCs w:val="22"/>
        </w:rPr>
      </w:pPr>
    </w:p>
    <w:p w:rsidR="0047325F" w:rsidRPr="0009647A" w:rsidRDefault="0047325F" w:rsidP="0047325F">
      <w:pPr>
        <w:pStyle w:val="Default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III- </w:t>
      </w:r>
      <w:r w:rsidRPr="0009647A">
        <w:rPr>
          <w:rFonts w:ascii="Bookman Old Style" w:hAnsi="Bookman Old Style"/>
          <w:b/>
          <w:sz w:val="22"/>
          <w:szCs w:val="22"/>
        </w:rPr>
        <w:t xml:space="preserve">CONCLUSION:  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b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Por lo </w:t>
      </w:r>
      <w:proofErr w:type="gramStart"/>
      <w:r w:rsidRPr="0009647A">
        <w:rPr>
          <w:rFonts w:ascii="Bookman Old Style" w:hAnsi="Bookman Old Style"/>
          <w:sz w:val="22"/>
          <w:szCs w:val="22"/>
        </w:rPr>
        <w:t>tanto</w:t>
      </w:r>
      <w:proofErr w:type="gramEnd"/>
      <w:r w:rsidRPr="0009647A">
        <w:rPr>
          <w:rFonts w:ascii="Bookman Old Style" w:hAnsi="Bookman Old Style"/>
          <w:sz w:val="22"/>
          <w:szCs w:val="22"/>
        </w:rPr>
        <w:t xml:space="preserve"> en virtud de lo anterior le Comunico que no es posible proporcionarle la información solicitada en vista que esta Municipalidad no tiene ninguna relación con la </w:t>
      </w:r>
      <w:r w:rsidRPr="0009647A">
        <w:rPr>
          <w:rFonts w:ascii="Bookman Old Style" w:hAnsi="Bookman Old Style"/>
          <w:b/>
          <w:sz w:val="22"/>
          <w:szCs w:val="22"/>
        </w:rPr>
        <w:t>SOCIEDAD CONSTRU GE SA DE C.V.</w:t>
      </w:r>
      <w:r w:rsidRPr="0009647A">
        <w:rPr>
          <w:rFonts w:ascii="Bookman Old Style" w:hAnsi="Bookman Old Style"/>
          <w:sz w:val="22"/>
          <w:szCs w:val="22"/>
        </w:rPr>
        <w:t xml:space="preserve"> Representada por el señor </w:t>
      </w:r>
      <w:r w:rsidRPr="0009647A">
        <w:rPr>
          <w:rFonts w:ascii="Bookman Old Style" w:hAnsi="Bookman Old Style"/>
          <w:b/>
          <w:sz w:val="22"/>
          <w:szCs w:val="22"/>
        </w:rPr>
        <w:t xml:space="preserve">Raúl Antonio Velásquez de la O, </w:t>
      </w:r>
      <w:r w:rsidRPr="0009647A">
        <w:rPr>
          <w:rFonts w:ascii="Bookman Old Style" w:hAnsi="Bookman Old Style"/>
          <w:sz w:val="22"/>
          <w:szCs w:val="22"/>
        </w:rPr>
        <w:t>por no haber prestado servicios a esta Municipalidad.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Sin más que agregar 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>Atentamente,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ab/>
        <w:t>Elsa Judith Lazo Molina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ab/>
        <w:t>Oficial de Información</w:t>
      </w: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7325F" w:rsidRPr="0009647A" w:rsidRDefault="0047325F" w:rsidP="0047325F">
      <w:pPr>
        <w:pStyle w:val="Default"/>
        <w:ind w:left="720"/>
        <w:jc w:val="both"/>
        <w:rPr>
          <w:rFonts w:ascii="Bookman Old Style" w:hAnsi="Bookman Old Style"/>
          <w:sz w:val="22"/>
          <w:szCs w:val="22"/>
        </w:rPr>
      </w:pPr>
      <w:r w:rsidRPr="0009647A">
        <w:rPr>
          <w:rFonts w:ascii="Bookman Old Style" w:hAnsi="Bookman Old Style"/>
          <w:sz w:val="22"/>
          <w:szCs w:val="22"/>
        </w:rPr>
        <w:t xml:space="preserve"> </w:t>
      </w:r>
    </w:p>
    <w:p w:rsidR="0047325F" w:rsidRPr="0009647A" w:rsidRDefault="0047325F" w:rsidP="0047325F">
      <w:pPr>
        <w:pStyle w:val="Default"/>
        <w:ind w:left="1800"/>
        <w:jc w:val="both"/>
        <w:rPr>
          <w:rFonts w:ascii="Bookman Old Style" w:hAnsi="Bookman Old Style"/>
          <w:sz w:val="22"/>
          <w:szCs w:val="22"/>
        </w:rPr>
      </w:pPr>
    </w:p>
    <w:p w:rsidR="00313608" w:rsidRDefault="00313608"/>
    <w:sectPr w:rsidR="00313608" w:rsidSect="00FF73AB">
      <w:pgSz w:w="12240" w:h="15840"/>
      <w:pgMar w:top="45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470B"/>
    <w:multiLevelType w:val="hybridMultilevel"/>
    <w:tmpl w:val="7B96CDF4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406BC0"/>
    <w:multiLevelType w:val="hybridMultilevel"/>
    <w:tmpl w:val="0C94CD52"/>
    <w:lvl w:ilvl="0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5F"/>
    <w:rsid w:val="00313608"/>
    <w:rsid w:val="0032441D"/>
    <w:rsid w:val="0047325F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FC4B"/>
  <w15:chartTrackingRefBased/>
  <w15:docId w15:val="{2BC9DEC2-C61B-47A0-9053-F182964B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732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2020-06-03T22:03:00Z</cp:lastPrinted>
  <dcterms:created xsi:type="dcterms:W3CDTF">2020-06-03T21:57:00Z</dcterms:created>
  <dcterms:modified xsi:type="dcterms:W3CDTF">2020-06-03T22:03:00Z</dcterms:modified>
</cp:coreProperties>
</file>