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11489C7E" w:rsidR="00D5213F" w:rsidRPr="003041EC" w:rsidRDefault="00160CB1"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A66E04" wp14:editId="6DA97AD4">
            <wp:simplePos x="0" y="0"/>
            <wp:positionH relativeFrom="column">
              <wp:posOffset>-755374</wp:posOffset>
            </wp:positionH>
            <wp:positionV relativeFrom="paragraph">
              <wp:posOffset>-1365112</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281A3AA5"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3479F1">
        <w:rPr>
          <w:rFonts w:ascii="Times New Roman" w:hAnsi="Times New Roman" w:cs="Times New Roman"/>
          <w:b/>
          <w:szCs w:val="24"/>
        </w:rPr>
        <w:t>82</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64CC791F"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3479F1">
        <w:rPr>
          <w:rFonts w:ascii="Times New Roman" w:hAnsi="Times New Roman" w:cs="Times New Roman"/>
          <w:sz w:val="24"/>
          <w:szCs w:val="24"/>
        </w:rPr>
        <w:t>nueve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3479F1">
        <w:rPr>
          <w:rFonts w:ascii="Times New Roman" w:hAnsi="Times New Roman" w:cs="Times New Roman"/>
          <w:sz w:val="24"/>
          <w:szCs w:val="24"/>
        </w:rPr>
        <w:t>cuatro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479F1">
        <w:rPr>
          <w:rFonts w:ascii="Times New Roman" w:hAnsi="Times New Roman" w:cs="Times New Roman"/>
          <w:sz w:val="24"/>
          <w:szCs w:val="24"/>
        </w:rPr>
        <w:t>octubre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5151664D"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Licenciada</w:t>
      </w:r>
      <w:r w:rsidR="00B534FB">
        <w:rPr>
          <w:rFonts w:ascii="Times New Roman" w:hAnsi="Times New Roman" w:cs="Times New Roman"/>
          <w:noProof/>
          <w:sz w:val="24"/>
          <w:szCs w:val="24"/>
          <w:lang w:eastAsia="es-SV"/>
        </w:rPr>
        <w:t xml:space="preserve"> </w:t>
      </w:r>
      <w:r w:rsidR="00B534FB" w:rsidRPr="00B534FB">
        <w:rPr>
          <w:rFonts w:ascii="Times New Roman" w:hAnsi="Times New Roman" w:cs="Times New Roman"/>
          <w:noProof/>
          <w:sz w:val="24"/>
          <w:szCs w:val="24"/>
          <w:highlight w:val="black"/>
          <w:lang w:eastAsia="es-SV"/>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479F1">
        <w:rPr>
          <w:rFonts w:ascii="Times New Roman" w:hAnsi="Times New Roman" w:cs="Times New Roman"/>
          <w:noProof/>
          <w:sz w:val="24"/>
          <w:szCs w:val="24"/>
          <w:lang w:eastAsia="es-SV"/>
        </w:rPr>
        <w:t>quince</w:t>
      </w:r>
      <w:r w:rsidR="00801B0F" w:rsidRPr="003041EC">
        <w:rPr>
          <w:rFonts w:ascii="Times New Roman" w:hAnsi="Times New Roman" w:cs="Times New Roman"/>
          <w:noProof/>
          <w:sz w:val="24"/>
          <w:szCs w:val="24"/>
          <w:lang w:eastAsia="es-SV"/>
        </w:rPr>
        <w:t xml:space="preserve"> horas </w:t>
      </w:r>
      <w:r w:rsidR="003479F1">
        <w:rPr>
          <w:rFonts w:ascii="Times New Roman" w:hAnsi="Times New Roman" w:cs="Times New Roman"/>
          <w:noProof/>
          <w:sz w:val="24"/>
          <w:szCs w:val="24"/>
          <w:lang w:eastAsia="es-SV"/>
        </w:rPr>
        <w:t xml:space="preserve">del </w:t>
      </w:r>
      <w:r w:rsidR="003041EC" w:rsidRPr="003041EC">
        <w:rPr>
          <w:rFonts w:ascii="Times New Roman" w:hAnsi="Times New Roman" w:cs="Times New Roman"/>
          <w:noProof/>
          <w:sz w:val="24"/>
          <w:szCs w:val="24"/>
          <w:lang w:eastAsia="es-SV"/>
        </w:rPr>
        <w:t>día</w:t>
      </w:r>
      <w:r w:rsidR="003479F1">
        <w:rPr>
          <w:rFonts w:ascii="Times New Roman" w:hAnsi="Times New Roman" w:cs="Times New Roman"/>
          <w:noProof/>
          <w:sz w:val="24"/>
          <w:szCs w:val="24"/>
          <w:lang w:eastAsia="es-SV"/>
        </w:rPr>
        <w:t xml:space="preserve"> tres de los corrientes</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479F1">
        <w:rPr>
          <w:rFonts w:ascii="Times New Roman" w:hAnsi="Times New Roman" w:cs="Times New Roman"/>
          <w:b/>
          <w:sz w:val="24"/>
          <w:szCs w:val="24"/>
        </w:rPr>
        <w:t>82</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33079E63" w14:textId="77777777" w:rsidR="003479F1" w:rsidRDefault="003479F1" w:rsidP="003479F1">
      <w:pPr>
        <w:shd w:val="clear" w:color="auto" w:fill="FFFFFF"/>
        <w:jc w:val="both"/>
        <w:rPr>
          <w:b/>
          <w:i/>
          <w:iCs/>
          <w:lang w:val="es-SV" w:eastAsia="es-SV"/>
        </w:rPr>
      </w:pPr>
      <w:r>
        <w:rPr>
          <w:b/>
          <w:i/>
          <w:iCs/>
          <w:lang w:eastAsia="es-SV"/>
        </w:rPr>
        <w:t>Amablemente solicito me puedan apoyar con las siguientes consultas:</w:t>
      </w:r>
    </w:p>
    <w:p w14:paraId="4654083E" w14:textId="77777777" w:rsidR="003479F1" w:rsidRDefault="003479F1" w:rsidP="003479F1">
      <w:pPr>
        <w:shd w:val="clear" w:color="auto" w:fill="FFFFFF"/>
        <w:jc w:val="both"/>
        <w:rPr>
          <w:b/>
          <w:i/>
          <w:iCs/>
          <w:lang w:eastAsia="es-SV"/>
        </w:rPr>
      </w:pPr>
    </w:p>
    <w:p w14:paraId="20CD08EB" w14:textId="77777777" w:rsidR="003479F1" w:rsidRDefault="003479F1" w:rsidP="003479F1">
      <w:pPr>
        <w:shd w:val="clear" w:color="auto" w:fill="FFFFFF"/>
        <w:jc w:val="both"/>
        <w:rPr>
          <w:b/>
          <w:i/>
          <w:iCs/>
          <w:lang w:eastAsia="es-SV"/>
        </w:rPr>
      </w:pPr>
      <w:r>
        <w:rPr>
          <w:b/>
          <w:i/>
          <w:iCs/>
          <w:lang w:eastAsia="es-SV"/>
        </w:rPr>
        <w:t xml:space="preserve">1.  Indicar si la siguiente molécula está registrada o en proceso de registro sanitario: </w:t>
      </w:r>
    </w:p>
    <w:p w14:paraId="74DBE367" w14:textId="77777777" w:rsidR="003479F1" w:rsidRDefault="003479F1" w:rsidP="003479F1">
      <w:pPr>
        <w:shd w:val="clear" w:color="auto" w:fill="FFFFFF"/>
        <w:jc w:val="both"/>
        <w:rPr>
          <w:b/>
          <w:i/>
          <w:iCs/>
          <w:lang w:eastAsia="es-SV"/>
        </w:rPr>
      </w:pPr>
      <w:r>
        <w:rPr>
          <w:b/>
          <w:i/>
          <w:iCs/>
          <w:lang w:eastAsia="es-SV"/>
        </w:rPr>
        <w:t>•</w:t>
      </w:r>
      <w:r>
        <w:rPr>
          <w:b/>
          <w:i/>
          <w:iCs/>
          <w:lang w:eastAsia="es-SV"/>
        </w:rPr>
        <w:tab/>
      </w:r>
      <w:proofErr w:type="spellStart"/>
      <w:r>
        <w:rPr>
          <w:b/>
          <w:i/>
          <w:iCs/>
          <w:lang w:eastAsia="es-SV"/>
        </w:rPr>
        <w:t>Midostaurina</w:t>
      </w:r>
      <w:proofErr w:type="spellEnd"/>
      <w:r>
        <w:rPr>
          <w:b/>
          <w:i/>
          <w:iCs/>
          <w:lang w:eastAsia="es-SV"/>
        </w:rPr>
        <w:t>.</w:t>
      </w:r>
    </w:p>
    <w:p w14:paraId="126DCF1F" w14:textId="4061174C" w:rsidR="00163587" w:rsidRDefault="003479F1" w:rsidP="002F31AE">
      <w:pPr>
        <w:shd w:val="clear" w:color="auto" w:fill="FFFFFF"/>
        <w:jc w:val="both"/>
        <w:rPr>
          <w:b/>
          <w:i/>
          <w:iCs/>
          <w:lang w:eastAsia="es-SV"/>
        </w:rPr>
      </w:pPr>
      <w:r>
        <w:rPr>
          <w:b/>
          <w:i/>
          <w:iCs/>
          <w:lang w:eastAsia="es-SV"/>
        </w:rPr>
        <w:t>2. Adicional solicito me puedan proporcionar las indicaciones aprobadas actualmente para dichas moléculas.</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transportar, dispensar, prescribir, experimentar o promocionar medicamentos, </w:t>
      </w:r>
      <w:r w:rsidRPr="003041EC">
        <w:rPr>
          <w:rFonts w:ascii="Times New Roman" w:hAnsi="Times New Roman" w:cs="Times New Roman"/>
          <w:sz w:val="24"/>
          <w:szCs w:val="24"/>
        </w:rPr>
        <w:lastRenderedPageBreak/>
        <w:t>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0774FD2" w14:textId="30A269EE" w:rsidR="006D7D80" w:rsidRDefault="00492EB0" w:rsidP="006D7D8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8D0150">
        <w:rPr>
          <w:rFonts w:ascii="Times New Roman" w:hAnsi="Times New Roman" w:cs="Times New Roman"/>
          <w:sz w:val="24"/>
          <w:szCs w:val="24"/>
        </w:rPr>
        <w:t>.</w:t>
      </w:r>
    </w:p>
    <w:p w14:paraId="61C6A807" w14:textId="1F3A52AF" w:rsidR="008D0150" w:rsidRP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710A46" w:rsidRDefault="009E7790" w:rsidP="00BB7BE5">
      <w:pPr>
        <w:spacing w:line="276" w:lineRule="auto"/>
        <w:jc w:val="both"/>
        <w:rPr>
          <w:rFonts w:eastAsiaTheme="minorHAnsi"/>
          <w:sz w:val="20"/>
          <w:lang w:val="es-SV" w:eastAsia="en-US"/>
        </w:rPr>
      </w:pPr>
    </w:p>
    <w:p w14:paraId="0688F679" w14:textId="0877FB1F"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479F1">
        <w:rPr>
          <w:rFonts w:eastAsiaTheme="minorHAnsi"/>
          <w:b/>
          <w:lang w:val="es-SV" w:eastAsia="en-US"/>
        </w:rPr>
        <w:t>82</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6D75D78B" w14:textId="3D5BEA1D" w:rsidR="00784A8D" w:rsidRDefault="00784A8D" w:rsidP="00784A8D">
      <w:pPr>
        <w:jc w:val="both"/>
        <w:rPr>
          <w:bCs/>
          <w:i/>
        </w:rPr>
      </w:pPr>
      <w:r w:rsidRPr="003041EC">
        <w:rPr>
          <w:b/>
          <w:bCs/>
          <w:i/>
        </w:rPr>
        <w:t xml:space="preserve">Según nuestra base de datos, </w:t>
      </w:r>
      <w:r>
        <w:rPr>
          <w:b/>
          <w:bCs/>
          <w:i/>
        </w:rPr>
        <w:t xml:space="preserve">no </w:t>
      </w:r>
      <w:r w:rsidRPr="003041EC">
        <w:rPr>
          <w:b/>
          <w:bCs/>
          <w:i/>
        </w:rPr>
        <w:t>se encuentra</w:t>
      </w:r>
      <w:r>
        <w:rPr>
          <w:b/>
          <w:bCs/>
          <w:i/>
        </w:rPr>
        <w:t xml:space="preserve"> ningún producto</w:t>
      </w:r>
      <w:r w:rsidRPr="003041EC">
        <w:rPr>
          <w:b/>
          <w:bCs/>
          <w:i/>
        </w:rPr>
        <w:t xml:space="preserve"> </w:t>
      </w:r>
      <w:r>
        <w:rPr>
          <w:b/>
          <w:bCs/>
          <w:i/>
        </w:rPr>
        <w:t xml:space="preserve">registrado </w:t>
      </w:r>
      <w:r w:rsidRPr="003041EC">
        <w:rPr>
          <w:b/>
          <w:bCs/>
          <w:i/>
        </w:rPr>
        <w:t>con la molécula:</w:t>
      </w:r>
      <w:r w:rsidRPr="003041EC">
        <w:rPr>
          <w:b/>
          <w:i/>
        </w:rPr>
        <w:t xml:space="preserve"> </w:t>
      </w:r>
      <w:r>
        <w:rPr>
          <w:b/>
          <w:i/>
        </w:rPr>
        <w:t>MIDOSTAURINA</w:t>
      </w:r>
      <w:r w:rsidRPr="006D7D80">
        <w:rPr>
          <w:b/>
          <w:i/>
        </w:rPr>
        <w:t xml:space="preserve">. </w:t>
      </w:r>
      <w:r w:rsidRPr="006D7D80">
        <w:rPr>
          <w:bCs/>
          <w:i/>
        </w:rPr>
        <w:t>Dicha información se puede consultar mediante el siguiente link:</w:t>
      </w:r>
      <w:r w:rsidRPr="006D7D80">
        <w:rPr>
          <w:b/>
          <w:i/>
        </w:rPr>
        <w:t xml:space="preserve"> </w:t>
      </w:r>
      <w:hyperlink r:id="rId8" w:history="1">
        <w:r w:rsidRPr="006D7D80">
          <w:rPr>
            <w:b/>
            <w:i/>
          </w:rPr>
          <w:t>https://expedientes.medicamentos.gob.sv/productos/buscarProducto</w:t>
        </w:r>
      </w:hyperlink>
      <w:r w:rsidRPr="006D7D80">
        <w:rPr>
          <w:bCs/>
          <w:i/>
        </w:rPr>
        <w:t>, la búsqueda la puede realizar aplicando el filtro de “principio activo”</w:t>
      </w:r>
      <w:r>
        <w:rPr>
          <w:bCs/>
          <w:i/>
        </w:rPr>
        <w:t>.</w:t>
      </w:r>
      <w:r w:rsidRPr="006D7D80">
        <w:rPr>
          <w:bCs/>
          <w:i/>
        </w:rPr>
        <w:t xml:space="preserve"> </w:t>
      </w:r>
      <w:r>
        <w:rPr>
          <w:bCs/>
          <w:i/>
        </w:rPr>
        <w:t>Por ello no se puede proporcionar las indicaciones terapéuticas autorizadas.</w:t>
      </w:r>
    </w:p>
    <w:p w14:paraId="0A312983" w14:textId="77777777" w:rsidR="00784A8D" w:rsidRPr="006D7D80" w:rsidRDefault="00784A8D" w:rsidP="00784A8D">
      <w:pPr>
        <w:jc w:val="both"/>
        <w:rPr>
          <w:bCs/>
          <w:i/>
        </w:rPr>
      </w:pPr>
    </w:p>
    <w:p w14:paraId="0151FAF8" w14:textId="46F4D413" w:rsidR="00710A46" w:rsidRPr="00784A8D" w:rsidRDefault="00710A46" w:rsidP="00784A8D">
      <w:pPr>
        <w:pStyle w:val="Prrafodelista"/>
        <w:numPr>
          <w:ilvl w:val="0"/>
          <w:numId w:val="15"/>
        </w:numPr>
        <w:spacing w:after="0"/>
        <w:jc w:val="both"/>
        <w:rPr>
          <w:rFonts w:ascii="Times New Roman" w:hAnsi="Times New Roman" w:cs="Times New Roman"/>
          <w:bCs/>
          <w:i/>
          <w:sz w:val="24"/>
        </w:rPr>
      </w:pPr>
      <w:r w:rsidRPr="00784A8D">
        <w:rPr>
          <w:rFonts w:ascii="Times New Roman" w:hAnsi="Times New Roman" w:cs="Times New Roman"/>
          <w:bCs/>
          <w:i/>
          <w:sz w:val="24"/>
        </w:rPr>
        <w:t xml:space="preserve">Así mismo, no se encuentran ningún producto en proceso de inscripción con la molécula: </w:t>
      </w:r>
      <w:r w:rsidR="00784A8D" w:rsidRPr="00784A8D">
        <w:rPr>
          <w:rFonts w:ascii="Times New Roman" w:hAnsi="Times New Roman" w:cs="Times New Roman"/>
          <w:b/>
          <w:i/>
          <w:sz w:val="24"/>
        </w:rPr>
        <w:t>MIDOSTAURINA</w:t>
      </w:r>
      <w:r w:rsidRPr="00784A8D">
        <w:rPr>
          <w:rFonts w:ascii="Times New Roman" w:hAnsi="Times New Roman" w:cs="Times New Roman"/>
          <w:b/>
          <w:bCs/>
          <w:i/>
          <w:sz w:val="24"/>
        </w:rPr>
        <w:t>.</w:t>
      </w:r>
    </w:p>
    <w:p w14:paraId="12B66196" w14:textId="057C39F7" w:rsidR="003041EC" w:rsidRDefault="004461C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5485460"/>
    <w:multiLevelType w:val="hybridMultilevel"/>
    <w:tmpl w:val="3E0477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004017362">
    <w:abstractNumId w:val="11"/>
  </w:num>
  <w:num w:numId="2" w16cid:durableId="598948792">
    <w:abstractNumId w:val="4"/>
  </w:num>
  <w:num w:numId="3" w16cid:durableId="1860122314">
    <w:abstractNumId w:val="10"/>
  </w:num>
  <w:num w:numId="4" w16cid:durableId="1326395677">
    <w:abstractNumId w:val="2"/>
  </w:num>
  <w:num w:numId="5" w16cid:durableId="935527354">
    <w:abstractNumId w:val="3"/>
  </w:num>
  <w:num w:numId="6" w16cid:durableId="14890078">
    <w:abstractNumId w:val="13"/>
  </w:num>
  <w:num w:numId="7" w16cid:durableId="827674886">
    <w:abstractNumId w:val="12"/>
  </w:num>
  <w:num w:numId="8" w16cid:durableId="1752509722">
    <w:abstractNumId w:val="9"/>
  </w:num>
  <w:num w:numId="9" w16cid:durableId="180053141">
    <w:abstractNumId w:val="5"/>
  </w:num>
  <w:num w:numId="10" w16cid:durableId="890270154">
    <w:abstractNumId w:val="7"/>
  </w:num>
  <w:num w:numId="11" w16cid:durableId="85418905">
    <w:abstractNumId w:val="8"/>
  </w:num>
  <w:num w:numId="12" w16cid:durableId="1315642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029163">
    <w:abstractNumId w:val="0"/>
  </w:num>
  <w:num w:numId="14" w16cid:durableId="466751122">
    <w:abstractNumId w:val="6"/>
  </w:num>
  <w:num w:numId="15" w16cid:durableId="19427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0CB1"/>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2F31AE"/>
    <w:rsid w:val="003041EC"/>
    <w:rsid w:val="00321AB1"/>
    <w:rsid w:val="00327B55"/>
    <w:rsid w:val="00334240"/>
    <w:rsid w:val="00343F92"/>
    <w:rsid w:val="003479F1"/>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7D80"/>
    <w:rsid w:val="006E6949"/>
    <w:rsid w:val="007057AF"/>
    <w:rsid w:val="00710A46"/>
    <w:rsid w:val="00712AA0"/>
    <w:rsid w:val="00720228"/>
    <w:rsid w:val="00755D58"/>
    <w:rsid w:val="0077506D"/>
    <w:rsid w:val="00784A8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34FB"/>
    <w:rsid w:val="00B54BA5"/>
    <w:rsid w:val="00B74B57"/>
    <w:rsid w:val="00BA5FA6"/>
    <w:rsid w:val="00BB7BE5"/>
    <w:rsid w:val="00BD2286"/>
    <w:rsid w:val="00C03BB5"/>
    <w:rsid w:val="00C23DF3"/>
    <w:rsid w:val="00C3133D"/>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64786200">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4872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2023-10-18T16:38:00Z</dcterms:created>
  <dcterms:modified xsi:type="dcterms:W3CDTF">2023-10-18T16:38:00Z</dcterms:modified>
</cp:coreProperties>
</file>