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8C687" w14:textId="1D75C36D" w:rsidR="00CE279A" w:rsidRPr="009A0935" w:rsidRDefault="002E075F" w:rsidP="001F5F3E">
      <w:pPr>
        <w:pStyle w:val="Sinespaciado"/>
        <w:spacing w:line="276" w:lineRule="auto"/>
        <w:ind w:firstLine="708"/>
        <w:jc w:val="right"/>
        <w:rPr>
          <w:sz w:val="20"/>
          <w:szCs w:val="20"/>
        </w:rPr>
      </w:pPr>
      <w:r>
        <w:rPr>
          <w:noProof/>
          <w:lang w:eastAsia="es-SV"/>
        </w:rPr>
        <w:drawing>
          <wp:anchor distT="0" distB="0" distL="114300" distR="114300" simplePos="0" relativeHeight="251660288" behindDoc="0" locked="0" layoutInCell="1" allowOverlap="1" wp14:anchorId="1C9E3AA2" wp14:editId="1C8BABC6">
            <wp:simplePos x="0" y="0"/>
            <wp:positionH relativeFrom="page">
              <wp:align>left</wp:align>
            </wp:positionH>
            <wp:positionV relativeFrom="paragraph">
              <wp:posOffset>-1331595</wp:posOffset>
            </wp:positionV>
            <wp:extent cx="2475230" cy="9334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334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DA43EA">
        <w:rPr>
          <w:sz w:val="20"/>
          <w:szCs w:val="20"/>
        </w:rPr>
        <w:t>8</w:t>
      </w:r>
    </w:p>
    <w:p w14:paraId="765C50B5" w14:textId="4AA455A0" w:rsidR="00683209" w:rsidRDefault="00683209" w:rsidP="009A0935">
      <w:pPr>
        <w:pStyle w:val="Sinespaciado"/>
        <w:spacing w:line="276" w:lineRule="auto"/>
        <w:jc w:val="center"/>
        <w:rPr>
          <w:b/>
          <w:sz w:val="20"/>
          <w:szCs w:val="20"/>
        </w:rPr>
      </w:pPr>
    </w:p>
    <w:p w14:paraId="3064E6C9" w14:textId="4F944397"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29F67A46" w14:textId="77777777" w:rsidR="00CE279A" w:rsidRPr="00EE25ED" w:rsidRDefault="00CE279A" w:rsidP="009A0935">
      <w:pPr>
        <w:pStyle w:val="Sinespaciado"/>
        <w:spacing w:line="276" w:lineRule="auto"/>
        <w:jc w:val="center"/>
        <w:rPr>
          <w:b/>
          <w:sz w:val="16"/>
          <w:szCs w:val="20"/>
        </w:rPr>
      </w:pPr>
    </w:p>
    <w:p w14:paraId="6FBD8D51" w14:textId="4A8BD3CE" w:rsidR="00CE279A" w:rsidRPr="009A0935" w:rsidRDefault="00CE279A" w:rsidP="001D6A49">
      <w:pPr>
        <w:pStyle w:val="Sinespaciado"/>
        <w:tabs>
          <w:tab w:val="left" w:pos="2694"/>
        </w:tabs>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D6A49">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w:t>
      </w:r>
      <w:r w:rsidR="00DA43EA">
        <w:rPr>
          <w:sz w:val="20"/>
          <w:szCs w:val="20"/>
        </w:rPr>
        <w:t>cuarenta</w:t>
      </w:r>
      <w:r w:rsidR="004D37CE">
        <w:rPr>
          <w:sz w:val="20"/>
          <w:szCs w:val="20"/>
        </w:rPr>
        <w:t xml:space="preserve"> </w:t>
      </w:r>
      <w:r w:rsidR="00470821">
        <w:rPr>
          <w:sz w:val="20"/>
          <w:szCs w:val="20"/>
        </w:rPr>
        <w:t xml:space="preserve">minutos </w:t>
      </w:r>
      <w:r w:rsidRPr="009A0935">
        <w:rPr>
          <w:sz w:val="20"/>
          <w:szCs w:val="20"/>
        </w:rPr>
        <w:t xml:space="preserve">del día </w:t>
      </w:r>
      <w:r w:rsidR="00814059">
        <w:rPr>
          <w:sz w:val="20"/>
          <w:szCs w:val="20"/>
        </w:rPr>
        <w:t>veintinueve</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14:paraId="55E35DFA" w14:textId="77777777" w:rsidR="00CE279A" w:rsidRPr="00EE25ED" w:rsidRDefault="00CE279A" w:rsidP="009A0935">
      <w:pPr>
        <w:pStyle w:val="Sinespaciado"/>
        <w:spacing w:line="276" w:lineRule="auto"/>
        <w:jc w:val="both"/>
        <w:rPr>
          <w:sz w:val="16"/>
          <w:szCs w:val="20"/>
        </w:rPr>
      </w:pPr>
    </w:p>
    <w:p w14:paraId="0E991BE9" w14:textId="3ADA9AD1"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167CA1">
        <w:rPr>
          <w:sz w:val="20"/>
          <w:szCs w:val="20"/>
        </w:rPr>
        <w:t>suscrita por</w:t>
      </w:r>
      <w:r w:rsidR="00167CA1" w:rsidRPr="00167CA1">
        <w:rPr>
          <w:sz w:val="20"/>
          <w:szCs w:val="20"/>
          <w:highlight w:val="black"/>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814059">
        <w:rPr>
          <w:noProof/>
          <w:sz w:val="20"/>
          <w:szCs w:val="20"/>
          <w:lang w:eastAsia="es-SV"/>
        </w:rPr>
        <w:t>catorce</w:t>
      </w:r>
      <w:r w:rsidR="00801B0F">
        <w:rPr>
          <w:noProof/>
          <w:sz w:val="20"/>
          <w:szCs w:val="20"/>
          <w:lang w:eastAsia="es-SV"/>
        </w:rPr>
        <w:t xml:space="preserve"> horas </w:t>
      </w:r>
      <w:r w:rsidR="00DA43EA">
        <w:rPr>
          <w:noProof/>
          <w:sz w:val="20"/>
          <w:szCs w:val="20"/>
          <w:lang w:eastAsia="es-SV"/>
        </w:rPr>
        <w:t xml:space="preserve">y cuarenta minutos </w:t>
      </w:r>
      <w:r w:rsidR="00321AB1">
        <w:rPr>
          <w:noProof/>
          <w:sz w:val="20"/>
          <w:szCs w:val="20"/>
          <w:lang w:eastAsia="es-SV"/>
        </w:rPr>
        <w:t xml:space="preserve">del día </w:t>
      </w:r>
      <w:r w:rsidR="00683209">
        <w:rPr>
          <w:noProof/>
          <w:sz w:val="20"/>
          <w:szCs w:val="20"/>
          <w:lang w:eastAsia="es-SV"/>
        </w:rPr>
        <w:t>veintiseis</w:t>
      </w:r>
      <w:r w:rsidR="00321AB1">
        <w:rPr>
          <w:noProof/>
          <w:sz w:val="20"/>
          <w:szCs w:val="20"/>
          <w:lang w:eastAsia="es-SV"/>
        </w:rPr>
        <w:t xml:space="preserve"> de agosto del corriente año</w:t>
      </w:r>
      <w:r w:rsidR="00883783">
        <w:rPr>
          <w:noProof/>
          <w:sz w:val="20"/>
          <w:szCs w:val="20"/>
          <w:lang w:eastAsia="es-SV"/>
        </w:rPr>
        <w:t xml:space="preserve">, </w:t>
      </w:r>
      <w:r w:rsidRPr="009A0935">
        <w:rPr>
          <w:sz w:val="20"/>
          <w:szCs w:val="20"/>
        </w:rPr>
        <w:t xml:space="preserve">correspondiente al expediente referencia </w:t>
      </w:r>
      <w:r w:rsidRPr="006A787E">
        <w:rPr>
          <w:b/>
          <w:sz w:val="20"/>
          <w:szCs w:val="20"/>
        </w:rPr>
        <w:t>SAIP_ 20</w:t>
      </w:r>
      <w:r w:rsidR="00556C4B" w:rsidRPr="006A787E">
        <w:rPr>
          <w:b/>
          <w:sz w:val="20"/>
          <w:szCs w:val="20"/>
        </w:rPr>
        <w:t>2</w:t>
      </w:r>
      <w:r w:rsidR="006A0B84" w:rsidRPr="006A787E">
        <w:rPr>
          <w:b/>
          <w:sz w:val="20"/>
          <w:szCs w:val="20"/>
        </w:rPr>
        <w:t>2</w:t>
      </w:r>
      <w:r w:rsidRPr="006A787E">
        <w:rPr>
          <w:b/>
          <w:sz w:val="20"/>
          <w:szCs w:val="20"/>
        </w:rPr>
        <w:t>_0</w:t>
      </w:r>
      <w:r w:rsidR="00801B0F" w:rsidRPr="006A787E">
        <w:rPr>
          <w:b/>
          <w:sz w:val="20"/>
          <w:szCs w:val="20"/>
        </w:rPr>
        <w:t>4</w:t>
      </w:r>
      <w:r w:rsidR="00DA43EA">
        <w:rPr>
          <w:b/>
          <w:sz w:val="20"/>
          <w:szCs w:val="20"/>
        </w:rPr>
        <w:t>8</w:t>
      </w:r>
      <w:r w:rsidR="00556ACA">
        <w:rPr>
          <w:sz w:val="20"/>
          <w:szCs w:val="20"/>
        </w:rPr>
        <w:t>;</w:t>
      </w:r>
      <w:r w:rsidR="00556C4B" w:rsidRPr="009A0935">
        <w:rPr>
          <w:rFonts w:eastAsia="Calibri"/>
          <w:noProof/>
          <w:sz w:val="20"/>
          <w:szCs w:val="20"/>
          <w:lang w:eastAsia="es-SV"/>
        </w:rPr>
        <w:t xml:space="preserve"> </w:t>
      </w:r>
    </w:p>
    <w:p w14:paraId="22D07630" w14:textId="77777777" w:rsidR="00B74B57" w:rsidRPr="00814059" w:rsidRDefault="00B74B57" w:rsidP="009A0935">
      <w:pPr>
        <w:pStyle w:val="Sinespaciado"/>
        <w:spacing w:line="276" w:lineRule="auto"/>
        <w:jc w:val="both"/>
        <w:rPr>
          <w:sz w:val="16"/>
          <w:szCs w:val="20"/>
        </w:rPr>
      </w:pPr>
    </w:p>
    <w:p w14:paraId="3252E049"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307329FC" w14:textId="77777777" w:rsidR="006E6949" w:rsidRPr="00814059" w:rsidRDefault="006E6949" w:rsidP="00BB7BE5">
      <w:pPr>
        <w:pStyle w:val="Sinespaciado"/>
        <w:spacing w:line="276" w:lineRule="auto"/>
        <w:ind w:left="1430"/>
        <w:rPr>
          <w:b/>
          <w:sz w:val="16"/>
          <w:szCs w:val="20"/>
        </w:rPr>
      </w:pPr>
    </w:p>
    <w:p w14:paraId="4D1E7DBD" w14:textId="77777777" w:rsidR="00356648" w:rsidRDefault="00DA43EA" w:rsidP="001F5F3E">
      <w:pPr>
        <w:pStyle w:val="Sinespaciado"/>
        <w:jc w:val="both"/>
        <w:rPr>
          <w:sz w:val="20"/>
          <w:szCs w:val="20"/>
        </w:rPr>
      </w:pPr>
      <w:r>
        <w:rPr>
          <w:sz w:val="20"/>
          <w:szCs w:val="20"/>
        </w:rPr>
        <w:t>El</w:t>
      </w:r>
      <w:r w:rsidR="00470821">
        <w:rPr>
          <w:sz w:val="20"/>
          <w:szCs w:val="20"/>
        </w:rPr>
        <w:t xml:space="preserve"> ciudadan</w:t>
      </w:r>
      <w:r>
        <w:rPr>
          <w:sz w:val="20"/>
          <w:szCs w:val="20"/>
        </w:rPr>
        <w:t>o</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25CAA9A8" w14:textId="77777777" w:rsidR="00DA43EA" w:rsidRDefault="00DA43EA" w:rsidP="001F5F3E">
      <w:pPr>
        <w:pStyle w:val="Sinespaciado"/>
        <w:jc w:val="both"/>
        <w:rPr>
          <w:sz w:val="20"/>
          <w:szCs w:val="20"/>
        </w:rPr>
      </w:pPr>
    </w:p>
    <w:p w14:paraId="6ADB5E62" w14:textId="1D79794E" w:rsidR="00321AB1" w:rsidRPr="0040080A" w:rsidRDefault="00DA43EA" w:rsidP="006A787E">
      <w:pPr>
        <w:jc w:val="both"/>
        <w:rPr>
          <w:rFonts w:asciiTheme="minorHAnsi" w:hAnsiTheme="minorHAnsi" w:cstheme="minorHAnsi"/>
          <w:b/>
          <w:bCs/>
          <w:i/>
          <w:sz w:val="20"/>
          <w:szCs w:val="20"/>
        </w:rPr>
      </w:pPr>
      <w:r w:rsidRPr="0040080A">
        <w:rPr>
          <w:rFonts w:asciiTheme="minorHAnsi" w:hAnsiTheme="minorHAnsi" w:cstheme="minorHAnsi"/>
          <w:b/>
          <w:bCs/>
          <w:i/>
          <w:sz w:val="20"/>
          <w:szCs w:val="20"/>
        </w:rPr>
        <w:t xml:space="preserve">“Estatus del establecimiento Farmacias Azul # de Reg. E10F3110, propiedad </w:t>
      </w:r>
      <w:bookmarkStart w:id="0" w:name="_GoBack"/>
      <w:bookmarkEnd w:id="0"/>
      <w:r w:rsidRPr="0040080A">
        <w:rPr>
          <w:rFonts w:asciiTheme="minorHAnsi" w:hAnsiTheme="minorHAnsi" w:cstheme="minorHAnsi"/>
          <w:b/>
          <w:bCs/>
          <w:i/>
          <w:sz w:val="20"/>
          <w:szCs w:val="20"/>
        </w:rPr>
        <w:t xml:space="preserve">de </w:t>
      </w:r>
      <w:r w:rsidR="00167CA1" w:rsidRPr="00167CA1">
        <w:rPr>
          <w:rFonts w:asciiTheme="minorHAnsi" w:hAnsiTheme="minorHAnsi" w:cstheme="minorHAnsi"/>
          <w:b/>
          <w:bCs/>
          <w:i/>
          <w:sz w:val="20"/>
          <w:szCs w:val="20"/>
          <w:highlight w:val="black"/>
        </w:rPr>
        <w:t>…………………………………………..</w:t>
      </w:r>
    </w:p>
    <w:p w14:paraId="7CC0B2F5" w14:textId="77777777" w:rsidR="006A787E" w:rsidRPr="00814059" w:rsidRDefault="006A787E" w:rsidP="006A787E">
      <w:pPr>
        <w:jc w:val="both"/>
        <w:rPr>
          <w:rFonts w:asciiTheme="minorHAnsi" w:hAnsiTheme="minorHAnsi" w:cstheme="minorHAnsi"/>
          <w:b/>
          <w:i/>
          <w:sz w:val="16"/>
          <w:szCs w:val="20"/>
        </w:rPr>
      </w:pPr>
    </w:p>
    <w:p w14:paraId="079E6DCC"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63E6EA46" w14:textId="77777777" w:rsidR="00CE279A" w:rsidRPr="00EE25ED" w:rsidRDefault="00CE279A" w:rsidP="009A0935">
      <w:pPr>
        <w:pStyle w:val="Sinespaciado"/>
        <w:spacing w:line="276" w:lineRule="auto"/>
        <w:jc w:val="both"/>
        <w:rPr>
          <w:sz w:val="16"/>
          <w:szCs w:val="20"/>
          <w:lang w:val="es-ES"/>
        </w:rPr>
      </w:pPr>
    </w:p>
    <w:p w14:paraId="2CB65DFE"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6B409597" w14:textId="77777777" w:rsidR="00343F92" w:rsidRPr="00EE25ED" w:rsidRDefault="00343F92" w:rsidP="00343F92">
      <w:pPr>
        <w:pStyle w:val="Sinespaciado"/>
        <w:spacing w:line="276" w:lineRule="auto"/>
        <w:ind w:left="1430"/>
        <w:rPr>
          <w:b/>
          <w:sz w:val="16"/>
          <w:szCs w:val="20"/>
        </w:rPr>
      </w:pPr>
    </w:p>
    <w:p w14:paraId="27B7A42A"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B219EB9" w14:textId="6813C0C9" w:rsidR="0040080A" w:rsidRPr="005874C3" w:rsidRDefault="003A6ECA" w:rsidP="0040080A">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58D7D8C7" w14:textId="6BA42A80" w:rsidR="005874C3" w:rsidRDefault="005874C3" w:rsidP="0040080A">
      <w:pPr>
        <w:pStyle w:val="Sinespaciado"/>
        <w:numPr>
          <w:ilvl w:val="0"/>
          <w:numId w:val="7"/>
        </w:numPr>
        <w:spacing w:after="240" w:line="276" w:lineRule="auto"/>
        <w:ind w:left="709" w:hanging="425"/>
        <w:jc w:val="both"/>
        <w:rPr>
          <w:b/>
          <w:noProof/>
          <w:sz w:val="20"/>
          <w:szCs w:val="20"/>
          <w:lang w:eastAsia="es-SV"/>
        </w:rPr>
      </w:pPr>
      <w:r w:rsidRPr="0040080A">
        <w:rPr>
          <w:sz w:val="20"/>
          <w:szCs w:val="20"/>
        </w:rPr>
        <w:t>De conformidad artículo 11 de la Ley de Medicamentos se establece como una atribución del Director Ejecutivo “</w:t>
      </w:r>
      <w:r w:rsidRPr="0040080A">
        <w:rPr>
          <w:i/>
          <w:sz w:val="20"/>
          <w:szCs w:val="20"/>
        </w:rPr>
        <w:t>a) Llevar un registro público para la inscripción de los establecimientos que se autoricen;</w:t>
      </w:r>
      <w:r w:rsidRPr="0040080A">
        <w:rPr>
          <w:sz w:val="20"/>
          <w:szCs w:val="20"/>
        </w:rPr>
        <w:t>”</w:t>
      </w:r>
    </w:p>
    <w:p w14:paraId="2ECBBCFE" w14:textId="77777777" w:rsidR="00285061" w:rsidRDefault="00285061" w:rsidP="0040080A">
      <w:pPr>
        <w:pStyle w:val="Sinespaciado"/>
        <w:numPr>
          <w:ilvl w:val="0"/>
          <w:numId w:val="13"/>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591E19B7" w14:textId="77777777" w:rsidR="006754DB" w:rsidRPr="00883783" w:rsidRDefault="00ED23BF" w:rsidP="0040080A">
      <w:pPr>
        <w:pStyle w:val="Sinespaciado"/>
        <w:numPr>
          <w:ilvl w:val="0"/>
          <w:numId w:val="13"/>
        </w:numPr>
        <w:spacing w:after="240" w:line="276" w:lineRule="auto"/>
        <w:ind w:left="709" w:hanging="425"/>
        <w:jc w:val="both"/>
        <w:rPr>
          <w:noProof/>
          <w:sz w:val="18"/>
          <w:szCs w:val="20"/>
          <w:lang w:eastAsia="es-SV"/>
        </w:rPr>
      </w:pPr>
      <w:r>
        <w:rPr>
          <w:sz w:val="20"/>
          <w:szCs w:val="21"/>
        </w:rPr>
        <w:lastRenderedPageBreak/>
        <w:t xml:space="preserve">De modo accesorio, cabe </w:t>
      </w:r>
      <w:r w:rsidR="00EE25ED">
        <w:rPr>
          <w:sz w:val="20"/>
          <w:szCs w:val="21"/>
        </w:rPr>
        <w:t xml:space="preserve">destacar, que lo requerido por </w:t>
      </w:r>
      <w:r>
        <w:rPr>
          <w:sz w:val="20"/>
          <w:szCs w:val="21"/>
        </w:rPr>
        <w:t>l</w:t>
      </w:r>
      <w:r w:rsidR="00EE25ED">
        <w:rPr>
          <w:sz w:val="20"/>
          <w:szCs w:val="21"/>
        </w:rPr>
        <w:t>a</w:t>
      </w:r>
      <w:r>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14:paraId="72CD5938"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AE4AE15"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41F73578"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40080A">
        <w:rPr>
          <w:rFonts w:asciiTheme="minorHAnsi" w:eastAsiaTheme="minorHAnsi" w:hAnsiTheme="minorHAnsi" w:cstheme="minorBidi"/>
          <w:sz w:val="20"/>
          <w:szCs w:val="20"/>
          <w:lang w:val="es-SV" w:eastAsia="en-US"/>
        </w:rPr>
        <w:t>8</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153AE7">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 cual informó: </w:t>
      </w:r>
    </w:p>
    <w:p w14:paraId="43CB0E44" w14:textId="77777777" w:rsidR="009E7790" w:rsidRPr="00EE25ED" w:rsidRDefault="009E7790" w:rsidP="009E7790">
      <w:pPr>
        <w:pStyle w:val="Sinespaciado"/>
        <w:spacing w:line="276" w:lineRule="auto"/>
        <w:jc w:val="both"/>
        <w:rPr>
          <w:b/>
          <w:i/>
          <w:sz w:val="16"/>
          <w:szCs w:val="20"/>
        </w:rPr>
      </w:pPr>
    </w:p>
    <w:p w14:paraId="0F94B0B0" w14:textId="301280D8" w:rsidR="00F9752A" w:rsidRPr="006F7BD0" w:rsidRDefault="0040080A" w:rsidP="006F7BD0">
      <w:pPr>
        <w:pStyle w:val="Sinespaciado"/>
        <w:spacing w:line="276" w:lineRule="auto"/>
        <w:jc w:val="both"/>
        <w:rPr>
          <w:rFonts w:ascii="Museo Sans 300" w:hAnsi="Museo Sans 300"/>
          <w:b/>
          <w:i/>
          <w:sz w:val="20"/>
        </w:rPr>
      </w:pPr>
      <w:r w:rsidRPr="000971A4">
        <w:rPr>
          <w:rFonts w:ascii="Museo Sans 300" w:hAnsi="Museo Sans 300"/>
          <w:b/>
          <w:i/>
          <w:sz w:val="20"/>
        </w:rPr>
        <w:t>“</w:t>
      </w:r>
      <w:r>
        <w:rPr>
          <w:rFonts w:ascii="Museo Sans 300" w:hAnsi="Museo Sans 300"/>
          <w:b/>
          <w:i/>
          <w:sz w:val="20"/>
        </w:rPr>
        <w:t>Estado de E10F3110: Cancelado.</w:t>
      </w:r>
      <w:r w:rsidRPr="000971A4">
        <w:rPr>
          <w:rFonts w:ascii="Museo Sans 300" w:hAnsi="Museo Sans 300"/>
          <w:b/>
          <w:i/>
          <w:sz w:val="20"/>
        </w:rPr>
        <w:t>”</w:t>
      </w:r>
    </w:p>
    <w:p w14:paraId="564B0F2D" w14:textId="77777777" w:rsidR="00F9752A" w:rsidRDefault="00F9752A" w:rsidP="00F9752A">
      <w:pPr>
        <w:pStyle w:val="Default"/>
      </w:pPr>
      <w:r>
        <w:t xml:space="preserve"> </w:t>
      </w:r>
    </w:p>
    <w:p w14:paraId="189216E1" w14:textId="4C70DF86" w:rsidR="00F9752A" w:rsidRDefault="00BC1855" w:rsidP="000B7529">
      <w:pPr>
        <w:pStyle w:val="Default"/>
        <w:jc w:val="both"/>
        <w:rPr>
          <w:color w:val="0000FF"/>
          <w:sz w:val="20"/>
          <w:szCs w:val="20"/>
        </w:rPr>
      </w:pPr>
      <w:r>
        <w:rPr>
          <w:sz w:val="20"/>
          <w:szCs w:val="20"/>
        </w:rPr>
        <w:t xml:space="preserve">De lo anterior, es menester aclarar, </w:t>
      </w:r>
      <w:r w:rsidR="006F7BD0">
        <w:rPr>
          <w:sz w:val="20"/>
          <w:szCs w:val="20"/>
        </w:rPr>
        <w:t>que de acuerdo al artículo 38 del Reglamento General de la Ley de Medicamentos</w:t>
      </w:r>
      <w:r w:rsidR="00F9752A">
        <w:rPr>
          <w:sz w:val="20"/>
          <w:szCs w:val="20"/>
        </w:rPr>
        <w:t xml:space="preserve">, </w:t>
      </w:r>
      <w:r w:rsidR="00D7415F">
        <w:rPr>
          <w:sz w:val="20"/>
          <w:szCs w:val="20"/>
        </w:rPr>
        <w:t>“</w:t>
      </w:r>
      <w:r w:rsidR="00F9752A" w:rsidRPr="00D7415F">
        <w:rPr>
          <w:i/>
          <w:iCs/>
          <w:sz w:val="20"/>
          <w:szCs w:val="20"/>
        </w:rPr>
        <w:t xml:space="preserve">la Dirección llevará un registro </w:t>
      </w:r>
      <w:r w:rsidR="006F7BD0" w:rsidRPr="00D7415F">
        <w:rPr>
          <w:i/>
          <w:iCs/>
          <w:sz w:val="20"/>
          <w:szCs w:val="20"/>
        </w:rPr>
        <w:t>público</w:t>
      </w:r>
      <w:r w:rsidR="00D7415F" w:rsidRPr="00D7415F">
        <w:rPr>
          <w:i/>
          <w:iCs/>
          <w:sz w:val="20"/>
          <w:szCs w:val="20"/>
        </w:rPr>
        <w:t xml:space="preserve"> de los establecimientos farmacéuticos que se autoricen, (…)</w:t>
      </w:r>
      <w:r w:rsidR="00D7415F">
        <w:rPr>
          <w:sz w:val="20"/>
          <w:szCs w:val="20"/>
        </w:rPr>
        <w:t>”</w:t>
      </w:r>
      <w:r w:rsidR="00F9752A">
        <w:rPr>
          <w:sz w:val="20"/>
          <w:szCs w:val="20"/>
        </w:rPr>
        <w:t xml:space="preserve">, relacionado al artículo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para el presente caso, el enlace en donde encontrara la información es el siguiente: </w:t>
      </w:r>
      <w:r w:rsidR="001D6A49" w:rsidRPr="001D6A49">
        <w:rPr>
          <w:color w:val="0000FF"/>
          <w:sz w:val="20"/>
          <w:szCs w:val="20"/>
        </w:rPr>
        <w:t>https://www.medicamentos.gob.sv/index.php/es/servicios-m/en-linea/expediente-electronico-de-establecimientos</w:t>
      </w:r>
      <w:r w:rsidR="00F9752A">
        <w:rPr>
          <w:color w:val="0000FF"/>
          <w:sz w:val="20"/>
          <w:szCs w:val="20"/>
        </w:rPr>
        <w:t xml:space="preserve"> </w:t>
      </w:r>
    </w:p>
    <w:p w14:paraId="3B25A5EE" w14:textId="77777777" w:rsidR="00F9752A" w:rsidRDefault="00F9752A" w:rsidP="000B7529">
      <w:pPr>
        <w:pStyle w:val="Sinespaciado"/>
        <w:spacing w:after="240" w:line="276" w:lineRule="auto"/>
        <w:jc w:val="both"/>
        <w:rPr>
          <w:sz w:val="20"/>
          <w:szCs w:val="20"/>
        </w:rPr>
      </w:pPr>
    </w:p>
    <w:p w14:paraId="33DD8A77" w14:textId="0D1E9777" w:rsidR="005874C3" w:rsidRPr="0040080A" w:rsidRDefault="00BA5D5F" w:rsidP="000B7529">
      <w:pPr>
        <w:pStyle w:val="Sinespaciado"/>
        <w:spacing w:after="240" w:line="276" w:lineRule="auto"/>
        <w:jc w:val="both"/>
        <w:rPr>
          <w:b/>
          <w:noProof/>
          <w:sz w:val="20"/>
          <w:szCs w:val="20"/>
          <w:lang w:eastAsia="es-SV"/>
        </w:rPr>
      </w:pPr>
      <w:r>
        <w:rPr>
          <w:sz w:val="20"/>
          <w:szCs w:val="20"/>
        </w:rPr>
        <w:t>E</w:t>
      </w:r>
      <w:r w:rsidR="005874C3" w:rsidRPr="0040080A">
        <w:rPr>
          <w:sz w:val="20"/>
          <w:szCs w:val="20"/>
        </w:rPr>
        <w:t xml:space="preserve">n </w:t>
      </w:r>
      <w:r>
        <w:rPr>
          <w:sz w:val="20"/>
          <w:szCs w:val="20"/>
        </w:rPr>
        <w:t xml:space="preserve">ese sentido, </w:t>
      </w:r>
      <w:r w:rsidR="00D6684A">
        <w:rPr>
          <w:sz w:val="20"/>
          <w:szCs w:val="20"/>
        </w:rPr>
        <w:t>cabe mencionar que e</w:t>
      </w:r>
      <w:r w:rsidR="005874C3" w:rsidRPr="0040080A">
        <w:rPr>
          <w:sz w:val="20"/>
          <w:szCs w:val="20"/>
        </w:rPr>
        <w:t>l artículo 35 del Decreto 417 “</w:t>
      </w:r>
      <w:r w:rsidR="005874C3" w:rsidRPr="0040080A">
        <w:rPr>
          <w:i/>
          <w:sz w:val="20"/>
          <w:szCs w:val="20"/>
        </w:rPr>
        <w:t xml:space="preserve">Derechos por Servicios y Licencias para los Establecimientos de Salud Aplicables en la </w:t>
      </w:r>
      <w:r w:rsidR="00BC1855" w:rsidRPr="0040080A">
        <w:rPr>
          <w:i/>
          <w:sz w:val="20"/>
          <w:szCs w:val="20"/>
        </w:rPr>
        <w:t>Dirección</w:t>
      </w:r>
      <w:r w:rsidR="005874C3" w:rsidRPr="0040080A">
        <w:rPr>
          <w:i/>
          <w:sz w:val="20"/>
          <w:szCs w:val="20"/>
        </w:rPr>
        <w:t xml:space="preserve"> Nacional de Medicamentos</w:t>
      </w:r>
      <w:r w:rsidR="005874C3" w:rsidRPr="0040080A">
        <w:rPr>
          <w:sz w:val="20"/>
          <w:szCs w:val="20"/>
        </w:rPr>
        <w:t>”, el cual establece que: “</w:t>
      </w:r>
      <w:r w:rsidR="005874C3" w:rsidRPr="00683209">
        <w:rPr>
          <w:i/>
          <w:iCs/>
          <w:sz w:val="20"/>
          <w:szCs w:val="20"/>
        </w:rPr>
        <w:t>Las licencias por funcionamiento de establecimientos que la Dirección Nacional de Medicamentos extienda, se renovarán cada año. (…)</w:t>
      </w:r>
      <w:r w:rsidR="005874C3" w:rsidRPr="0040080A">
        <w:rPr>
          <w:sz w:val="20"/>
          <w:szCs w:val="20"/>
        </w:rPr>
        <w:t>”, aunado a lo anterior el artículo 42 del mismo cuerpo normativo establece que “</w:t>
      </w:r>
      <w:r w:rsidR="005874C3" w:rsidRPr="0040080A">
        <w:rPr>
          <w:i/>
          <w:sz w:val="20"/>
          <w:szCs w:val="20"/>
        </w:rPr>
        <w:t>Los pagos anuales a los que se refiere esta Ley, deberán ser cancelados en los primeros tres meses de cada año; caso contrario, dentro de los tres meses seguidos se iniciará el proceso de cancelación de la autorización y de la licencia respectiva por la Dirección Nacional de Medicamentos</w:t>
      </w:r>
      <w:r w:rsidR="005874C3" w:rsidRPr="0040080A">
        <w:rPr>
          <w:sz w:val="20"/>
          <w:szCs w:val="20"/>
        </w:rPr>
        <w:t>.”.</w:t>
      </w:r>
    </w:p>
    <w:p w14:paraId="73AF06F1" w14:textId="77777777" w:rsidR="0040080A" w:rsidRPr="00814059" w:rsidRDefault="0040080A" w:rsidP="00542E7F">
      <w:pPr>
        <w:pStyle w:val="Sinespaciado"/>
        <w:spacing w:line="276" w:lineRule="auto"/>
        <w:jc w:val="both"/>
        <w:rPr>
          <w:rFonts w:cs="Arial"/>
          <w:sz w:val="16"/>
          <w:szCs w:val="20"/>
          <w:shd w:val="clear" w:color="auto" w:fill="FAFAFA"/>
          <w:lang w:val="es-ES"/>
        </w:rPr>
      </w:pPr>
    </w:p>
    <w:p w14:paraId="1CAA3DAB"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4A0C952C"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5FC3A0D5"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6EFE0223"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21A4F519" w14:textId="77777777" w:rsidR="00CE279A" w:rsidRPr="00801B0F" w:rsidRDefault="00CE279A" w:rsidP="009A0935">
      <w:pPr>
        <w:pStyle w:val="Sinespaciado"/>
        <w:spacing w:line="276" w:lineRule="auto"/>
        <w:jc w:val="both"/>
        <w:rPr>
          <w:sz w:val="12"/>
          <w:szCs w:val="20"/>
        </w:rPr>
      </w:pPr>
    </w:p>
    <w:p w14:paraId="505B87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626F63F6"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665AB5D9"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40FF2BBC"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183DA656"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1022FF52" w14:textId="77777777" w:rsidR="00EE25ED" w:rsidRPr="00814059" w:rsidRDefault="00EE25ED" w:rsidP="00EE25ED">
      <w:pPr>
        <w:jc w:val="both"/>
        <w:rPr>
          <w:rFonts w:asciiTheme="minorHAnsi" w:eastAsia="Arial Unicode MS" w:hAnsiTheme="minorHAnsi" w:cs="Arial Unicode MS"/>
          <w:b/>
          <w:noProof/>
          <w:sz w:val="14"/>
          <w:szCs w:val="20"/>
          <w:lang w:eastAsia="es-SV"/>
        </w:rPr>
      </w:pPr>
    </w:p>
    <w:p w14:paraId="29A9AA9B"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6D02D087" w14:textId="77777777" w:rsidR="00321AB1" w:rsidRPr="00321AB1" w:rsidRDefault="00321AB1" w:rsidP="00720228">
      <w:pPr>
        <w:jc w:val="both"/>
        <w:rPr>
          <w:sz w:val="36"/>
          <w:szCs w:val="20"/>
        </w:rPr>
      </w:pPr>
    </w:p>
    <w:p w14:paraId="2006AB2E" w14:textId="77777777" w:rsidR="00321AB1" w:rsidRPr="00321AB1" w:rsidRDefault="00814059" w:rsidP="00720228">
      <w:pPr>
        <w:jc w:val="both"/>
        <w:rPr>
          <w:sz w:val="28"/>
          <w:szCs w:val="20"/>
        </w:rPr>
      </w:pPr>
      <w:r w:rsidRPr="00814059">
        <w:rPr>
          <w:noProof/>
          <w:sz w:val="28"/>
          <w:szCs w:val="20"/>
          <w:lang w:val="es-SV" w:eastAsia="es-SV"/>
        </w:rPr>
        <mc:AlternateContent>
          <mc:Choice Requires="wps">
            <w:drawing>
              <wp:anchor distT="45720" distB="45720" distL="114300" distR="114300" simplePos="0" relativeHeight="251659264" behindDoc="1" locked="0" layoutInCell="1" allowOverlap="1" wp14:anchorId="3AE1B8FC" wp14:editId="00827B02">
                <wp:simplePos x="0" y="0"/>
                <wp:positionH relativeFrom="margin">
                  <wp:align>center</wp:align>
                </wp:positionH>
                <wp:positionV relativeFrom="paragraph">
                  <wp:posOffset>240030</wp:posOffset>
                </wp:positionV>
                <wp:extent cx="2503805" cy="14046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404620"/>
                        </a:xfrm>
                        <a:prstGeom prst="rect">
                          <a:avLst/>
                        </a:prstGeom>
                        <a:solidFill>
                          <a:srgbClr val="FFFFFF"/>
                        </a:solidFill>
                        <a:ln w="9525">
                          <a:noFill/>
                          <a:miter lim="800000"/>
                          <a:headEnd/>
                          <a:tailEnd/>
                        </a:ln>
                      </wps:spPr>
                      <wps:txbx>
                        <w:txbxContent>
                          <w:p w14:paraId="37BCD45D" w14:textId="77777777" w:rsidR="00814059" w:rsidRDefault="00814059" w:rsidP="00814059">
                            <w:pPr>
                              <w:pStyle w:val="Sinespaciado"/>
                              <w:jc w:val="center"/>
                              <w:rPr>
                                <w:sz w:val="20"/>
                                <w:szCs w:val="20"/>
                              </w:rPr>
                            </w:pPr>
                            <w:r>
                              <w:rPr>
                                <w:sz w:val="20"/>
                                <w:szCs w:val="20"/>
                              </w:rPr>
                              <w:t>___________________________________</w:t>
                            </w:r>
                          </w:p>
                          <w:p w14:paraId="622BC023" w14:textId="77777777" w:rsidR="00814059" w:rsidRDefault="00814059" w:rsidP="00814059">
                            <w:pPr>
                              <w:pStyle w:val="Sinespaciado"/>
                              <w:jc w:val="center"/>
                              <w:rPr>
                                <w:sz w:val="20"/>
                                <w:szCs w:val="20"/>
                              </w:rPr>
                            </w:pPr>
                            <w:r>
                              <w:rPr>
                                <w:sz w:val="20"/>
                                <w:szCs w:val="20"/>
                              </w:rPr>
                              <w:t>Licda. Daysi Concepción Orellana de Larin</w:t>
                            </w:r>
                          </w:p>
                          <w:p w14:paraId="4376DC13" w14:textId="77777777" w:rsidR="00814059" w:rsidRPr="009A0935" w:rsidRDefault="00814059" w:rsidP="00814059">
                            <w:pPr>
                              <w:pStyle w:val="Sinespaciado"/>
                              <w:jc w:val="center"/>
                              <w:rPr>
                                <w:sz w:val="20"/>
                                <w:szCs w:val="20"/>
                              </w:rPr>
                            </w:pPr>
                            <w:r>
                              <w:rPr>
                                <w:sz w:val="20"/>
                                <w:szCs w:val="20"/>
                              </w:rPr>
                              <w:t>Oficial de Información</w:t>
                            </w:r>
                          </w:p>
                          <w:p w14:paraId="41E5AB2E" w14:textId="77777777" w:rsidR="00814059" w:rsidRDefault="008140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E1B8FC" id="_x0000_t202" coordsize="21600,21600" o:spt="202" path="m,l,21600r21600,l21600,xe">
                <v:stroke joinstyle="miter"/>
                <v:path gradientshapeok="t" o:connecttype="rect"/>
              </v:shapetype>
              <v:shape id="Cuadro de texto 2" o:spid="_x0000_s1026" type="#_x0000_t202" style="position:absolute;left:0;text-align:left;margin-left:0;margin-top:18.9pt;width:197.1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tcDg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" stroked="f">
                <v:textbox style="mso-fit-shape-to-text:t">
                  <w:txbxContent>
                    <w:p w14:paraId="37BCD45D" w14:textId="77777777" w:rsidR="00814059" w:rsidRDefault="00814059" w:rsidP="00814059">
                      <w:pPr>
                        <w:pStyle w:val="Sinespaciado"/>
                        <w:jc w:val="center"/>
                        <w:rPr>
                          <w:sz w:val="20"/>
                          <w:szCs w:val="20"/>
                        </w:rPr>
                      </w:pPr>
                      <w:r>
                        <w:rPr>
                          <w:sz w:val="20"/>
                          <w:szCs w:val="20"/>
                        </w:rPr>
                        <w:t>___________________________________</w:t>
                      </w:r>
                    </w:p>
                    <w:p w14:paraId="622BC023" w14:textId="77777777" w:rsidR="00814059" w:rsidRDefault="00814059" w:rsidP="00814059">
                      <w:pPr>
                        <w:pStyle w:val="Sinespaciado"/>
                        <w:jc w:val="center"/>
                        <w:rPr>
                          <w:sz w:val="20"/>
                          <w:szCs w:val="20"/>
                        </w:rPr>
                      </w:pPr>
                      <w:r>
                        <w:rPr>
                          <w:sz w:val="20"/>
                          <w:szCs w:val="20"/>
                        </w:rPr>
                        <w:t>Licda. Daysi Concepción Orellana de Larin</w:t>
                      </w:r>
                    </w:p>
                    <w:p w14:paraId="4376DC13" w14:textId="77777777" w:rsidR="00814059" w:rsidRPr="009A0935" w:rsidRDefault="00814059" w:rsidP="00814059">
                      <w:pPr>
                        <w:pStyle w:val="Sinespaciado"/>
                        <w:jc w:val="center"/>
                        <w:rPr>
                          <w:sz w:val="20"/>
                          <w:szCs w:val="20"/>
                        </w:rPr>
                      </w:pPr>
                      <w:r>
                        <w:rPr>
                          <w:sz w:val="20"/>
                          <w:szCs w:val="20"/>
                        </w:rPr>
                        <w:t>Oficial de Información</w:t>
                      </w:r>
                    </w:p>
                    <w:p w14:paraId="41E5AB2E" w14:textId="77777777" w:rsidR="00814059" w:rsidRDefault="00814059"/>
                  </w:txbxContent>
                </v:textbox>
                <w10:wrap anchorx="margin"/>
              </v:shape>
            </w:pict>
          </mc:Fallback>
        </mc:AlternateContent>
      </w:r>
    </w:p>
    <w:sectPr w:rsidR="00321AB1" w:rsidRPr="00321AB1"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DDCA" w14:textId="77777777" w:rsidR="002E5283" w:rsidRDefault="002E5283" w:rsidP="003C57CE">
      <w:r>
        <w:separator/>
      </w:r>
    </w:p>
  </w:endnote>
  <w:endnote w:type="continuationSeparator" w:id="0">
    <w:p w14:paraId="6C0C5000"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5BEF0" w14:textId="77777777" w:rsidR="002E5283" w:rsidRDefault="002E5283" w:rsidP="003C57CE">
      <w:r>
        <w:separator/>
      </w:r>
    </w:p>
  </w:footnote>
  <w:footnote w:type="continuationSeparator" w:id="0">
    <w:p w14:paraId="2063693F"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AEFB"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DCBE484" wp14:editId="620A6575">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C3C6F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BE484" id="_x0000_t202" coordsize="21600,21600" o:spt="202" path="m,l,21600r21600,l21600,xe">
              <v:stroke joinstyle="miter"/>
              <v:path gradientshapeok="t" o:connecttype="rect"/>
            </v:shapetype>
            <v:shape 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65C3C6F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3E31A9C" wp14:editId="7A80BC18">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5C94F47"/>
    <w:multiLevelType w:val="hybridMultilevel"/>
    <w:tmpl w:val="0E261E62"/>
    <w:lvl w:ilvl="0" w:tplc="FFFFFFFF">
      <w:start w:val="1"/>
      <w:numFmt w:val="lowerLetter"/>
      <w:lvlText w:val="%1)"/>
      <w:lvlJc w:val="left"/>
      <w:pPr>
        <w:ind w:left="1068" w:hanging="360"/>
      </w:pPr>
      <w:rPr>
        <w:rFonts w:hint="default"/>
        <w:b/>
        <w:sz w:val="2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D0F09DF"/>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9"/>
  </w:num>
  <w:num w:numId="2">
    <w:abstractNumId w:val="2"/>
  </w:num>
  <w:num w:numId="3">
    <w:abstractNumId w:val="8"/>
  </w:num>
  <w:num w:numId="4">
    <w:abstractNumId w:val="0"/>
  </w:num>
  <w:num w:numId="5">
    <w:abstractNumId w:val="1"/>
  </w:num>
  <w:num w:numId="6">
    <w:abstractNumId w:val="11"/>
  </w:num>
  <w:num w:numId="7">
    <w:abstractNumId w:val="10"/>
  </w:num>
  <w:num w:numId="8">
    <w:abstractNumId w:val="7"/>
  </w:num>
  <w:num w:numId="9">
    <w:abstractNumId w:val="3"/>
  </w:num>
  <w:num w:numId="10">
    <w:abstractNumId w:val="5"/>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B7529"/>
    <w:rsid w:val="000C42C0"/>
    <w:rsid w:val="000D62DF"/>
    <w:rsid w:val="00100DDC"/>
    <w:rsid w:val="00111401"/>
    <w:rsid w:val="001131F5"/>
    <w:rsid w:val="00135C52"/>
    <w:rsid w:val="00140323"/>
    <w:rsid w:val="00153AE7"/>
    <w:rsid w:val="00167CA1"/>
    <w:rsid w:val="00180F31"/>
    <w:rsid w:val="001C07EE"/>
    <w:rsid w:val="001D6A49"/>
    <w:rsid w:val="001F5F3E"/>
    <w:rsid w:val="00202512"/>
    <w:rsid w:val="00213E6E"/>
    <w:rsid w:val="00217AC8"/>
    <w:rsid w:val="00265C86"/>
    <w:rsid w:val="002833A5"/>
    <w:rsid w:val="00283E09"/>
    <w:rsid w:val="00285061"/>
    <w:rsid w:val="002A19FA"/>
    <w:rsid w:val="002D1EF8"/>
    <w:rsid w:val="002D69AE"/>
    <w:rsid w:val="002E075F"/>
    <w:rsid w:val="002E5283"/>
    <w:rsid w:val="00321AB1"/>
    <w:rsid w:val="00327B55"/>
    <w:rsid w:val="00334240"/>
    <w:rsid w:val="00343F92"/>
    <w:rsid w:val="00356648"/>
    <w:rsid w:val="003570D9"/>
    <w:rsid w:val="0037371A"/>
    <w:rsid w:val="00391DE9"/>
    <w:rsid w:val="003A6ECA"/>
    <w:rsid w:val="003C3037"/>
    <w:rsid w:val="003C57CE"/>
    <w:rsid w:val="0040080A"/>
    <w:rsid w:val="004009C3"/>
    <w:rsid w:val="00403ACC"/>
    <w:rsid w:val="0043264D"/>
    <w:rsid w:val="00470821"/>
    <w:rsid w:val="00471650"/>
    <w:rsid w:val="004775E0"/>
    <w:rsid w:val="00492ED7"/>
    <w:rsid w:val="00493AC0"/>
    <w:rsid w:val="004D37CE"/>
    <w:rsid w:val="00501516"/>
    <w:rsid w:val="005172B7"/>
    <w:rsid w:val="00523722"/>
    <w:rsid w:val="00537D4A"/>
    <w:rsid w:val="00542E7F"/>
    <w:rsid w:val="00556ACA"/>
    <w:rsid w:val="00556C4B"/>
    <w:rsid w:val="00570EDF"/>
    <w:rsid w:val="005874C3"/>
    <w:rsid w:val="005974B2"/>
    <w:rsid w:val="005976B3"/>
    <w:rsid w:val="005B7F37"/>
    <w:rsid w:val="005C53F3"/>
    <w:rsid w:val="00603EF7"/>
    <w:rsid w:val="006066E9"/>
    <w:rsid w:val="00651ADE"/>
    <w:rsid w:val="006748C6"/>
    <w:rsid w:val="006754DB"/>
    <w:rsid w:val="00683209"/>
    <w:rsid w:val="00683608"/>
    <w:rsid w:val="00690635"/>
    <w:rsid w:val="006A0B84"/>
    <w:rsid w:val="006A787E"/>
    <w:rsid w:val="006C04ED"/>
    <w:rsid w:val="006E6949"/>
    <w:rsid w:val="006F7BD0"/>
    <w:rsid w:val="00712AA0"/>
    <w:rsid w:val="00720228"/>
    <w:rsid w:val="00755D58"/>
    <w:rsid w:val="0077506D"/>
    <w:rsid w:val="007939FF"/>
    <w:rsid w:val="007E0653"/>
    <w:rsid w:val="00801B0F"/>
    <w:rsid w:val="00814059"/>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D5F"/>
    <w:rsid w:val="00BA5FA6"/>
    <w:rsid w:val="00BB7BE5"/>
    <w:rsid w:val="00BC1855"/>
    <w:rsid w:val="00BD2286"/>
    <w:rsid w:val="00C03BB5"/>
    <w:rsid w:val="00C23DF3"/>
    <w:rsid w:val="00CC1206"/>
    <w:rsid w:val="00CC2388"/>
    <w:rsid w:val="00CE279A"/>
    <w:rsid w:val="00D06DF5"/>
    <w:rsid w:val="00D30BE3"/>
    <w:rsid w:val="00D30F1F"/>
    <w:rsid w:val="00D429C6"/>
    <w:rsid w:val="00D457C7"/>
    <w:rsid w:val="00D6684A"/>
    <w:rsid w:val="00D7415F"/>
    <w:rsid w:val="00DA43EA"/>
    <w:rsid w:val="00DC21E0"/>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9752A"/>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6ECF63B"/>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F975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950</Words>
  <Characters>5230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21</cp:revision>
  <cp:lastPrinted>2022-08-22T21:58:00Z</cp:lastPrinted>
  <dcterms:created xsi:type="dcterms:W3CDTF">2022-06-22T20:32:00Z</dcterms:created>
  <dcterms:modified xsi:type="dcterms:W3CDTF">2022-11-09T17:36:00Z</dcterms:modified>
</cp:coreProperties>
</file>