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79A" w:rsidRPr="009A0935" w:rsidRDefault="00B52F1B" w:rsidP="009A0935">
      <w:pPr>
        <w:pStyle w:val="Sinespaciado"/>
        <w:spacing w:line="276" w:lineRule="auto"/>
        <w:jc w:val="right"/>
        <w:rPr>
          <w:sz w:val="20"/>
          <w:szCs w:val="20"/>
        </w:rPr>
      </w:pPr>
      <w:r>
        <w:rPr>
          <w:b/>
          <w:noProof/>
          <w:sz w:val="20"/>
          <w:szCs w:val="20"/>
          <w:lang w:eastAsia="es-SV"/>
        </w:rPr>
        <w:drawing>
          <wp:anchor distT="0" distB="0" distL="114300" distR="114300" simplePos="0" relativeHeight="251658240" behindDoc="0" locked="0" layoutInCell="1" allowOverlap="1">
            <wp:simplePos x="0" y="0"/>
            <wp:positionH relativeFrom="page">
              <wp:align>left</wp:align>
            </wp:positionH>
            <wp:positionV relativeFrom="paragraph">
              <wp:posOffset>1905</wp:posOffset>
            </wp:positionV>
            <wp:extent cx="1952625" cy="780415"/>
            <wp:effectExtent l="0" t="0" r="9525" b="63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2625" cy="780415"/>
                    </a:xfrm>
                    <a:prstGeom prst="rect">
                      <a:avLst/>
                    </a:prstGeom>
                    <a:noFill/>
                  </pic:spPr>
                </pic:pic>
              </a:graphicData>
            </a:graphic>
            <wp14:sizeRelH relativeFrom="page">
              <wp14:pctWidth>0</wp14:pctWidth>
            </wp14:sizeRelH>
            <wp14:sizeRelV relativeFrom="page">
              <wp14:pctHeight>0</wp14:pctHeight>
            </wp14:sizeRelV>
          </wp:anchor>
        </w:drawing>
      </w:r>
    </w:p>
    <w:p w:rsidR="00CE279A" w:rsidRPr="009A0935" w:rsidRDefault="00CE279A" w:rsidP="009A0935">
      <w:pPr>
        <w:pStyle w:val="Sinespaciado"/>
        <w:spacing w:line="276" w:lineRule="auto"/>
        <w:jc w:val="right"/>
        <w:rPr>
          <w:sz w:val="20"/>
          <w:szCs w:val="20"/>
        </w:rPr>
      </w:pPr>
      <w:r w:rsidRPr="009A0935">
        <w:rPr>
          <w:sz w:val="20"/>
          <w:szCs w:val="20"/>
        </w:rPr>
        <w:t>REFERENCIA: SAIP_ 2021_0</w:t>
      </w:r>
      <w:r w:rsidR="00545675">
        <w:rPr>
          <w:sz w:val="20"/>
          <w:szCs w:val="20"/>
        </w:rPr>
        <w:t>16</w:t>
      </w:r>
    </w:p>
    <w:p w:rsidR="00CE279A" w:rsidRPr="009A0935" w:rsidRDefault="00CE279A" w:rsidP="009A0935">
      <w:pPr>
        <w:pStyle w:val="Sinespaciado"/>
        <w:spacing w:line="276" w:lineRule="auto"/>
        <w:jc w:val="center"/>
        <w:rPr>
          <w:b/>
          <w:sz w:val="20"/>
          <w:szCs w:val="20"/>
        </w:rPr>
      </w:pPr>
    </w:p>
    <w:p w:rsidR="00B52F1B" w:rsidRDefault="00B52F1B" w:rsidP="00B52F1B">
      <w:pPr>
        <w:pStyle w:val="Sinespaciado"/>
        <w:spacing w:line="276" w:lineRule="auto"/>
        <w:jc w:val="both"/>
        <w:rPr>
          <w:b/>
          <w:sz w:val="20"/>
          <w:szCs w:val="20"/>
        </w:rPr>
      </w:pPr>
    </w:p>
    <w:p w:rsidR="00CE279A" w:rsidRPr="009A0935" w:rsidRDefault="00CE279A" w:rsidP="00B52F1B">
      <w:pPr>
        <w:pStyle w:val="Sinespaciado"/>
        <w:spacing w:line="276" w:lineRule="auto"/>
        <w:jc w:val="both"/>
        <w:rPr>
          <w:b/>
          <w:sz w:val="20"/>
          <w:szCs w:val="20"/>
        </w:rPr>
      </w:pPr>
      <w:r w:rsidRPr="009A0935">
        <w:rPr>
          <w:b/>
          <w:sz w:val="20"/>
          <w:szCs w:val="20"/>
        </w:rPr>
        <w:t>RESOLUCION FINAL DE SOLICITUD DE ACCESO A LA INFORMACION PÚBLICA</w:t>
      </w:r>
    </w:p>
    <w:p w:rsidR="00CE279A" w:rsidRPr="009A0935" w:rsidRDefault="00CE279A" w:rsidP="009A0935">
      <w:pPr>
        <w:pStyle w:val="Sinespaciado"/>
        <w:spacing w:line="276" w:lineRule="auto"/>
        <w:jc w:val="center"/>
        <w:rPr>
          <w:b/>
          <w:sz w:val="20"/>
          <w:szCs w:val="20"/>
        </w:rPr>
      </w:pPr>
    </w:p>
    <w:p w:rsidR="00CE279A" w:rsidRPr="009A0935" w:rsidRDefault="00CE279A" w:rsidP="009A0935">
      <w:pPr>
        <w:pStyle w:val="Sinespaciado"/>
        <w:spacing w:line="276" w:lineRule="auto"/>
        <w:jc w:val="both"/>
        <w:rPr>
          <w:sz w:val="20"/>
          <w:szCs w:val="20"/>
        </w:rPr>
      </w:pPr>
      <w:r w:rsidRPr="009A0935">
        <w:rPr>
          <w:b/>
          <w:sz w:val="20"/>
          <w:szCs w:val="20"/>
        </w:rPr>
        <w:t>Unidad de Acceso a la Información Pública</w:t>
      </w:r>
      <w:r w:rsidRPr="009A0935">
        <w:rPr>
          <w:sz w:val="20"/>
          <w:szCs w:val="20"/>
        </w:rPr>
        <w:t xml:space="preserve">: En la ciudad de Santa Tecla, Departamento de La Libertad, a las </w:t>
      </w:r>
      <w:r w:rsidR="00545675">
        <w:rPr>
          <w:sz w:val="20"/>
          <w:szCs w:val="20"/>
        </w:rPr>
        <w:t xml:space="preserve">diez </w:t>
      </w:r>
      <w:r w:rsidRPr="009A0935">
        <w:rPr>
          <w:sz w:val="20"/>
          <w:szCs w:val="20"/>
        </w:rPr>
        <w:t xml:space="preserve">horas y veintidós minutos del día </w:t>
      </w:r>
      <w:r w:rsidR="00545675">
        <w:rPr>
          <w:sz w:val="20"/>
          <w:szCs w:val="20"/>
        </w:rPr>
        <w:t xml:space="preserve">diecisiete de marzo </w:t>
      </w:r>
      <w:r w:rsidRPr="009A0935">
        <w:rPr>
          <w:sz w:val="20"/>
          <w:szCs w:val="20"/>
        </w:rPr>
        <w:t>de</w:t>
      </w:r>
      <w:r w:rsidR="00545675">
        <w:rPr>
          <w:sz w:val="20"/>
          <w:szCs w:val="20"/>
        </w:rPr>
        <w:t xml:space="preserve"> </w:t>
      </w:r>
      <w:r w:rsidRPr="009A0935">
        <w:rPr>
          <w:sz w:val="20"/>
          <w:szCs w:val="20"/>
        </w:rPr>
        <w:t>dos mil veintiuno.</w:t>
      </w:r>
    </w:p>
    <w:p w:rsidR="00CE279A" w:rsidRPr="009A0935" w:rsidRDefault="00CE279A" w:rsidP="009A0935">
      <w:pPr>
        <w:pStyle w:val="Sinespaciado"/>
        <w:spacing w:line="276" w:lineRule="auto"/>
        <w:jc w:val="both"/>
        <w:rPr>
          <w:sz w:val="20"/>
          <w:szCs w:val="20"/>
        </w:rPr>
      </w:pPr>
    </w:p>
    <w:p w:rsidR="00556C4B" w:rsidRPr="009A0935" w:rsidRDefault="00CE279A" w:rsidP="009A0935">
      <w:pPr>
        <w:pStyle w:val="Sinespaciado"/>
        <w:spacing w:line="276" w:lineRule="auto"/>
        <w:jc w:val="both"/>
        <w:rPr>
          <w:sz w:val="20"/>
          <w:szCs w:val="20"/>
        </w:rPr>
      </w:pPr>
      <w:r w:rsidRPr="009A0935">
        <w:rPr>
          <w:sz w:val="20"/>
          <w:szCs w:val="20"/>
        </w:rPr>
        <w:t xml:space="preserve">Vista y admitida la solicitud de acceso a la información pública, recibida en esta oficina a las </w:t>
      </w:r>
      <w:r w:rsidR="00545675">
        <w:rPr>
          <w:sz w:val="20"/>
          <w:szCs w:val="20"/>
        </w:rPr>
        <w:t xml:space="preserve">once </w:t>
      </w:r>
      <w:r w:rsidRPr="009A0935">
        <w:rPr>
          <w:sz w:val="20"/>
          <w:szCs w:val="20"/>
        </w:rPr>
        <w:t xml:space="preserve">horas </w:t>
      </w:r>
      <w:r w:rsidR="00556C4B" w:rsidRPr="009A0935">
        <w:rPr>
          <w:sz w:val="20"/>
          <w:szCs w:val="20"/>
        </w:rPr>
        <w:t xml:space="preserve">y treinta y </w:t>
      </w:r>
      <w:r w:rsidR="00545675">
        <w:rPr>
          <w:sz w:val="20"/>
          <w:szCs w:val="20"/>
        </w:rPr>
        <w:t>seis</w:t>
      </w:r>
      <w:r w:rsidR="00556C4B" w:rsidRPr="009A0935">
        <w:rPr>
          <w:sz w:val="20"/>
          <w:szCs w:val="20"/>
        </w:rPr>
        <w:t xml:space="preserve"> minutos </w:t>
      </w:r>
      <w:r w:rsidRPr="009A0935">
        <w:rPr>
          <w:sz w:val="20"/>
          <w:szCs w:val="20"/>
        </w:rPr>
        <w:t xml:space="preserve">del día </w:t>
      </w:r>
      <w:r w:rsidR="00545675">
        <w:rPr>
          <w:sz w:val="20"/>
          <w:szCs w:val="20"/>
        </w:rPr>
        <w:t xml:space="preserve">cinco </w:t>
      </w:r>
      <w:r w:rsidRPr="009A0935">
        <w:rPr>
          <w:sz w:val="20"/>
          <w:szCs w:val="20"/>
        </w:rPr>
        <w:t xml:space="preserve">del presente </w:t>
      </w:r>
      <w:r w:rsidR="00545675">
        <w:rPr>
          <w:sz w:val="20"/>
          <w:szCs w:val="20"/>
        </w:rPr>
        <w:t xml:space="preserve">mes y </w:t>
      </w:r>
      <w:r w:rsidRPr="009A0935">
        <w:rPr>
          <w:sz w:val="20"/>
          <w:szCs w:val="20"/>
        </w:rPr>
        <w:t>año</w:t>
      </w:r>
      <w:r w:rsidR="00545675">
        <w:rPr>
          <w:sz w:val="20"/>
          <w:szCs w:val="20"/>
        </w:rPr>
        <w:t>,</w:t>
      </w:r>
      <w:r w:rsidR="00556C4B" w:rsidRPr="009A0935">
        <w:rPr>
          <w:sz w:val="20"/>
          <w:szCs w:val="20"/>
        </w:rPr>
        <w:t xml:space="preserve"> presentada por </w:t>
      </w:r>
      <w:r w:rsidR="00DD174F">
        <w:rPr>
          <w:sz w:val="20"/>
          <w:szCs w:val="20"/>
        </w:rPr>
        <w:t xml:space="preserve">el </w:t>
      </w:r>
      <w:r w:rsidR="00A253EF">
        <w:rPr>
          <w:sz w:val="20"/>
          <w:szCs w:val="20"/>
        </w:rPr>
        <w:t>Dr</w:t>
      </w:r>
      <w:r w:rsidR="00BD1A6E">
        <w:rPr>
          <w:sz w:val="20"/>
          <w:szCs w:val="20"/>
        </w:rPr>
        <w:t xml:space="preserve">. </w:t>
      </w:r>
      <w:bookmarkStart w:id="0" w:name="_GoBack"/>
      <w:bookmarkEnd w:id="0"/>
      <w:r w:rsidR="00A253EF" w:rsidRPr="00BD1A6E">
        <w:rPr>
          <w:sz w:val="20"/>
          <w:szCs w:val="20"/>
          <w:highlight w:val="black"/>
        </w:rPr>
        <w:t xml:space="preserve">. </w:t>
      </w:r>
      <w:proofErr w:type="gramStart"/>
      <w:r w:rsidR="00A253EF" w:rsidRPr="00BD1A6E">
        <w:rPr>
          <w:sz w:val="20"/>
          <w:szCs w:val="20"/>
          <w:highlight w:val="black"/>
        </w:rPr>
        <w:t>…</w:t>
      </w:r>
      <w:proofErr w:type="gramEnd"/>
      <w:r w:rsidR="00A253EF" w:rsidRPr="00A253EF">
        <w:rPr>
          <w:sz w:val="20"/>
          <w:szCs w:val="20"/>
          <w:highlight w:val="black"/>
        </w:rPr>
        <w:t>…………………………………..</w:t>
      </w:r>
      <w:r w:rsidR="00DD174F">
        <w:rPr>
          <w:sz w:val="20"/>
          <w:szCs w:val="20"/>
        </w:rPr>
        <w:t xml:space="preserve">, </w:t>
      </w:r>
      <w:r w:rsidR="00556C4B" w:rsidRPr="009A0935">
        <w:rPr>
          <w:sz w:val="20"/>
          <w:szCs w:val="20"/>
        </w:rPr>
        <w:t>con Documento</w:t>
      </w:r>
      <w:r w:rsidR="00A253EF">
        <w:rPr>
          <w:sz w:val="20"/>
          <w:szCs w:val="20"/>
        </w:rPr>
        <w:t xml:space="preserve"> Único de Identidad número </w:t>
      </w:r>
      <w:r w:rsidR="00A253EF" w:rsidRPr="00A253EF">
        <w:rPr>
          <w:sz w:val="20"/>
          <w:szCs w:val="20"/>
          <w:highlight w:val="black"/>
        </w:rPr>
        <w:t>……………………………………………………………………………………</w:t>
      </w:r>
      <w:r w:rsidRPr="009A0935">
        <w:rPr>
          <w:sz w:val="20"/>
          <w:szCs w:val="20"/>
        </w:rPr>
        <w:t xml:space="preserve">; </w:t>
      </w:r>
      <w:r w:rsidR="00DD174F">
        <w:rPr>
          <w:sz w:val="20"/>
          <w:szCs w:val="20"/>
        </w:rPr>
        <w:t xml:space="preserve">relativo </w:t>
      </w:r>
      <w:r w:rsidRPr="009A0935">
        <w:rPr>
          <w:sz w:val="20"/>
          <w:szCs w:val="20"/>
        </w:rPr>
        <w:t>al expediente referencia SAIP_ 20</w:t>
      </w:r>
      <w:r w:rsidR="00556C4B" w:rsidRPr="009A0935">
        <w:rPr>
          <w:sz w:val="20"/>
          <w:szCs w:val="20"/>
        </w:rPr>
        <w:t>2</w:t>
      </w:r>
      <w:r w:rsidRPr="009A0935">
        <w:rPr>
          <w:sz w:val="20"/>
          <w:szCs w:val="20"/>
        </w:rPr>
        <w:t>1_0</w:t>
      </w:r>
      <w:r w:rsidR="00545675">
        <w:rPr>
          <w:sz w:val="20"/>
          <w:szCs w:val="20"/>
        </w:rPr>
        <w:t>16</w:t>
      </w:r>
      <w:r w:rsidR="00556ACA">
        <w:rPr>
          <w:sz w:val="20"/>
          <w:szCs w:val="20"/>
        </w:rPr>
        <w:t>;</w:t>
      </w:r>
      <w:r w:rsidR="00556C4B" w:rsidRPr="009A0935">
        <w:rPr>
          <w:rFonts w:eastAsia="Calibri"/>
          <w:noProof/>
          <w:sz w:val="20"/>
          <w:szCs w:val="20"/>
          <w:lang w:eastAsia="es-SV"/>
        </w:rPr>
        <w:t xml:space="preserve"> </w:t>
      </w:r>
      <w:r w:rsidR="00556ACA">
        <w:rPr>
          <w:rFonts w:eastAsia="Calibri"/>
          <w:noProof/>
          <w:sz w:val="20"/>
          <w:szCs w:val="20"/>
          <w:lang w:eastAsia="es-SV"/>
        </w:rPr>
        <w:t>l</w:t>
      </w:r>
      <w:r w:rsidR="00556C4B" w:rsidRPr="009A0935">
        <w:rPr>
          <w:sz w:val="20"/>
          <w:szCs w:val="20"/>
        </w:rPr>
        <w:t>a suscrita Oficial de Información</w:t>
      </w:r>
      <w:r w:rsidR="00556ACA">
        <w:rPr>
          <w:sz w:val="20"/>
          <w:szCs w:val="20"/>
        </w:rPr>
        <w:t xml:space="preserve"> </w:t>
      </w:r>
      <w:r w:rsidR="00556C4B" w:rsidRPr="009A0935">
        <w:rPr>
          <w:sz w:val="20"/>
          <w:szCs w:val="20"/>
        </w:rPr>
        <w:t xml:space="preserve">realiza las siguientes </w:t>
      </w:r>
      <w:r w:rsidR="00556C4B" w:rsidRPr="009A0935">
        <w:rPr>
          <w:b/>
          <w:sz w:val="20"/>
          <w:szCs w:val="20"/>
        </w:rPr>
        <w:t>CONSIDERACIONES:</w:t>
      </w:r>
      <w:r w:rsidR="00556C4B" w:rsidRPr="009A0935">
        <w:rPr>
          <w:sz w:val="20"/>
          <w:szCs w:val="20"/>
        </w:rPr>
        <w:t xml:space="preserve"> </w:t>
      </w:r>
    </w:p>
    <w:p w:rsidR="00556C4B" w:rsidRPr="009A0935" w:rsidRDefault="00556C4B" w:rsidP="009A0935">
      <w:pPr>
        <w:pStyle w:val="Sinespaciado"/>
        <w:spacing w:line="276" w:lineRule="auto"/>
        <w:jc w:val="both"/>
        <w:rPr>
          <w:sz w:val="20"/>
          <w:szCs w:val="20"/>
        </w:rPr>
      </w:pPr>
    </w:p>
    <w:p w:rsidR="00556C4B" w:rsidRDefault="00556C4B" w:rsidP="009A0935">
      <w:pPr>
        <w:pStyle w:val="Sinespaciado"/>
        <w:numPr>
          <w:ilvl w:val="0"/>
          <w:numId w:val="4"/>
        </w:numPr>
        <w:spacing w:line="276" w:lineRule="auto"/>
        <w:rPr>
          <w:b/>
          <w:sz w:val="20"/>
          <w:szCs w:val="20"/>
        </w:rPr>
      </w:pPr>
      <w:r w:rsidRPr="009A0935">
        <w:rPr>
          <w:b/>
          <w:sz w:val="20"/>
          <w:szCs w:val="20"/>
        </w:rPr>
        <w:t xml:space="preserve">SINTESIS DE LA INFORMACIÓN REQUERIDA: </w:t>
      </w:r>
    </w:p>
    <w:p w:rsidR="00CE279A" w:rsidRPr="009A0935" w:rsidRDefault="00556C4B" w:rsidP="00DD174F">
      <w:pPr>
        <w:pStyle w:val="Sinespaciado"/>
        <w:spacing w:line="276" w:lineRule="auto"/>
        <w:jc w:val="both"/>
        <w:rPr>
          <w:sz w:val="20"/>
          <w:szCs w:val="20"/>
        </w:rPr>
      </w:pPr>
      <w:r w:rsidRPr="009A0935">
        <w:rPr>
          <w:sz w:val="20"/>
          <w:szCs w:val="20"/>
        </w:rPr>
        <w:t>El ciudadano de generales anteriormente relacionadas requirió, en lo medular, la siguiente información:</w:t>
      </w:r>
      <w:r w:rsidR="00CE279A" w:rsidRPr="009A0935">
        <w:rPr>
          <w:sz w:val="20"/>
          <w:szCs w:val="20"/>
        </w:rPr>
        <w:t xml:space="preserve"> </w:t>
      </w:r>
    </w:p>
    <w:p w:rsidR="00DD174F" w:rsidRPr="00DD174F" w:rsidRDefault="00CE279A" w:rsidP="00DD174F">
      <w:pPr>
        <w:pStyle w:val="NormalWeb"/>
        <w:shd w:val="clear" w:color="auto" w:fill="FFFFFF"/>
        <w:spacing w:before="0" w:beforeAutospacing="0" w:after="0" w:afterAutospacing="0"/>
        <w:jc w:val="both"/>
        <w:rPr>
          <w:rFonts w:asciiTheme="minorHAnsi" w:eastAsiaTheme="minorHAnsi" w:hAnsiTheme="minorHAnsi" w:cstheme="minorBidi"/>
          <w:b/>
          <w:i/>
          <w:sz w:val="20"/>
          <w:szCs w:val="20"/>
          <w:lang w:eastAsia="en-US"/>
        </w:rPr>
      </w:pPr>
      <w:r w:rsidRPr="009A0935">
        <w:rPr>
          <w:rFonts w:asciiTheme="minorHAnsi" w:eastAsiaTheme="minorHAnsi" w:hAnsiTheme="minorHAnsi" w:cstheme="minorBidi"/>
          <w:b/>
          <w:i/>
          <w:sz w:val="20"/>
          <w:szCs w:val="20"/>
          <w:lang w:eastAsia="en-US"/>
        </w:rPr>
        <w:t>“</w:t>
      </w:r>
      <w:r w:rsidR="00DD174F" w:rsidRPr="00DD174F">
        <w:rPr>
          <w:rFonts w:asciiTheme="minorHAnsi" w:eastAsiaTheme="minorHAnsi" w:hAnsiTheme="minorHAnsi" w:cstheme="minorBidi"/>
          <w:b/>
          <w:i/>
          <w:sz w:val="20"/>
          <w:szCs w:val="20"/>
          <w:lang w:eastAsia="en-US"/>
        </w:rPr>
        <w:t xml:space="preserve">1) Las cantidades y/o volúmenes importados de Formaldehido o </w:t>
      </w:r>
      <w:proofErr w:type="spellStart"/>
      <w:r w:rsidR="00DD174F" w:rsidRPr="00DD174F">
        <w:rPr>
          <w:rFonts w:asciiTheme="minorHAnsi" w:eastAsiaTheme="minorHAnsi" w:hAnsiTheme="minorHAnsi" w:cstheme="minorBidi"/>
          <w:b/>
          <w:i/>
          <w:sz w:val="20"/>
          <w:szCs w:val="20"/>
          <w:lang w:eastAsia="en-US"/>
        </w:rPr>
        <w:t>Metanal</w:t>
      </w:r>
      <w:proofErr w:type="spellEnd"/>
      <w:r w:rsidR="00DD174F" w:rsidRPr="00DD174F">
        <w:rPr>
          <w:rFonts w:asciiTheme="minorHAnsi" w:eastAsiaTheme="minorHAnsi" w:hAnsiTheme="minorHAnsi" w:cstheme="minorBidi"/>
          <w:b/>
          <w:i/>
          <w:sz w:val="20"/>
          <w:szCs w:val="20"/>
          <w:lang w:eastAsia="en-US"/>
        </w:rPr>
        <w:t>, en cualesquiera de sus formas o presentaciones, y especificando si corresponde a calidad grado reactivo o comercial, incluyendo Formalina, desde 2016 hasta el último año disponible en los registros de la Dirección Nacional de Medicamentos.</w:t>
      </w:r>
    </w:p>
    <w:p w:rsidR="00CE279A" w:rsidRPr="009A0935" w:rsidRDefault="00DD174F" w:rsidP="00DD174F">
      <w:pPr>
        <w:pStyle w:val="NormalWeb"/>
        <w:shd w:val="clear" w:color="auto" w:fill="FFFFFF"/>
        <w:spacing w:before="0" w:beforeAutospacing="0" w:after="0" w:afterAutospacing="0"/>
        <w:jc w:val="both"/>
        <w:rPr>
          <w:rFonts w:asciiTheme="minorHAnsi" w:eastAsiaTheme="minorHAnsi" w:hAnsiTheme="minorHAnsi" w:cstheme="minorBidi"/>
          <w:b/>
          <w:i/>
          <w:sz w:val="20"/>
          <w:szCs w:val="20"/>
          <w:lang w:val="es-ES" w:eastAsia="en-US"/>
        </w:rPr>
      </w:pPr>
      <w:r w:rsidRPr="00DD174F">
        <w:rPr>
          <w:rFonts w:asciiTheme="minorHAnsi" w:eastAsiaTheme="minorHAnsi" w:hAnsiTheme="minorHAnsi" w:cstheme="minorBidi"/>
          <w:b/>
          <w:i/>
          <w:sz w:val="20"/>
          <w:szCs w:val="20"/>
          <w:lang w:val="es-ES" w:eastAsia="en-US"/>
        </w:rPr>
        <w:t>2) El listado de importadores del producto químico en cuestión, según giro o actividad económica y domicilio declarados</w:t>
      </w:r>
      <w:r>
        <w:rPr>
          <w:rFonts w:asciiTheme="minorHAnsi" w:eastAsiaTheme="minorHAnsi" w:hAnsiTheme="minorHAnsi" w:cstheme="minorBidi"/>
          <w:b/>
          <w:i/>
          <w:sz w:val="20"/>
          <w:szCs w:val="20"/>
          <w:lang w:val="es-ES" w:eastAsia="en-US"/>
        </w:rPr>
        <w:t>”</w:t>
      </w:r>
    </w:p>
    <w:p w:rsidR="00CE279A" w:rsidRPr="00DD174F" w:rsidRDefault="00CE279A" w:rsidP="009A0935">
      <w:pPr>
        <w:pStyle w:val="Sinespaciado"/>
        <w:spacing w:line="276" w:lineRule="auto"/>
        <w:jc w:val="both"/>
        <w:rPr>
          <w:sz w:val="20"/>
          <w:szCs w:val="20"/>
          <w:lang w:val="es-ES"/>
        </w:rPr>
      </w:pPr>
    </w:p>
    <w:p w:rsidR="00556C4B" w:rsidRPr="009A0935" w:rsidRDefault="00712AA0" w:rsidP="009A0935">
      <w:pPr>
        <w:pStyle w:val="Sinespaciado"/>
        <w:numPr>
          <w:ilvl w:val="0"/>
          <w:numId w:val="4"/>
        </w:numPr>
        <w:spacing w:line="276" w:lineRule="auto"/>
        <w:rPr>
          <w:b/>
          <w:sz w:val="20"/>
          <w:szCs w:val="20"/>
        </w:rPr>
      </w:pPr>
      <w:r w:rsidRPr="009A0935">
        <w:rPr>
          <w:b/>
          <w:sz w:val="20"/>
          <w:szCs w:val="20"/>
        </w:rPr>
        <w:t>FUNDAMENTACIÓN</w:t>
      </w:r>
      <w:r w:rsidR="00556C4B" w:rsidRPr="009A0935">
        <w:rPr>
          <w:b/>
          <w:sz w:val="20"/>
          <w:szCs w:val="20"/>
        </w:rPr>
        <w:t xml:space="preserve">: </w:t>
      </w:r>
    </w:p>
    <w:p w:rsidR="00CE279A" w:rsidRPr="009A0935" w:rsidRDefault="00CE279A" w:rsidP="009A0935">
      <w:pPr>
        <w:pStyle w:val="Sinespaciado"/>
        <w:spacing w:line="276" w:lineRule="auto"/>
        <w:jc w:val="both"/>
        <w:rPr>
          <w:sz w:val="20"/>
          <w:szCs w:val="20"/>
        </w:rPr>
      </w:pPr>
    </w:p>
    <w:p w:rsidR="009A0935" w:rsidRPr="009A0935" w:rsidRDefault="003A6ECA" w:rsidP="00542899">
      <w:pPr>
        <w:pStyle w:val="Sinespaciado"/>
        <w:numPr>
          <w:ilvl w:val="0"/>
          <w:numId w:val="7"/>
        </w:numPr>
        <w:spacing w:after="240" w:line="276" w:lineRule="auto"/>
        <w:ind w:left="709" w:hanging="425"/>
        <w:jc w:val="both"/>
        <w:rPr>
          <w:b/>
          <w:noProof/>
          <w:sz w:val="20"/>
          <w:szCs w:val="20"/>
          <w:lang w:eastAsia="es-SV"/>
        </w:rPr>
      </w:pPr>
      <w:r w:rsidRPr="009A0935">
        <w:rPr>
          <w:noProof/>
          <w:sz w:val="20"/>
          <w:szCs w:val="20"/>
          <w:lang w:eastAsia="es-SV"/>
        </w:rPr>
        <w:t>Dado que, el articulo 18 de la Constitución de la República de El Salvador expone que:</w:t>
      </w:r>
      <w:r w:rsidRPr="009A0935">
        <w:rPr>
          <w:i/>
          <w:noProof/>
          <w:sz w:val="20"/>
          <w:szCs w:val="20"/>
          <w:lang w:eastAsia="es-SV"/>
        </w:rPr>
        <w:t xml:space="preserve">“Toda persona tiene derecho a hacer sus peticiones por escrito, </w:t>
      </w:r>
      <w:r w:rsidRPr="009A0935">
        <w:rPr>
          <w:i/>
          <w:sz w:val="20"/>
          <w:szCs w:val="20"/>
        </w:rPr>
        <w:t xml:space="preserve">de manera decorosa, a las autoridades legalmente establecidas; a que se le resuelvan, y a que se le haga saber lo resuelto”; </w:t>
      </w:r>
      <w:r w:rsidRPr="009A0935">
        <w:rPr>
          <w:sz w:val="20"/>
          <w:szCs w:val="20"/>
        </w:rPr>
        <w:t xml:space="preserve"> la Ley de Acceso a la Información Pública –LAIP-, indica en el artículo 2 que:</w:t>
      </w:r>
      <w:r w:rsidRPr="009A0935">
        <w:rPr>
          <w:i/>
          <w:sz w:val="20"/>
          <w:szCs w:val="20"/>
        </w:rPr>
        <w:t xml:space="preserve"> “Toda persona tiene derecho a solicitar y a recibir información generada, administrada o en poder de las instituciones públicas y demás entes obligados de manera oportuna y verás, sin sustentar interés o motivación alguna”.</w:t>
      </w:r>
      <w:r w:rsidR="009A0935">
        <w:rPr>
          <w:sz w:val="20"/>
          <w:szCs w:val="20"/>
        </w:rPr>
        <w:t xml:space="preserve"> </w:t>
      </w:r>
    </w:p>
    <w:p w:rsidR="0037371A" w:rsidRPr="009A0935" w:rsidRDefault="00054B4C" w:rsidP="00542899">
      <w:pPr>
        <w:pStyle w:val="Sinespaciado"/>
        <w:numPr>
          <w:ilvl w:val="0"/>
          <w:numId w:val="7"/>
        </w:numPr>
        <w:spacing w:after="240" w:line="276" w:lineRule="auto"/>
        <w:ind w:left="709" w:hanging="425"/>
        <w:jc w:val="both"/>
        <w:rPr>
          <w:b/>
          <w:noProof/>
          <w:sz w:val="20"/>
          <w:szCs w:val="20"/>
          <w:lang w:eastAsia="es-SV"/>
        </w:rPr>
      </w:pPr>
      <w:r w:rsidRPr="009A0935">
        <w:rPr>
          <w:sz w:val="20"/>
          <w:szCs w:val="20"/>
        </w:rPr>
        <w:t>L</w:t>
      </w:r>
      <w:r w:rsidR="0037371A" w:rsidRPr="009A0935">
        <w:rPr>
          <w:sz w:val="20"/>
          <w:szCs w:val="20"/>
        </w:rPr>
        <w:t xml:space="preserve">a Ley de Medicamentos tiene por objeto garantizar la institucionalidad que permita asegurar la accesibilidad, registro, </w:t>
      </w:r>
      <w:r w:rsidR="005974B2" w:rsidRPr="009A0935">
        <w:rPr>
          <w:sz w:val="20"/>
          <w:szCs w:val="20"/>
        </w:rPr>
        <w:t xml:space="preserve">calidad, </w:t>
      </w:r>
      <w:r w:rsidR="0037371A" w:rsidRPr="009A0935">
        <w:rPr>
          <w:sz w:val="20"/>
          <w:szCs w:val="20"/>
        </w:rPr>
        <w:t xml:space="preserve">disponibilidad </w:t>
      </w:r>
      <w:r w:rsidR="005974B2" w:rsidRPr="009A0935">
        <w:rPr>
          <w:sz w:val="20"/>
          <w:szCs w:val="20"/>
        </w:rPr>
        <w:t xml:space="preserve">eficiencia y seguridad de los medicamentos, así como </w:t>
      </w:r>
      <w:r w:rsidR="0037371A" w:rsidRPr="009A0935">
        <w:rPr>
          <w:sz w:val="20"/>
          <w:szCs w:val="20"/>
        </w:rPr>
        <w:t>propiciar el mejor precio, para el usuario público y privado; y, para la debida aplicación de la Ley se c</w:t>
      </w:r>
      <w:r w:rsidRPr="009A0935">
        <w:rPr>
          <w:sz w:val="20"/>
          <w:szCs w:val="20"/>
        </w:rPr>
        <w:t>rea</w:t>
      </w:r>
      <w:r w:rsidR="0037371A" w:rsidRPr="009A0935">
        <w:rPr>
          <w:sz w:val="20"/>
          <w:szCs w:val="20"/>
        </w:rPr>
        <w:t xml:space="preserve"> la Dirección Nacional de Medicamentos</w:t>
      </w:r>
      <w:r w:rsidRPr="009A0935">
        <w:rPr>
          <w:sz w:val="20"/>
          <w:szCs w:val="20"/>
        </w:rPr>
        <w:t xml:space="preserve">. </w:t>
      </w:r>
    </w:p>
    <w:p w:rsidR="00285061" w:rsidRPr="009A0935" w:rsidRDefault="00285061" w:rsidP="009A0935">
      <w:pPr>
        <w:pStyle w:val="Sinespaciado"/>
        <w:numPr>
          <w:ilvl w:val="0"/>
          <w:numId w:val="7"/>
        </w:numPr>
        <w:spacing w:after="240" w:line="276" w:lineRule="auto"/>
        <w:ind w:left="709"/>
        <w:jc w:val="both"/>
        <w:rPr>
          <w:noProof/>
          <w:sz w:val="20"/>
          <w:szCs w:val="20"/>
          <w:lang w:eastAsia="es-SV"/>
        </w:rPr>
      </w:pPr>
      <w:r w:rsidRPr="009A0935">
        <w:rPr>
          <w:noProof/>
          <w:sz w:val="20"/>
          <w:szCs w:val="20"/>
          <w:lang w:eastAsia="es-SV"/>
        </w:rPr>
        <w:t xml:space="preserve">En virtud de lo expuesto en el literal anterior y con fundamento en </w:t>
      </w:r>
      <w:r w:rsidRPr="009A0935">
        <w:rPr>
          <w:sz w:val="20"/>
          <w:szCs w:val="20"/>
        </w:rPr>
        <w:t>las atribuciones concedidas en el artículo 50 literales d), i), y j) de la LAIP, le corresponde al Oficial de Información realizar los trámites necesarios para la localización de la información solicitada, resolver por escrito y notificar la resolución en el plazo al peticionario sobre las solicitudes de información que se sometan a su conocimiento.</w:t>
      </w:r>
    </w:p>
    <w:p w:rsidR="00213E6E" w:rsidRPr="009A0935" w:rsidRDefault="00213E6E" w:rsidP="009A0935">
      <w:pPr>
        <w:pStyle w:val="Sinespaciado"/>
        <w:numPr>
          <w:ilvl w:val="0"/>
          <w:numId w:val="4"/>
        </w:numPr>
        <w:spacing w:line="276" w:lineRule="auto"/>
        <w:jc w:val="both"/>
        <w:rPr>
          <w:b/>
          <w:sz w:val="20"/>
          <w:szCs w:val="20"/>
        </w:rPr>
      </w:pPr>
      <w:r w:rsidRPr="009A0935">
        <w:rPr>
          <w:b/>
          <w:sz w:val="20"/>
          <w:szCs w:val="20"/>
        </w:rPr>
        <w:t>MOTIVACION:</w:t>
      </w:r>
    </w:p>
    <w:p w:rsidR="00CE279A" w:rsidRPr="009A0935" w:rsidRDefault="00CE279A" w:rsidP="009A0935">
      <w:pPr>
        <w:spacing w:line="276" w:lineRule="auto"/>
        <w:jc w:val="both"/>
        <w:rPr>
          <w:rFonts w:asciiTheme="minorHAnsi" w:hAnsiTheme="minorHAnsi" w:cstheme="minorHAnsi"/>
          <w:noProof/>
          <w:sz w:val="20"/>
          <w:szCs w:val="20"/>
          <w:lang w:eastAsia="es-SV"/>
        </w:rPr>
      </w:pPr>
    </w:p>
    <w:p w:rsidR="00CE279A" w:rsidRPr="009A0935" w:rsidRDefault="00CE279A" w:rsidP="009A0935">
      <w:pPr>
        <w:spacing w:line="276" w:lineRule="auto"/>
        <w:jc w:val="both"/>
        <w:rPr>
          <w:rFonts w:asciiTheme="minorHAnsi" w:eastAsiaTheme="minorHAnsi" w:hAnsiTheme="minorHAnsi" w:cstheme="minorBidi"/>
          <w:sz w:val="20"/>
          <w:szCs w:val="20"/>
          <w:lang w:val="es-SV" w:eastAsia="en-US"/>
        </w:rPr>
      </w:pPr>
      <w:r w:rsidRPr="009A0935">
        <w:rPr>
          <w:rFonts w:asciiTheme="minorHAnsi" w:eastAsiaTheme="minorHAnsi" w:hAnsiTheme="minorHAnsi" w:cstheme="minorBidi"/>
          <w:sz w:val="20"/>
          <w:szCs w:val="20"/>
          <w:lang w:val="es-SV" w:eastAsia="en-US"/>
        </w:rPr>
        <w:lastRenderedPageBreak/>
        <w:t>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SAIP_ 20</w:t>
      </w:r>
      <w:r w:rsidR="00A760BC" w:rsidRPr="009A0935">
        <w:rPr>
          <w:rFonts w:asciiTheme="minorHAnsi" w:eastAsiaTheme="minorHAnsi" w:hAnsiTheme="minorHAnsi" w:cstheme="minorBidi"/>
          <w:sz w:val="20"/>
          <w:szCs w:val="20"/>
          <w:lang w:val="es-SV" w:eastAsia="en-US"/>
        </w:rPr>
        <w:t>21</w:t>
      </w:r>
      <w:r w:rsidRPr="009A0935">
        <w:rPr>
          <w:rFonts w:asciiTheme="minorHAnsi" w:eastAsiaTheme="minorHAnsi" w:hAnsiTheme="minorHAnsi" w:cstheme="minorBidi"/>
          <w:sz w:val="20"/>
          <w:szCs w:val="20"/>
          <w:lang w:val="es-SV" w:eastAsia="en-US"/>
        </w:rPr>
        <w:t>_0</w:t>
      </w:r>
      <w:r w:rsidR="00E266F5">
        <w:rPr>
          <w:rFonts w:asciiTheme="minorHAnsi" w:eastAsiaTheme="minorHAnsi" w:hAnsiTheme="minorHAnsi" w:cstheme="minorBidi"/>
          <w:sz w:val="20"/>
          <w:szCs w:val="20"/>
          <w:lang w:val="es-SV" w:eastAsia="en-US"/>
        </w:rPr>
        <w:t>16</w:t>
      </w:r>
      <w:r w:rsidRPr="009A0935">
        <w:rPr>
          <w:rFonts w:asciiTheme="minorHAnsi" w:eastAsiaTheme="minorHAnsi" w:hAnsiTheme="minorHAnsi" w:cstheme="minorBidi"/>
          <w:sz w:val="20"/>
          <w:szCs w:val="20"/>
          <w:lang w:val="es-SV" w:eastAsia="en-US"/>
        </w:rPr>
        <w:t xml:space="preserve">, a la Unidad de </w:t>
      </w:r>
      <w:r w:rsidR="00E266F5">
        <w:rPr>
          <w:rFonts w:asciiTheme="minorHAnsi" w:eastAsiaTheme="minorHAnsi" w:hAnsiTheme="minorHAnsi" w:cstheme="minorBidi"/>
          <w:sz w:val="20"/>
          <w:szCs w:val="20"/>
          <w:lang w:val="es-SV" w:eastAsia="en-US"/>
        </w:rPr>
        <w:t xml:space="preserve">Importaciones, Exportaciones y Donaciones de Medicamentos </w:t>
      </w:r>
      <w:r w:rsidRPr="009A0935">
        <w:rPr>
          <w:rFonts w:asciiTheme="minorHAnsi" w:eastAsiaTheme="minorHAnsi" w:hAnsiTheme="minorHAnsi" w:cstheme="minorBidi"/>
          <w:sz w:val="20"/>
          <w:szCs w:val="20"/>
          <w:lang w:val="es-SV" w:eastAsia="en-US"/>
        </w:rPr>
        <w:t>de esta Dirección, la cual inform</w:t>
      </w:r>
      <w:r w:rsidR="00DD5572">
        <w:rPr>
          <w:rFonts w:asciiTheme="minorHAnsi" w:eastAsiaTheme="minorHAnsi" w:hAnsiTheme="minorHAnsi" w:cstheme="minorBidi"/>
          <w:sz w:val="20"/>
          <w:szCs w:val="20"/>
          <w:lang w:val="es-SV" w:eastAsia="en-US"/>
        </w:rPr>
        <w:t>ó</w:t>
      </w:r>
      <w:r w:rsidRPr="009A0935">
        <w:rPr>
          <w:rFonts w:asciiTheme="minorHAnsi" w:eastAsiaTheme="minorHAnsi" w:hAnsiTheme="minorHAnsi" w:cstheme="minorBidi"/>
          <w:sz w:val="20"/>
          <w:szCs w:val="20"/>
          <w:lang w:val="es-SV" w:eastAsia="en-US"/>
        </w:rPr>
        <w:t xml:space="preserve">: </w:t>
      </w:r>
    </w:p>
    <w:p w:rsidR="00CE279A" w:rsidRPr="009A0935" w:rsidRDefault="00CE279A" w:rsidP="009A0935">
      <w:pPr>
        <w:pStyle w:val="Sinespaciado"/>
        <w:spacing w:line="276" w:lineRule="auto"/>
        <w:jc w:val="both"/>
        <w:rPr>
          <w:sz w:val="20"/>
          <w:szCs w:val="20"/>
        </w:rPr>
      </w:pPr>
    </w:p>
    <w:p w:rsidR="00CE279A" w:rsidRPr="009A0935" w:rsidRDefault="00CE279A" w:rsidP="00A45043">
      <w:pPr>
        <w:pStyle w:val="Sinespaciado"/>
        <w:jc w:val="both"/>
        <w:rPr>
          <w:b/>
          <w:sz w:val="20"/>
          <w:szCs w:val="20"/>
        </w:rPr>
      </w:pPr>
      <w:r w:rsidRPr="009A0935">
        <w:rPr>
          <w:b/>
          <w:sz w:val="20"/>
          <w:szCs w:val="20"/>
        </w:rPr>
        <w:t>“””””””””””””””””””””””””””””””””””””””””””””””””””””””””””””””””””””””””””””””””””””””””””””””””””””</w:t>
      </w:r>
    </w:p>
    <w:p w:rsidR="00A760BC" w:rsidRDefault="007B298F" w:rsidP="00A45043">
      <w:pPr>
        <w:pStyle w:val="Sinespaciado"/>
        <w:spacing w:line="276" w:lineRule="auto"/>
        <w:jc w:val="both"/>
        <w:rPr>
          <w:b/>
          <w:i/>
          <w:sz w:val="20"/>
          <w:szCs w:val="20"/>
          <w:lang w:val="es-ES"/>
        </w:rPr>
      </w:pPr>
      <w:r>
        <w:rPr>
          <w:b/>
          <w:i/>
          <w:sz w:val="20"/>
          <w:szCs w:val="20"/>
        </w:rPr>
        <w:t>S</w:t>
      </w:r>
      <w:r w:rsidR="00927AC4">
        <w:rPr>
          <w:b/>
          <w:i/>
          <w:sz w:val="20"/>
          <w:szCs w:val="20"/>
        </w:rPr>
        <w:t xml:space="preserve">e remite </w:t>
      </w:r>
      <w:r w:rsidR="00927AC4" w:rsidRPr="00927AC4">
        <w:rPr>
          <w:b/>
          <w:i/>
          <w:sz w:val="20"/>
          <w:szCs w:val="20"/>
          <w:lang w:val="es-ES"/>
        </w:rPr>
        <w:t xml:space="preserve"> listado de importadores </w:t>
      </w:r>
      <w:r w:rsidR="00927AC4">
        <w:rPr>
          <w:b/>
          <w:i/>
          <w:sz w:val="20"/>
          <w:szCs w:val="20"/>
          <w:lang w:val="es-ES"/>
        </w:rPr>
        <w:t xml:space="preserve">que tienen inscrito productos con formaldehido en forma pura o mezcla. </w:t>
      </w:r>
    </w:p>
    <w:p w:rsidR="00A45043" w:rsidRDefault="00A45043" w:rsidP="00A45043">
      <w:pPr>
        <w:pStyle w:val="Sinespaciado"/>
        <w:spacing w:line="276" w:lineRule="auto"/>
        <w:jc w:val="both"/>
        <w:rPr>
          <w:b/>
          <w:i/>
          <w:sz w:val="20"/>
          <w:szCs w:val="20"/>
          <w:lang w:val="es-ES"/>
        </w:rPr>
      </w:pPr>
    </w:p>
    <w:tbl>
      <w:tblPr>
        <w:tblW w:w="8779" w:type="dxa"/>
        <w:jc w:val="center"/>
        <w:tblCellMar>
          <w:left w:w="0" w:type="dxa"/>
          <w:right w:w="0" w:type="dxa"/>
        </w:tblCellMar>
        <w:tblLook w:val="04A0" w:firstRow="1" w:lastRow="0" w:firstColumn="1" w:lastColumn="0" w:noHBand="0" w:noVBand="1"/>
      </w:tblPr>
      <w:tblGrid>
        <w:gridCol w:w="4101"/>
        <w:gridCol w:w="4678"/>
      </w:tblGrid>
      <w:tr w:rsidR="00CD4125" w:rsidRPr="00CD4125" w:rsidTr="009415EA">
        <w:trPr>
          <w:jc w:val="center"/>
        </w:trPr>
        <w:tc>
          <w:tcPr>
            <w:tcW w:w="4101" w:type="dxa"/>
            <w:tcBorders>
              <w:top w:val="single" w:sz="8" w:space="0" w:color="auto"/>
              <w:left w:val="single" w:sz="8" w:space="0" w:color="auto"/>
              <w:bottom w:val="single" w:sz="8" w:space="0" w:color="auto"/>
              <w:right w:val="single" w:sz="8" w:space="0" w:color="auto"/>
            </w:tcBorders>
            <w:shd w:val="clear" w:color="auto" w:fill="AEAAAA" w:themeFill="background2" w:themeFillShade="BF"/>
            <w:tcMar>
              <w:top w:w="0" w:type="dxa"/>
              <w:left w:w="108" w:type="dxa"/>
              <w:bottom w:w="0" w:type="dxa"/>
              <w:right w:w="108" w:type="dxa"/>
            </w:tcMar>
            <w:vAlign w:val="center"/>
            <w:hideMark/>
          </w:tcPr>
          <w:p w:rsidR="00CD4125" w:rsidRPr="00CD4125" w:rsidRDefault="00CD4125" w:rsidP="00CD4125">
            <w:pPr>
              <w:jc w:val="center"/>
              <w:rPr>
                <w:rFonts w:asciiTheme="minorHAnsi" w:hAnsiTheme="minorHAnsi"/>
                <w:b/>
                <w:bCs/>
                <w:i/>
                <w:sz w:val="20"/>
                <w:szCs w:val="20"/>
                <w:lang w:val="es-SV" w:eastAsia="en-US"/>
              </w:rPr>
            </w:pPr>
            <w:r w:rsidRPr="00CD4125">
              <w:rPr>
                <w:rFonts w:asciiTheme="minorHAnsi" w:hAnsiTheme="minorHAnsi"/>
                <w:b/>
                <w:bCs/>
                <w:i/>
                <w:sz w:val="20"/>
                <w:szCs w:val="20"/>
              </w:rPr>
              <w:t>IMPORTADOR</w:t>
            </w:r>
          </w:p>
        </w:tc>
        <w:tc>
          <w:tcPr>
            <w:tcW w:w="4678" w:type="dxa"/>
            <w:tcBorders>
              <w:top w:val="single" w:sz="8" w:space="0" w:color="auto"/>
              <w:left w:val="nil"/>
              <w:bottom w:val="single" w:sz="8" w:space="0" w:color="auto"/>
              <w:right w:val="single" w:sz="8" w:space="0" w:color="auto"/>
            </w:tcBorders>
            <w:shd w:val="clear" w:color="auto" w:fill="AEAAAA" w:themeFill="background2" w:themeFillShade="BF"/>
            <w:tcMar>
              <w:top w:w="0" w:type="dxa"/>
              <w:left w:w="108" w:type="dxa"/>
              <w:bottom w:w="0" w:type="dxa"/>
              <w:right w:w="108" w:type="dxa"/>
            </w:tcMar>
            <w:vAlign w:val="center"/>
            <w:hideMark/>
          </w:tcPr>
          <w:p w:rsidR="00CD4125" w:rsidRPr="00CD4125" w:rsidRDefault="00CD4125" w:rsidP="00CD4125">
            <w:pPr>
              <w:jc w:val="center"/>
              <w:rPr>
                <w:rFonts w:asciiTheme="minorHAnsi" w:hAnsiTheme="minorHAnsi"/>
                <w:b/>
                <w:bCs/>
                <w:i/>
                <w:sz w:val="20"/>
                <w:szCs w:val="20"/>
              </w:rPr>
            </w:pPr>
            <w:r w:rsidRPr="00CD4125">
              <w:rPr>
                <w:rFonts w:asciiTheme="minorHAnsi" w:hAnsiTheme="minorHAnsi"/>
                <w:b/>
                <w:bCs/>
                <w:i/>
                <w:sz w:val="20"/>
                <w:szCs w:val="20"/>
              </w:rPr>
              <w:t>PRODUCTOS</w:t>
            </w:r>
          </w:p>
        </w:tc>
      </w:tr>
      <w:tr w:rsidR="00CD4125" w:rsidRPr="00CD4125" w:rsidTr="009415EA">
        <w:trPr>
          <w:jc w:val="center"/>
        </w:trPr>
        <w:tc>
          <w:tcPr>
            <w:tcW w:w="41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4125" w:rsidRPr="00CD4125" w:rsidRDefault="00CD4125" w:rsidP="00CD4125">
            <w:pPr>
              <w:rPr>
                <w:rFonts w:asciiTheme="minorHAnsi" w:hAnsiTheme="minorHAnsi"/>
                <w:b/>
                <w:i/>
                <w:sz w:val="20"/>
                <w:szCs w:val="20"/>
              </w:rPr>
            </w:pPr>
            <w:r w:rsidRPr="00CD4125">
              <w:rPr>
                <w:rFonts w:asciiTheme="minorHAnsi" w:hAnsiTheme="minorHAnsi"/>
                <w:b/>
                <w:i/>
                <w:sz w:val="20"/>
                <w:szCs w:val="20"/>
              </w:rPr>
              <w:t>DIBARSA S.A</w:t>
            </w:r>
          </w:p>
        </w:tc>
        <w:tc>
          <w:tcPr>
            <w:tcW w:w="46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125" w:rsidRPr="00CD4125" w:rsidRDefault="00CD4125" w:rsidP="00CD4125">
            <w:pPr>
              <w:rPr>
                <w:rFonts w:asciiTheme="minorHAnsi" w:hAnsiTheme="minorHAnsi"/>
                <w:b/>
                <w:i/>
                <w:sz w:val="20"/>
                <w:szCs w:val="20"/>
              </w:rPr>
            </w:pPr>
            <w:r w:rsidRPr="00CD4125">
              <w:rPr>
                <w:rFonts w:asciiTheme="minorHAnsi" w:hAnsiTheme="minorHAnsi"/>
                <w:b/>
                <w:i/>
                <w:sz w:val="20"/>
                <w:szCs w:val="20"/>
              </w:rPr>
              <w:t>BOISAMBRENE FORTE</w:t>
            </w:r>
          </w:p>
        </w:tc>
      </w:tr>
      <w:tr w:rsidR="00CD4125" w:rsidRPr="00CD4125" w:rsidTr="009415EA">
        <w:trPr>
          <w:jc w:val="center"/>
        </w:trPr>
        <w:tc>
          <w:tcPr>
            <w:tcW w:w="41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4125" w:rsidRPr="00CD4125" w:rsidRDefault="00CD4125" w:rsidP="00CD4125">
            <w:pPr>
              <w:rPr>
                <w:rFonts w:asciiTheme="minorHAnsi" w:hAnsiTheme="minorHAnsi"/>
                <w:b/>
                <w:i/>
                <w:sz w:val="20"/>
                <w:szCs w:val="20"/>
              </w:rPr>
            </w:pPr>
            <w:r w:rsidRPr="00CD4125">
              <w:rPr>
                <w:rFonts w:asciiTheme="minorHAnsi" w:hAnsiTheme="minorHAnsi"/>
                <w:b/>
                <w:i/>
                <w:sz w:val="20"/>
                <w:szCs w:val="20"/>
              </w:rPr>
              <w:t>DROGUERIA CORESA</w:t>
            </w:r>
          </w:p>
        </w:tc>
        <w:tc>
          <w:tcPr>
            <w:tcW w:w="4678" w:type="dxa"/>
            <w:tcBorders>
              <w:top w:val="nil"/>
              <w:left w:val="nil"/>
              <w:bottom w:val="single" w:sz="8" w:space="0" w:color="auto"/>
              <w:right w:val="single" w:sz="8" w:space="0" w:color="auto"/>
            </w:tcBorders>
            <w:tcMar>
              <w:top w:w="0" w:type="dxa"/>
              <w:left w:w="108" w:type="dxa"/>
              <w:bottom w:w="0" w:type="dxa"/>
              <w:right w:w="108" w:type="dxa"/>
            </w:tcMar>
            <w:vAlign w:val="center"/>
          </w:tcPr>
          <w:p w:rsidR="00CD4125" w:rsidRPr="00CD4125" w:rsidRDefault="00CD4125" w:rsidP="00CD4125">
            <w:pPr>
              <w:rPr>
                <w:rFonts w:asciiTheme="minorHAnsi" w:hAnsiTheme="minorHAnsi"/>
                <w:b/>
                <w:i/>
                <w:sz w:val="20"/>
                <w:szCs w:val="20"/>
              </w:rPr>
            </w:pPr>
            <w:r w:rsidRPr="00CD4125">
              <w:rPr>
                <w:rFonts w:asciiTheme="minorHAnsi" w:hAnsiTheme="minorHAnsi"/>
                <w:b/>
                <w:i/>
                <w:sz w:val="20"/>
                <w:szCs w:val="20"/>
              </w:rPr>
              <w:t>STABLCAL, SET DE PATRONES EN VIALES SELLADOS DE FORMAZINA PARA TURBIDIMETRO PORTATIL 2100Q/QIS</w:t>
            </w:r>
          </w:p>
          <w:p w:rsidR="00CD4125" w:rsidRPr="00CD4125" w:rsidRDefault="00CD4125" w:rsidP="00CD4125">
            <w:pPr>
              <w:rPr>
                <w:rFonts w:asciiTheme="minorHAnsi" w:hAnsiTheme="minorHAnsi"/>
                <w:b/>
                <w:i/>
                <w:sz w:val="20"/>
                <w:szCs w:val="20"/>
              </w:rPr>
            </w:pPr>
            <w:r w:rsidRPr="00CD4125">
              <w:rPr>
                <w:rFonts w:asciiTheme="minorHAnsi" w:hAnsiTheme="minorHAnsi"/>
                <w:b/>
                <w:i/>
                <w:sz w:val="20"/>
                <w:szCs w:val="20"/>
              </w:rPr>
              <w:t>SOLUCION TAMPON DE PH, PH 10,01</w:t>
            </w:r>
          </w:p>
          <w:p w:rsidR="00CD4125" w:rsidRPr="00CD4125" w:rsidRDefault="00CD4125" w:rsidP="00CD4125">
            <w:pPr>
              <w:rPr>
                <w:rFonts w:asciiTheme="minorHAnsi" w:hAnsiTheme="minorHAnsi"/>
                <w:b/>
                <w:i/>
                <w:sz w:val="20"/>
                <w:szCs w:val="20"/>
              </w:rPr>
            </w:pPr>
            <w:r w:rsidRPr="00CD4125">
              <w:rPr>
                <w:rFonts w:asciiTheme="minorHAnsi" w:hAnsiTheme="minorHAnsi"/>
                <w:b/>
                <w:i/>
                <w:sz w:val="20"/>
                <w:szCs w:val="20"/>
              </w:rPr>
              <w:t>SOLUCION TAMPON DE PH, PH 4,01</w:t>
            </w:r>
          </w:p>
          <w:p w:rsidR="00CD4125" w:rsidRPr="00CD4125" w:rsidRDefault="00CD4125" w:rsidP="00CD4125">
            <w:pPr>
              <w:rPr>
                <w:rFonts w:asciiTheme="minorHAnsi" w:hAnsiTheme="minorHAnsi"/>
                <w:b/>
                <w:i/>
                <w:sz w:val="20"/>
                <w:szCs w:val="20"/>
              </w:rPr>
            </w:pPr>
            <w:r w:rsidRPr="00CD4125">
              <w:rPr>
                <w:rFonts w:asciiTheme="minorHAnsi" w:hAnsiTheme="minorHAnsi"/>
                <w:b/>
                <w:i/>
                <w:sz w:val="20"/>
                <w:szCs w:val="20"/>
              </w:rPr>
              <w:t>SOLUCION TAMPON PH 10.01 (NIST)</w:t>
            </w:r>
          </w:p>
          <w:p w:rsidR="00CD4125" w:rsidRPr="00CD4125" w:rsidRDefault="00CD4125" w:rsidP="00CD4125">
            <w:pPr>
              <w:rPr>
                <w:rFonts w:asciiTheme="minorHAnsi" w:hAnsiTheme="minorHAnsi"/>
                <w:b/>
                <w:i/>
                <w:sz w:val="20"/>
                <w:szCs w:val="20"/>
              </w:rPr>
            </w:pPr>
            <w:r w:rsidRPr="00CD4125">
              <w:rPr>
                <w:rFonts w:asciiTheme="minorHAnsi" w:hAnsiTheme="minorHAnsi"/>
                <w:b/>
                <w:i/>
                <w:sz w:val="20"/>
                <w:szCs w:val="20"/>
              </w:rPr>
              <w:t>SOLUCION ESTANDAR DE FOSFATO, 100 mg/L COMO PO4 (NIST)</w:t>
            </w:r>
          </w:p>
          <w:p w:rsidR="00CD4125" w:rsidRPr="00CD4125" w:rsidRDefault="00CD4125" w:rsidP="00CD4125">
            <w:pPr>
              <w:rPr>
                <w:rFonts w:asciiTheme="minorHAnsi" w:hAnsiTheme="minorHAnsi"/>
                <w:b/>
                <w:i/>
                <w:sz w:val="20"/>
                <w:szCs w:val="20"/>
              </w:rPr>
            </w:pPr>
            <w:r w:rsidRPr="00CD4125">
              <w:rPr>
                <w:rFonts w:asciiTheme="minorHAnsi" w:hAnsiTheme="minorHAnsi"/>
                <w:b/>
                <w:i/>
                <w:sz w:val="20"/>
                <w:szCs w:val="20"/>
              </w:rPr>
              <w:t>ACIDO SULFURICO 1.600 ± 0.008 N</w:t>
            </w:r>
          </w:p>
          <w:p w:rsidR="00CD4125" w:rsidRPr="00CD4125" w:rsidRDefault="00CD4125" w:rsidP="00CD4125">
            <w:pPr>
              <w:rPr>
                <w:rFonts w:asciiTheme="minorHAnsi" w:hAnsiTheme="minorHAnsi"/>
                <w:b/>
                <w:i/>
                <w:sz w:val="20"/>
                <w:szCs w:val="20"/>
              </w:rPr>
            </w:pPr>
            <w:r w:rsidRPr="00CD4125">
              <w:rPr>
                <w:rFonts w:asciiTheme="minorHAnsi" w:hAnsiTheme="minorHAnsi"/>
                <w:b/>
                <w:i/>
                <w:sz w:val="20"/>
                <w:szCs w:val="20"/>
              </w:rPr>
              <w:t>ACIDO SULFURICO 0.1600 ± 0.0008 N</w:t>
            </w:r>
          </w:p>
        </w:tc>
      </w:tr>
      <w:tr w:rsidR="00CD4125" w:rsidRPr="00B52F1B" w:rsidTr="009415EA">
        <w:trPr>
          <w:jc w:val="center"/>
        </w:trPr>
        <w:tc>
          <w:tcPr>
            <w:tcW w:w="41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4125" w:rsidRPr="00CD4125" w:rsidRDefault="00CD4125" w:rsidP="00CD4125">
            <w:pPr>
              <w:rPr>
                <w:rFonts w:asciiTheme="minorHAnsi" w:hAnsiTheme="minorHAnsi"/>
                <w:b/>
                <w:i/>
                <w:sz w:val="20"/>
                <w:szCs w:val="20"/>
              </w:rPr>
            </w:pPr>
            <w:r w:rsidRPr="00CD4125">
              <w:rPr>
                <w:rFonts w:asciiTheme="minorHAnsi" w:hAnsiTheme="minorHAnsi"/>
                <w:b/>
                <w:i/>
                <w:sz w:val="20"/>
                <w:szCs w:val="20"/>
              </w:rPr>
              <w:t>EBULLIENT INTERNATIONAL S.A. DE C.V.</w:t>
            </w:r>
          </w:p>
        </w:tc>
        <w:tc>
          <w:tcPr>
            <w:tcW w:w="4678" w:type="dxa"/>
            <w:tcBorders>
              <w:top w:val="nil"/>
              <w:left w:val="nil"/>
              <w:bottom w:val="single" w:sz="8" w:space="0" w:color="auto"/>
              <w:right w:val="single" w:sz="8" w:space="0" w:color="auto"/>
            </w:tcBorders>
            <w:tcMar>
              <w:top w:w="0" w:type="dxa"/>
              <w:left w:w="108" w:type="dxa"/>
              <w:bottom w:w="0" w:type="dxa"/>
              <w:right w:w="108" w:type="dxa"/>
            </w:tcMar>
            <w:vAlign w:val="center"/>
          </w:tcPr>
          <w:p w:rsidR="00CD4125" w:rsidRPr="00CD4125" w:rsidRDefault="00CD4125" w:rsidP="00CD4125">
            <w:pPr>
              <w:rPr>
                <w:rFonts w:asciiTheme="minorHAnsi" w:hAnsiTheme="minorHAnsi"/>
                <w:b/>
                <w:i/>
                <w:sz w:val="20"/>
                <w:szCs w:val="20"/>
                <w:lang w:val="en-US"/>
              </w:rPr>
            </w:pPr>
            <w:r w:rsidRPr="00CD4125">
              <w:rPr>
                <w:rFonts w:asciiTheme="minorHAnsi" w:hAnsiTheme="minorHAnsi"/>
                <w:b/>
                <w:i/>
                <w:sz w:val="20"/>
                <w:szCs w:val="20"/>
                <w:lang w:val="en-US"/>
              </w:rPr>
              <w:t>COOLANT ROJO EBULLIENT</w:t>
            </w:r>
          </w:p>
          <w:p w:rsidR="00CD4125" w:rsidRPr="00CD4125" w:rsidRDefault="00CD4125" w:rsidP="00CD4125">
            <w:pPr>
              <w:rPr>
                <w:rFonts w:asciiTheme="minorHAnsi" w:hAnsiTheme="minorHAnsi"/>
                <w:b/>
                <w:i/>
                <w:sz w:val="20"/>
                <w:szCs w:val="20"/>
                <w:lang w:val="en-US"/>
              </w:rPr>
            </w:pPr>
            <w:r w:rsidRPr="00CD4125">
              <w:rPr>
                <w:rFonts w:asciiTheme="minorHAnsi" w:hAnsiTheme="minorHAnsi"/>
                <w:b/>
                <w:i/>
                <w:sz w:val="20"/>
                <w:szCs w:val="20"/>
                <w:lang w:val="en-US"/>
              </w:rPr>
              <w:t>COOLANT EBULLIENT</w:t>
            </w:r>
          </w:p>
        </w:tc>
      </w:tr>
      <w:tr w:rsidR="00CD4125" w:rsidRPr="00CD4125" w:rsidTr="009415EA">
        <w:trPr>
          <w:jc w:val="center"/>
        </w:trPr>
        <w:tc>
          <w:tcPr>
            <w:tcW w:w="41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4125" w:rsidRPr="00CD4125" w:rsidRDefault="00CD4125" w:rsidP="00CD4125">
            <w:pPr>
              <w:rPr>
                <w:rFonts w:asciiTheme="minorHAnsi" w:hAnsiTheme="minorHAnsi"/>
                <w:b/>
                <w:i/>
                <w:sz w:val="20"/>
                <w:szCs w:val="20"/>
                <w:lang w:val="es-SV"/>
              </w:rPr>
            </w:pPr>
            <w:r w:rsidRPr="00CD4125">
              <w:rPr>
                <w:rFonts w:asciiTheme="minorHAnsi" w:hAnsiTheme="minorHAnsi"/>
                <w:b/>
                <w:i/>
                <w:sz w:val="20"/>
                <w:szCs w:val="20"/>
              </w:rPr>
              <w:t>INDUSTRIAL QUIMICA SALVADOREÑA S.A. DE C.V.</w:t>
            </w:r>
          </w:p>
        </w:tc>
        <w:tc>
          <w:tcPr>
            <w:tcW w:w="4678" w:type="dxa"/>
            <w:tcBorders>
              <w:top w:val="nil"/>
              <w:left w:val="nil"/>
              <w:bottom w:val="single" w:sz="8" w:space="0" w:color="auto"/>
              <w:right w:val="single" w:sz="8" w:space="0" w:color="auto"/>
            </w:tcBorders>
            <w:tcMar>
              <w:top w:w="0" w:type="dxa"/>
              <w:left w:w="108" w:type="dxa"/>
              <w:bottom w:w="0" w:type="dxa"/>
              <w:right w:w="108" w:type="dxa"/>
            </w:tcMar>
            <w:vAlign w:val="center"/>
          </w:tcPr>
          <w:p w:rsidR="00CD4125" w:rsidRPr="00CD4125" w:rsidRDefault="00CD4125" w:rsidP="00CD4125">
            <w:pPr>
              <w:rPr>
                <w:rFonts w:asciiTheme="minorHAnsi" w:hAnsiTheme="minorHAnsi"/>
                <w:b/>
                <w:i/>
                <w:sz w:val="20"/>
                <w:szCs w:val="20"/>
              </w:rPr>
            </w:pPr>
            <w:r w:rsidRPr="00CD4125">
              <w:rPr>
                <w:rFonts w:asciiTheme="minorHAnsi" w:hAnsiTheme="minorHAnsi"/>
                <w:b/>
                <w:i/>
                <w:sz w:val="20"/>
                <w:szCs w:val="20"/>
              </w:rPr>
              <w:t>EVO(R) PRET 900 CONC</w:t>
            </w:r>
          </w:p>
          <w:p w:rsidR="00CD4125" w:rsidRPr="00CD4125" w:rsidRDefault="00CD4125" w:rsidP="00CD4125">
            <w:pPr>
              <w:rPr>
                <w:rFonts w:asciiTheme="minorHAnsi" w:hAnsiTheme="minorHAnsi"/>
                <w:b/>
                <w:i/>
                <w:sz w:val="20"/>
                <w:szCs w:val="20"/>
              </w:rPr>
            </w:pPr>
            <w:r w:rsidRPr="00CD4125">
              <w:rPr>
                <w:rFonts w:asciiTheme="minorHAnsi" w:hAnsiTheme="minorHAnsi"/>
                <w:b/>
                <w:i/>
                <w:sz w:val="20"/>
                <w:szCs w:val="20"/>
              </w:rPr>
              <w:t>BWD 01 AGENTE DECOLORANTE DE AGUA</w:t>
            </w:r>
          </w:p>
        </w:tc>
      </w:tr>
      <w:tr w:rsidR="00CD4125" w:rsidRPr="00CD4125" w:rsidTr="009415EA">
        <w:trPr>
          <w:jc w:val="center"/>
        </w:trPr>
        <w:tc>
          <w:tcPr>
            <w:tcW w:w="41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4125" w:rsidRPr="00CD4125" w:rsidRDefault="00CD4125" w:rsidP="00CD4125">
            <w:pPr>
              <w:rPr>
                <w:rFonts w:asciiTheme="minorHAnsi" w:hAnsiTheme="minorHAnsi"/>
                <w:b/>
                <w:i/>
                <w:sz w:val="20"/>
                <w:szCs w:val="20"/>
              </w:rPr>
            </w:pPr>
            <w:r w:rsidRPr="00CD4125">
              <w:rPr>
                <w:rFonts w:asciiTheme="minorHAnsi" w:hAnsiTheme="minorHAnsi"/>
                <w:b/>
                <w:i/>
                <w:sz w:val="20"/>
                <w:szCs w:val="20"/>
              </w:rPr>
              <w:t>LABORATORIO DE PRODUCTOS COSMETICOS BOPLAN</w:t>
            </w:r>
          </w:p>
        </w:tc>
        <w:tc>
          <w:tcPr>
            <w:tcW w:w="46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125" w:rsidRPr="00CD4125" w:rsidRDefault="00CD4125" w:rsidP="00CD4125">
            <w:pPr>
              <w:rPr>
                <w:rFonts w:asciiTheme="minorHAnsi" w:hAnsiTheme="minorHAnsi"/>
                <w:b/>
                <w:i/>
                <w:sz w:val="20"/>
                <w:szCs w:val="20"/>
              </w:rPr>
            </w:pPr>
            <w:r w:rsidRPr="00CD4125">
              <w:rPr>
                <w:rFonts w:asciiTheme="minorHAnsi" w:hAnsiTheme="minorHAnsi"/>
                <w:b/>
                <w:i/>
                <w:sz w:val="20"/>
                <w:szCs w:val="20"/>
              </w:rPr>
              <w:t>FORMOL 37-7</w:t>
            </w:r>
          </w:p>
        </w:tc>
      </w:tr>
      <w:tr w:rsidR="00CD4125" w:rsidRPr="00CD4125" w:rsidTr="009415EA">
        <w:trPr>
          <w:jc w:val="center"/>
        </w:trPr>
        <w:tc>
          <w:tcPr>
            <w:tcW w:w="41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4125" w:rsidRPr="00CD4125" w:rsidRDefault="00CD4125" w:rsidP="00CD4125">
            <w:pPr>
              <w:rPr>
                <w:rFonts w:asciiTheme="minorHAnsi" w:hAnsiTheme="minorHAnsi"/>
                <w:b/>
                <w:i/>
                <w:sz w:val="20"/>
                <w:szCs w:val="20"/>
              </w:rPr>
            </w:pPr>
            <w:r w:rsidRPr="00CD4125">
              <w:rPr>
                <w:rFonts w:asciiTheme="minorHAnsi" w:hAnsiTheme="minorHAnsi"/>
                <w:b/>
                <w:i/>
                <w:sz w:val="20"/>
                <w:szCs w:val="20"/>
              </w:rPr>
              <w:t>LABORATORIO VIJOSA</w:t>
            </w:r>
          </w:p>
        </w:tc>
        <w:tc>
          <w:tcPr>
            <w:tcW w:w="46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125" w:rsidRPr="00CD4125" w:rsidRDefault="00CD4125" w:rsidP="00CD4125">
            <w:pPr>
              <w:rPr>
                <w:rFonts w:asciiTheme="minorHAnsi" w:hAnsiTheme="minorHAnsi"/>
                <w:b/>
                <w:i/>
                <w:sz w:val="20"/>
                <w:szCs w:val="20"/>
              </w:rPr>
            </w:pPr>
            <w:r w:rsidRPr="00CD4125">
              <w:rPr>
                <w:rFonts w:asciiTheme="minorHAnsi" w:hAnsiTheme="minorHAnsi"/>
                <w:b/>
                <w:i/>
                <w:sz w:val="20"/>
                <w:szCs w:val="20"/>
              </w:rPr>
              <w:t>SODIO FORMALDEHIDO SULFOXILATO DIHIDRATO (ESTABILIZADO CON CARBONATO DE SODIO) PARA SINTESIS</w:t>
            </w:r>
          </w:p>
        </w:tc>
      </w:tr>
      <w:tr w:rsidR="00CD4125" w:rsidRPr="00CD4125" w:rsidTr="009415EA">
        <w:trPr>
          <w:jc w:val="center"/>
        </w:trPr>
        <w:tc>
          <w:tcPr>
            <w:tcW w:w="41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4125" w:rsidRPr="00CD4125" w:rsidRDefault="00CD4125" w:rsidP="00CD4125">
            <w:pPr>
              <w:rPr>
                <w:rFonts w:asciiTheme="minorHAnsi" w:hAnsiTheme="minorHAnsi"/>
                <w:b/>
                <w:i/>
                <w:sz w:val="20"/>
                <w:szCs w:val="20"/>
              </w:rPr>
            </w:pPr>
            <w:r w:rsidRPr="00CD4125">
              <w:rPr>
                <w:rFonts w:asciiTheme="minorHAnsi" w:hAnsiTheme="minorHAnsi"/>
                <w:b/>
                <w:i/>
                <w:sz w:val="20"/>
                <w:szCs w:val="20"/>
              </w:rPr>
              <w:t>QUIMICA NAVA S.A. DE C.V.</w:t>
            </w:r>
          </w:p>
        </w:tc>
        <w:tc>
          <w:tcPr>
            <w:tcW w:w="46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125" w:rsidRPr="00CD4125" w:rsidRDefault="00CD4125" w:rsidP="00CD4125">
            <w:pPr>
              <w:rPr>
                <w:rFonts w:asciiTheme="minorHAnsi" w:hAnsiTheme="minorHAnsi"/>
                <w:b/>
                <w:i/>
                <w:sz w:val="20"/>
                <w:szCs w:val="20"/>
              </w:rPr>
            </w:pPr>
            <w:r w:rsidRPr="00CD4125">
              <w:rPr>
                <w:rFonts w:asciiTheme="minorHAnsi" w:hAnsiTheme="minorHAnsi"/>
                <w:b/>
                <w:i/>
                <w:sz w:val="20"/>
                <w:szCs w:val="20"/>
              </w:rPr>
              <w:t>SOLUCIONES DE FORMALDEHIDO (FORMOL 37%)</w:t>
            </w:r>
          </w:p>
        </w:tc>
      </w:tr>
      <w:tr w:rsidR="00CD4125" w:rsidRPr="00B52F1B" w:rsidTr="009415EA">
        <w:trPr>
          <w:jc w:val="center"/>
        </w:trPr>
        <w:tc>
          <w:tcPr>
            <w:tcW w:w="41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4125" w:rsidRPr="00CD4125" w:rsidRDefault="00CD4125" w:rsidP="00CD4125">
            <w:pPr>
              <w:rPr>
                <w:rFonts w:asciiTheme="minorHAnsi" w:hAnsiTheme="minorHAnsi"/>
                <w:b/>
                <w:i/>
                <w:sz w:val="20"/>
                <w:szCs w:val="20"/>
              </w:rPr>
            </w:pPr>
            <w:r w:rsidRPr="00CD4125">
              <w:rPr>
                <w:rFonts w:asciiTheme="minorHAnsi" w:hAnsiTheme="minorHAnsi"/>
                <w:b/>
                <w:i/>
                <w:sz w:val="20"/>
                <w:szCs w:val="20"/>
              </w:rPr>
              <w:t>TEXTUFIL S.A. DE C.V.</w:t>
            </w:r>
          </w:p>
        </w:tc>
        <w:tc>
          <w:tcPr>
            <w:tcW w:w="4678" w:type="dxa"/>
            <w:tcBorders>
              <w:top w:val="nil"/>
              <w:left w:val="nil"/>
              <w:bottom w:val="single" w:sz="8" w:space="0" w:color="auto"/>
              <w:right w:val="single" w:sz="8" w:space="0" w:color="auto"/>
            </w:tcBorders>
            <w:tcMar>
              <w:top w:w="0" w:type="dxa"/>
              <w:left w:w="108" w:type="dxa"/>
              <w:bottom w:w="0" w:type="dxa"/>
              <w:right w:w="108" w:type="dxa"/>
            </w:tcMar>
            <w:vAlign w:val="center"/>
          </w:tcPr>
          <w:p w:rsidR="00CD4125" w:rsidRPr="00CD4125" w:rsidRDefault="00CD4125" w:rsidP="00CD4125">
            <w:pPr>
              <w:rPr>
                <w:rFonts w:asciiTheme="minorHAnsi" w:hAnsiTheme="minorHAnsi"/>
                <w:b/>
                <w:i/>
                <w:sz w:val="20"/>
                <w:szCs w:val="20"/>
                <w:lang w:val="en-US"/>
              </w:rPr>
            </w:pPr>
            <w:r w:rsidRPr="00CD4125">
              <w:rPr>
                <w:rFonts w:asciiTheme="minorHAnsi" w:hAnsiTheme="minorHAnsi"/>
                <w:b/>
                <w:i/>
                <w:sz w:val="20"/>
                <w:szCs w:val="20"/>
                <w:lang w:val="en-US"/>
              </w:rPr>
              <w:t>SCR 101 CF</w:t>
            </w:r>
          </w:p>
          <w:p w:rsidR="00CD4125" w:rsidRPr="00CD4125" w:rsidRDefault="00CD4125" w:rsidP="00CD4125">
            <w:pPr>
              <w:rPr>
                <w:rFonts w:asciiTheme="minorHAnsi" w:hAnsiTheme="minorHAnsi"/>
                <w:b/>
                <w:i/>
                <w:sz w:val="20"/>
                <w:szCs w:val="20"/>
                <w:lang w:val="en-US"/>
              </w:rPr>
            </w:pPr>
            <w:r w:rsidRPr="00CD4125">
              <w:rPr>
                <w:rFonts w:asciiTheme="minorHAnsi" w:hAnsiTheme="minorHAnsi"/>
                <w:b/>
                <w:i/>
                <w:sz w:val="20"/>
                <w:szCs w:val="20"/>
                <w:lang w:val="en-US"/>
              </w:rPr>
              <w:t>KNITTEX(R) FE</w:t>
            </w:r>
          </w:p>
          <w:p w:rsidR="00CD4125" w:rsidRPr="00CD4125" w:rsidRDefault="00CD4125" w:rsidP="00CD4125">
            <w:pPr>
              <w:rPr>
                <w:rFonts w:asciiTheme="minorHAnsi" w:hAnsiTheme="minorHAnsi"/>
                <w:b/>
                <w:i/>
                <w:sz w:val="20"/>
                <w:szCs w:val="20"/>
                <w:lang w:val="en-US"/>
              </w:rPr>
            </w:pPr>
            <w:r w:rsidRPr="00CD4125">
              <w:rPr>
                <w:rFonts w:asciiTheme="minorHAnsi" w:hAnsiTheme="minorHAnsi"/>
                <w:b/>
                <w:i/>
                <w:sz w:val="20"/>
                <w:szCs w:val="20"/>
                <w:lang w:val="en-US"/>
              </w:rPr>
              <w:t>INVATEX(R) FLOC</w:t>
            </w:r>
          </w:p>
        </w:tc>
      </w:tr>
      <w:tr w:rsidR="00CD4125" w:rsidRPr="00B52F1B" w:rsidTr="009415EA">
        <w:trPr>
          <w:jc w:val="center"/>
        </w:trPr>
        <w:tc>
          <w:tcPr>
            <w:tcW w:w="41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4125" w:rsidRPr="00CD4125" w:rsidRDefault="00CD4125" w:rsidP="00CD4125">
            <w:pPr>
              <w:rPr>
                <w:rFonts w:asciiTheme="minorHAnsi" w:hAnsiTheme="minorHAnsi"/>
                <w:b/>
                <w:i/>
                <w:sz w:val="20"/>
                <w:szCs w:val="20"/>
                <w:lang w:val="es-SV"/>
              </w:rPr>
            </w:pPr>
            <w:r w:rsidRPr="00CD4125">
              <w:rPr>
                <w:rFonts w:asciiTheme="minorHAnsi" w:hAnsiTheme="minorHAnsi"/>
                <w:b/>
                <w:i/>
                <w:sz w:val="20"/>
                <w:szCs w:val="20"/>
              </w:rPr>
              <w:t>ALMACENES VIDRI, S.A.DE CV.</w:t>
            </w:r>
          </w:p>
        </w:tc>
        <w:tc>
          <w:tcPr>
            <w:tcW w:w="4678" w:type="dxa"/>
            <w:tcBorders>
              <w:top w:val="nil"/>
              <w:left w:val="nil"/>
              <w:bottom w:val="single" w:sz="8" w:space="0" w:color="auto"/>
              <w:right w:val="single" w:sz="8" w:space="0" w:color="auto"/>
            </w:tcBorders>
            <w:tcMar>
              <w:top w:w="0" w:type="dxa"/>
              <w:left w:w="108" w:type="dxa"/>
              <w:bottom w:w="0" w:type="dxa"/>
              <w:right w:w="108" w:type="dxa"/>
            </w:tcMar>
            <w:vAlign w:val="center"/>
          </w:tcPr>
          <w:p w:rsidR="00CD4125" w:rsidRPr="00CD4125" w:rsidRDefault="00CD4125" w:rsidP="00CD4125">
            <w:pPr>
              <w:rPr>
                <w:rFonts w:asciiTheme="minorHAnsi" w:hAnsiTheme="minorHAnsi"/>
                <w:b/>
                <w:i/>
                <w:sz w:val="20"/>
                <w:szCs w:val="20"/>
                <w:lang w:val="en-US"/>
              </w:rPr>
            </w:pPr>
            <w:r w:rsidRPr="00CD4125">
              <w:rPr>
                <w:rFonts w:asciiTheme="minorHAnsi" w:hAnsiTheme="minorHAnsi"/>
                <w:b/>
                <w:i/>
                <w:sz w:val="20"/>
                <w:szCs w:val="20"/>
                <w:lang w:val="en-US"/>
              </w:rPr>
              <w:t>COOLANT ROJO EBULLIENT</w:t>
            </w:r>
          </w:p>
          <w:p w:rsidR="00CD4125" w:rsidRPr="00CD4125" w:rsidRDefault="00CD4125" w:rsidP="00CD4125">
            <w:pPr>
              <w:rPr>
                <w:rFonts w:asciiTheme="minorHAnsi" w:hAnsiTheme="minorHAnsi"/>
                <w:b/>
                <w:i/>
                <w:sz w:val="20"/>
                <w:szCs w:val="20"/>
                <w:lang w:val="en-US"/>
              </w:rPr>
            </w:pPr>
            <w:r w:rsidRPr="00CD4125">
              <w:rPr>
                <w:rFonts w:asciiTheme="minorHAnsi" w:hAnsiTheme="minorHAnsi"/>
                <w:b/>
                <w:i/>
                <w:sz w:val="20"/>
                <w:szCs w:val="20"/>
                <w:lang w:val="en-US"/>
              </w:rPr>
              <w:t>COOLANT EBULLIENT</w:t>
            </w:r>
          </w:p>
        </w:tc>
      </w:tr>
      <w:tr w:rsidR="00CD4125" w:rsidRPr="00CD4125" w:rsidTr="009415EA">
        <w:trPr>
          <w:jc w:val="center"/>
        </w:trPr>
        <w:tc>
          <w:tcPr>
            <w:tcW w:w="41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4125" w:rsidRPr="00CD4125" w:rsidRDefault="00CD4125" w:rsidP="00CD4125">
            <w:pPr>
              <w:rPr>
                <w:rFonts w:asciiTheme="minorHAnsi" w:hAnsiTheme="minorHAnsi"/>
                <w:b/>
                <w:i/>
                <w:sz w:val="20"/>
                <w:szCs w:val="20"/>
                <w:lang w:val="es-SV"/>
              </w:rPr>
            </w:pPr>
            <w:r w:rsidRPr="00CD4125">
              <w:rPr>
                <w:rFonts w:asciiTheme="minorHAnsi" w:hAnsiTheme="minorHAnsi"/>
                <w:b/>
                <w:i/>
                <w:sz w:val="20"/>
                <w:szCs w:val="20"/>
              </w:rPr>
              <w:t>REXCARGO TRADING EL SALVADOR, S.A. DE C.V.</w:t>
            </w:r>
          </w:p>
        </w:tc>
        <w:tc>
          <w:tcPr>
            <w:tcW w:w="46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125" w:rsidRPr="00CD4125" w:rsidRDefault="00CD4125" w:rsidP="00CD4125">
            <w:pPr>
              <w:rPr>
                <w:rFonts w:asciiTheme="minorHAnsi" w:hAnsiTheme="minorHAnsi"/>
                <w:b/>
                <w:i/>
                <w:sz w:val="20"/>
                <w:szCs w:val="20"/>
              </w:rPr>
            </w:pPr>
            <w:r w:rsidRPr="00CD4125">
              <w:rPr>
                <w:rFonts w:asciiTheme="minorHAnsi" w:hAnsiTheme="minorHAnsi"/>
                <w:b/>
                <w:i/>
                <w:sz w:val="20"/>
                <w:szCs w:val="20"/>
              </w:rPr>
              <w:t>PREVENTOL D6 GF</w:t>
            </w:r>
          </w:p>
        </w:tc>
      </w:tr>
      <w:tr w:rsidR="00CD4125" w:rsidRPr="00CD4125" w:rsidTr="009415EA">
        <w:trPr>
          <w:jc w:val="center"/>
        </w:trPr>
        <w:tc>
          <w:tcPr>
            <w:tcW w:w="41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4125" w:rsidRPr="00CD4125" w:rsidRDefault="00CD4125" w:rsidP="00CD4125">
            <w:pPr>
              <w:rPr>
                <w:rFonts w:asciiTheme="minorHAnsi" w:hAnsiTheme="minorHAnsi"/>
                <w:b/>
                <w:i/>
                <w:sz w:val="20"/>
                <w:szCs w:val="20"/>
              </w:rPr>
            </w:pPr>
            <w:r w:rsidRPr="00CD4125">
              <w:rPr>
                <w:rFonts w:asciiTheme="minorHAnsi" w:hAnsiTheme="minorHAnsi"/>
                <w:b/>
                <w:i/>
                <w:sz w:val="20"/>
                <w:szCs w:val="20"/>
              </w:rPr>
              <w:t>MARIO ADAN GUILLEN SANTIZO</w:t>
            </w:r>
          </w:p>
        </w:tc>
        <w:tc>
          <w:tcPr>
            <w:tcW w:w="46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125" w:rsidRPr="00CD4125" w:rsidRDefault="00CD4125" w:rsidP="00CD4125">
            <w:pPr>
              <w:rPr>
                <w:rFonts w:asciiTheme="minorHAnsi" w:hAnsiTheme="minorHAnsi"/>
                <w:b/>
                <w:i/>
                <w:sz w:val="20"/>
                <w:szCs w:val="20"/>
              </w:rPr>
            </w:pPr>
            <w:r w:rsidRPr="00CD4125">
              <w:rPr>
                <w:rFonts w:asciiTheme="minorHAnsi" w:hAnsiTheme="minorHAnsi"/>
                <w:b/>
                <w:i/>
                <w:sz w:val="20"/>
                <w:szCs w:val="20"/>
              </w:rPr>
              <w:t>CUMAC MT2</w:t>
            </w:r>
          </w:p>
        </w:tc>
      </w:tr>
      <w:tr w:rsidR="00CD4125" w:rsidRPr="00CD4125" w:rsidTr="009415EA">
        <w:trPr>
          <w:jc w:val="center"/>
        </w:trPr>
        <w:tc>
          <w:tcPr>
            <w:tcW w:w="41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4125" w:rsidRPr="00CD4125" w:rsidRDefault="00CD4125" w:rsidP="00CD4125">
            <w:pPr>
              <w:rPr>
                <w:rFonts w:asciiTheme="minorHAnsi" w:hAnsiTheme="minorHAnsi"/>
                <w:b/>
                <w:i/>
                <w:sz w:val="20"/>
                <w:szCs w:val="20"/>
              </w:rPr>
            </w:pPr>
            <w:r w:rsidRPr="00CD4125">
              <w:rPr>
                <w:rFonts w:asciiTheme="minorHAnsi" w:hAnsiTheme="minorHAnsi"/>
                <w:b/>
                <w:i/>
                <w:sz w:val="20"/>
                <w:szCs w:val="20"/>
              </w:rPr>
              <w:t>INGENIO CENTRAL AZUCARERO JIBOA</w:t>
            </w:r>
          </w:p>
        </w:tc>
        <w:tc>
          <w:tcPr>
            <w:tcW w:w="46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125" w:rsidRPr="00CD4125" w:rsidRDefault="00CD4125" w:rsidP="00CD4125">
            <w:pPr>
              <w:rPr>
                <w:rFonts w:asciiTheme="minorHAnsi" w:hAnsiTheme="minorHAnsi"/>
                <w:b/>
                <w:i/>
                <w:sz w:val="20"/>
                <w:szCs w:val="20"/>
              </w:rPr>
            </w:pPr>
            <w:r w:rsidRPr="00CD4125">
              <w:rPr>
                <w:rFonts w:asciiTheme="minorHAnsi" w:hAnsiTheme="minorHAnsi"/>
                <w:b/>
                <w:i/>
                <w:sz w:val="20"/>
                <w:szCs w:val="20"/>
              </w:rPr>
              <w:t>SULFURIC ACID 0.16N</w:t>
            </w:r>
          </w:p>
        </w:tc>
      </w:tr>
      <w:tr w:rsidR="00CD4125" w:rsidRPr="00CD4125" w:rsidTr="009415EA">
        <w:trPr>
          <w:jc w:val="center"/>
        </w:trPr>
        <w:tc>
          <w:tcPr>
            <w:tcW w:w="41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4125" w:rsidRPr="00CD4125" w:rsidRDefault="00CD4125" w:rsidP="00CD4125">
            <w:pPr>
              <w:rPr>
                <w:rFonts w:asciiTheme="minorHAnsi" w:hAnsiTheme="minorHAnsi"/>
                <w:b/>
                <w:i/>
                <w:sz w:val="20"/>
                <w:szCs w:val="20"/>
              </w:rPr>
            </w:pPr>
            <w:r w:rsidRPr="00CD4125">
              <w:rPr>
                <w:rFonts w:asciiTheme="minorHAnsi" w:hAnsiTheme="minorHAnsi"/>
                <w:b/>
                <w:i/>
                <w:sz w:val="20"/>
                <w:szCs w:val="20"/>
              </w:rPr>
              <w:t>REFLEX, S.A. DE C.V.</w:t>
            </w:r>
          </w:p>
        </w:tc>
        <w:tc>
          <w:tcPr>
            <w:tcW w:w="46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125" w:rsidRPr="00CD4125" w:rsidRDefault="00CD4125" w:rsidP="00CD4125">
            <w:pPr>
              <w:rPr>
                <w:rFonts w:asciiTheme="minorHAnsi" w:hAnsiTheme="minorHAnsi"/>
                <w:b/>
                <w:i/>
                <w:sz w:val="20"/>
                <w:szCs w:val="20"/>
              </w:rPr>
            </w:pPr>
            <w:r w:rsidRPr="00CD4125">
              <w:rPr>
                <w:rFonts w:asciiTheme="minorHAnsi" w:hAnsiTheme="minorHAnsi"/>
                <w:b/>
                <w:i/>
                <w:sz w:val="20"/>
                <w:szCs w:val="20"/>
              </w:rPr>
              <w:t>SUPERPLASTICIZER (PC-P)</w:t>
            </w:r>
          </w:p>
        </w:tc>
      </w:tr>
      <w:tr w:rsidR="00CD4125" w:rsidRPr="00CD4125" w:rsidTr="009415EA">
        <w:trPr>
          <w:jc w:val="center"/>
        </w:trPr>
        <w:tc>
          <w:tcPr>
            <w:tcW w:w="41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4125" w:rsidRPr="00CD4125" w:rsidRDefault="00CD4125" w:rsidP="00CD4125">
            <w:pPr>
              <w:rPr>
                <w:rFonts w:asciiTheme="minorHAnsi" w:hAnsiTheme="minorHAnsi"/>
                <w:b/>
                <w:i/>
                <w:sz w:val="20"/>
                <w:szCs w:val="20"/>
                <w:lang w:val="en-US"/>
              </w:rPr>
            </w:pPr>
            <w:r w:rsidRPr="00CD4125">
              <w:rPr>
                <w:rFonts w:asciiTheme="minorHAnsi" w:hAnsiTheme="minorHAnsi"/>
                <w:b/>
                <w:i/>
                <w:sz w:val="20"/>
                <w:szCs w:val="20"/>
                <w:lang w:val="en-US"/>
              </w:rPr>
              <w:t>SHERWIN WILLIAMS DE CENTRO AMERICA, S.A.</w:t>
            </w:r>
          </w:p>
        </w:tc>
        <w:tc>
          <w:tcPr>
            <w:tcW w:w="46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125" w:rsidRPr="00CD4125" w:rsidRDefault="00CD4125" w:rsidP="00CD4125">
            <w:pPr>
              <w:rPr>
                <w:rFonts w:asciiTheme="minorHAnsi" w:hAnsiTheme="minorHAnsi"/>
                <w:b/>
                <w:i/>
                <w:sz w:val="20"/>
                <w:szCs w:val="20"/>
                <w:lang w:val="en-US"/>
              </w:rPr>
            </w:pPr>
            <w:r w:rsidRPr="00CD4125">
              <w:rPr>
                <w:rFonts w:asciiTheme="minorHAnsi" w:hAnsiTheme="minorHAnsi"/>
                <w:b/>
                <w:i/>
                <w:sz w:val="20"/>
                <w:szCs w:val="20"/>
                <w:lang w:val="en-US"/>
              </w:rPr>
              <w:t>CYMEL(R) 247-10 RESIN</w:t>
            </w:r>
          </w:p>
        </w:tc>
      </w:tr>
      <w:tr w:rsidR="00CD4125" w:rsidRPr="00CD4125" w:rsidTr="009415EA">
        <w:trPr>
          <w:jc w:val="center"/>
        </w:trPr>
        <w:tc>
          <w:tcPr>
            <w:tcW w:w="41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4125" w:rsidRPr="00CD4125" w:rsidRDefault="00CD4125" w:rsidP="00CD4125">
            <w:pPr>
              <w:rPr>
                <w:rFonts w:asciiTheme="minorHAnsi" w:hAnsiTheme="minorHAnsi"/>
                <w:b/>
                <w:i/>
                <w:sz w:val="20"/>
                <w:szCs w:val="20"/>
                <w:lang w:val="es-SV"/>
              </w:rPr>
            </w:pPr>
            <w:r w:rsidRPr="00CD4125">
              <w:rPr>
                <w:rFonts w:asciiTheme="minorHAnsi" w:hAnsiTheme="minorHAnsi"/>
                <w:b/>
                <w:i/>
                <w:sz w:val="20"/>
                <w:szCs w:val="20"/>
              </w:rPr>
              <w:t>EQUIMSA, S.A. DE C.V.</w:t>
            </w:r>
          </w:p>
        </w:tc>
        <w:tc>
          <w:tcPr>
            <w:tcW w:w="46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125" w:rsidRPr="00CD4125" w:rsidRDefault="00CD4125" w:rsidP="00CD4125">
            <w:pPr>
              <w:rPr>
                <w:rFonts w:asciiTheme="minorHAnsi" w:hAnsiTheme="minorHAnsi"/>
                <w:b/>
                <w:i/>
                <w:sz w:val="20"/>
                <w:szCs w:val="20"/>
              </w:rPr>
            </w:pPr>
            <w:r w:rsidRPr="00CD4125">
              <w:rPr>
                <w:rFonts w:asciiTheme="minorHAnsi" w:hAnsiTheme="minorHAnsi"/>
                <w:b/>
                <w:i/>
                <w:sz w:val="20"/>
                <w:szCs w:val="20"/>
              </w:rPr>
              <w:t>PARAFORMALDEHIDO</w:t>
            </w:r>
          </w:p>
        </w:tc>
      </w:tr>
      <w:tr w:rsidR="00CD4125" w:rsidRPr="00B52F1B" w:rsidTr="009415EA">
        <w:trPr>
          <w:jc w:val="center"/>
        </w:trPr>
        <w:tc>
          <w:tcPr>
            <w:tcW w:w="41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4125" w:rsidRPr="00CD4125" w:rsidRDefault="00CD4125" w:rsidP="00CD4125">
            <w:pPr>
              <w:rPr>
                <w:rFonts w:asciiTheme="minorHAnsi" w:hAnsiTheme="minorHAnsi"/>
                <w:b/>
                <w:i/>
                <w:sz w:val="20"/>
                <w:szCs w:val="20"/>
              </w:rPr>
            </w:pPr>
            <w:r w:rsidRPr="00CD4125">
              <w:rPr>
                <w:rFonts w:asciiTheme="minorHAnsi" w:hAnsiTheme="minorHAnsi"/>
                <w:b/>
                <w:i/>
                <w:sz w:val="20"/>
                <w:szCs w:val="20"/>
              </w:rPr>
              <w:t>CENTRO DE DISTRIBUCION REGIONAL, S.A DE C.V.</w:t>
            </w:r>
          </w:p>
        </w:tc>
        <w:tc>
          <w:tcPr>
            <w:tcW w:w="46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125" w:rsidRPr="00CD4125" w:rsidRDefault="00CD4125" w:rsidP="00CD4125">
            <w:pPr>
              <w:rPr>
                <w:rFonts w:asciiTheme="minorHAnsi" w:hAnsiTheme="minorHAnsi"/>
                <w:b/>
                <w:i/>
                <w:sz w:val="20"/>
                <w:szCs w:val="20"/>
                <w:lang w:val="en-US"/>
              </w:rPr>
            </w:pPr>
            <w:r w:rsidRPr="00CD4125">
              <w:rPr>
                <w:rFonts w:asciiTheme="minorHAnsi" w:hAnsiTheme="minorHAnsi"/>
                <w:b/>
                <w:i/>
                <w:sz w:val="20"/>
                <w:szCs w:val="20"/>
                <w:lang w:val="en-US"/>
              </w:rPr>
              <w:t>REDUCING AGENT Z|RIDUCENTE Z</w:t>
            </w:r>
          </w:p>
        </w:tc>
      </w:tr>
      <w:tr w:rsidR="00CD4125" w:rsidRPr="00CD4125" w:rsidTr="009415EA">
        <w:trPr>
          <w:jc w:val="center"/>
        </w:trPr>
        <w:tc>
          <w:tcPr>
            <w:tcW w:w="41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4125" w:rsidRPr="00CD4125" w:rsidRDefault="00CD4125" w:rsidP="00CD4125">
            <w:pPr>
              <w:rPr>
                <w:rFonts w:asciiTheme="minorHAnsi" w:hAnsiTheme="minorHAnsi"/>
                <w:b/>
                <w:i/>
                <w:sz w:val="20"/>
                <w:szCs w:val="20"/>
                <w:lang w:val="es-SV"/>
              </w:rPr>
            </w:pPr>
            <w:r w:rsidRPr="00CD4125">
              <w:rPr>
                <w:rFonts w:asciiTheme="minorHAnsi" w:hAnsiTheme="minorHAnsi"/>
                <w:b/>
                <w:i/>
                <w:sz w:val="20"/>
                <w:szCs w:val="20"/>
              </w:rPr>
              <w:t>QUIMELSA, S.A. DE C.V.</w:t>
            </w:r>
          </w:p>
        </w:tc>
        <w:tc>
          <w:tcPr>
            <w:tcW w:w="46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125" w:rsidRPr="00CD4125" w:rsidRDefault="00CD4125" w:rsidP="00CD4125">
            <w:pPr>
              <w:rPr>
                <w:rFonts w:asciiTheme="minorHAnsi" w:hAnsiTheme="minorHAnsi"/>
                <w:b/>
                <w:i/>
                <w:sz w:val="20"/>
                <w:szCs w:val="20"/>
              </w:rPr>
            </w:pPr>
            <w:r w:rsidRPr="00CD4125">
              <w:rPr>
                <w:rFonts w:asciiTheme="minorHAnsi" w:hAnsiTheme="minorHAnsi"/>
                <w:b/>
                <w:i/>
                <w:sz w:val="20"/>
                <w:szCs w:val="20"/>
              </w:rPr>
              <w:t>REACEL(R) KT CONC</w:t>
            </w:r>
          </w:p>
        </w:tc>
      </w:tr>
      <w:tr w:rsidR="00CD4125" w:rsidRPr="00CD4125" w:rsidTr="009415EA">
        <w:trPr>
          <w:jc w:val="center"/>
        </w:trPr>
        <w:tc>
          <w:tcPr>
            <w:tcW w:w="41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4125" w:rsidRPr="00CD4125" w:rsidRDefault="00CD4125" w:rsidP="00CD4125">
            <w:pPr>
              <w:rPr>
                <w:rFonts w:asciiTheme="minorHAnsi" w:hAnsiTheme="minorHAnsi"/>
                <w:b/>
                <w:i/>
                <w:sz w:val="20"/>
                <w:szCs w:val="20"/>
              </w:rPr>
            </w:pPr>
            <w:r w:rsidRPr="00CD4125">
              <w:rPr>
                <w:rFonts w:asciiTheme="minorHAnsi" w:hAnsiTheme="minorHAnsi"/>
                <w:b/>
                <w:i/>
                <w:sz w:val="20"/>
                <w:szCs w:val="20"/>
              </w:rPr>
              <w:lastRenderedPageBreak/>
              <w:t>APINTAR, S.A. DE C.V.</w:t>
            </w:r>
          </w:p>
        </w:tc>
        <w:tc>
          <w:tcPr>
            <w:tcW w:w="46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125" w:rsidRPr="00CD4125" w:rsidRDefault="00CD4125" w:rsidP="00CD4125">
            <w:pPr>
              <w:rPr>
                <w:rFonts w:asciiTheme="minorHAnsi" w:hAnsiTheme="minorHAnsi"/>
                <w:b/>
                <w:i/>
                <w:sz w:val="20"/>
                <w:szCs w:val="20"/>
              </w:rPr>
            </w:pPr>
            <w:r w:rsidRPr="00CD4125">
              <w:rPr>
                <w:rFonts w:asciiTheme="minorHAnsi" w:hAnsiTheme="minorHAnsi"/>
                <w:b/>
                <w:i/>
                <w:sz w:val="20"/>
                <w:szCs w:val="20"/>
              </w:rPr>
              <w:t>REACEL(R) KT CONC</w:t>
            </w:r>
          </w:p>
        </w:tc>
      </w:tr>
      <w:tr w:rsidR="00CD4125" w:rsidRPr="00CD4125" w:rsidTr="009415EA">
        <w:trPr>
          <w:jc w:val="center"/>
        </w:trPr>
        <w:tc>
          <w:tcPr>
            <w:tcW w:w="41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4125" w:rsidRPr="00CD4125" w:rsidRDefault="00CD4125" w:rsidP="00CD4125">
            <w:pPr>
              <w:rPr>
                <w:rFonts w:asciiTheme="minorHAnsi" w:hAnsiTheme="minorHAnsi"/>
                <w:b/>
                <w:i/>
                <w:sz w:val="20"/>
                <w:szCs w:val="20"/>
              </w:rPr>
            </w:pPr>
            <w:r w:rsidRPr="00CD4125">
              <w:rPr>
                <w:rFonts w:asciiTheme="minorHAnsi" w:hAnsiTheme="minorHAnsi"/>
                <w:b/>
                <w:i/>
                <w:sz w:val="20"/>
                <w:szCs w:val="20"/>
              </w:rPr>
              <w:t>SUN CHEMICAL DE CENTRO AMERICA, S.A.DE C.V.</w:t>
            </w:r>
          </w:p>
        </w:tc>
        <w:tc>
          <w:tcPr>
            <w:tcW w:w="46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125" w:rsidRPr="00CD4125" w:rsidRDefault="00CD4125" w:rsidP="00CD4125">
            <w:pPr>
              <w:rPr>
                <w:rFonts w:asciiTheme="minorHAnsi" w:hAnsiTheme="minorHAnsi"/>
                <w:b/>
                <w:i/>
                <w:sz w:val="20"/>
                <w:szCs w:val="20"/>
              </w:rPr>
            </w:pPr>
            <w:r w:rsidRPr="00CD4125">
              <w:rPr>
                <w:rFonts w:asciiTheme="minorHAnsi" w:hAnsiTheme="minorHAnsi"/>
                <w:b/>
                <w:i/>
                <w:sz w:val="20"/>
                <w:szCs w:val="20"/>
              </w:rPr>
              <w:t>RESANON 122H</w:t>
            </w:r>
          </w:p>
        </w:tc>
      </w:tr>
      <w:tr w:rsidR="00CD4125" w:rsidRPr="00CD4125" w:rsidTr="009415EA">
        <w:trPr>
          <w:jc w:val="center"/>
        </w:trPr>
        <w:tc>
          <w:tcPr>
            <w:tcW w:w="41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4125" w:rsidRPr="00CD4125" w:rsidRDefault="00CD4125" w:rsidP="00CD4125">
            <w:pPr>
              <w:rPr>
                <w:rFonts w:asciiTheme="minorHAnsi" w:hAnsiTheme="minorHAnsi"/>
                <w:b/>
                <w:i/>
                <w:sz w:val="20"/>
                <w:szCs w:val="20"/>
              </w:rPr>
            </w:pPr>
            <w:r w:rsidRPr="00CD4125">
              <w:rPr>
                <w:rFonts w:asciiTheme="minorHAnsi" w:hAnsiTheme="minorHAnsi"/>
                <w:b/>
                <w:i/>
                <w:sz w:val="20"/>
                <w:szCs w:val="20"/>
              </w:rPr>
              <w:t>CHEMYCOLOR, S.A. DE C.V.</w:t>
            </w:r>
          </w:p>
        </w:tc>
        <w:tc>
          <w:tcPr>
            <w:tcW w:w="46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125" w:rsidRPr="00CD4125" w:rsidRDefault="00CD4125" w:rsidP="00CD4125">
            <w:pPr>
              <w:rPr>
                <w:rFonts w:asciiTheme="minorHAnsi" w:hAnsiTheme="minorHAnsi"/>
                <w:b/>
                <w:i/>
                <w:sz w:val="20"/>
                <w:szCs w:val="20"/>
              </w:rPr>
            </w:pPr>
            <w:r w:rsidRPr="00CD4125">
              <w:rPr>
                <w:rFonts w:asciiTheme="minorHAnsi" w:hAnsiTheme="minorHAnsi"/>
                <w:b/>
                <w:i/>
                <w:sz w:val="20"/>
                <w:szCs w:val="20"/>
              </w:rPr>
              <w:t>ITAMIN M 174</w:t>
            </w:r>
          </w:p>
        </w:tc>
      </w:tr>
      <w:tr w:rsidR="00CD4125" w:rsidRPr="00CD4125" w:rsidTr="009415EA">
        <w:trPr>
          <w:jc w:val="center"/>
        </w:trPr>
        <w:tc>
          <w:tcPr>
            <w:tcW w:w="41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4125" w:rsidRPr="00CD4125" w:rsidRDefault="00CD4125" w:rsidP="00CD4125">
            <w:pPr>
              <w:rPr>
                <w:rFonts w:asciiTheme="minorHAnsi" w:hAnsiTheme="minorHAnsi"/>
                <w:b/>
                <w:i/>
                <w:sz w:val="20"/>
                <w:szCs w:val="20"/>
              </w:rPr>
            </w:pPr>
            <w:r w:rsidRPr="00CD4125">
              <w:rPr>
                <w:rFonts w:asciiTheme="minorHAnsi" w:hAnsiTheme="minorHAnsi"/>
                <w:b/>
                <w:i/>
                <w:sz w:val="20"/>
                <w:szCs w:val="20"/>
              </w:rPr>
              <w:t>COMPAÑÍA MERCANTIL ROYER, S.A. DE C.V. (COMERSA EL SALVADOR)</w:t>
            </w:r>
          </w:p>
        </w:tc>
        <w:tc>
          <w:tcPr>
            <w:tcW w:w="46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125" w:rsidRPr="00CD4125" w:rsidRDefault="00CD4125" w:rsidP="00CD4125">
            <w:pPr>
              <w:rPr>
                <w:rFonts w:asciiTheme="minorHAnsi" w:hAnsiTheme="minorHAnsi"/>
                <w:b/>
                <w:i/>
                <w:sz w:val="20"/>
                <w:szCs w:val="20"/>
              </w:rPr>
            </w:pPr>
            <w:r w:rsidRPr="00CD4125">
              <w:rPr>
                <w:rFonts w:asciiTheme="minorHAnsi" w:hAnsiTheme="minorHAnsi"/>
                <w:b/>
                <w:i/>
                <w:sz w:val="20"/>
                <w:szCs w:val="20"/>
              </w:rPr>
              <w:t>FOS APL 120</w:t>
            </w:r>
          </w:p>
        </w:tc>
      </w:tr>
      <w:tr w:rsidR="00CD4125" w:rsidRPr="00CD4125" w:rsidTr="009415EA">
        <w:trPr>
          <w:jc w:val="center"/>
        </w:trPr>
        <w:tc>
          <w:tcPr>
            <w:tcW w:w="41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4125" w:rsidRPr="00CD4125" w:rsidRDefault="00CD4125" w:rsidP="00CD4125">
            <w:pPr>
              <w:rPr>
                <w:rFonts w:asciiTheme="minorHAnsi" w:hAnsiTheme="minorHAnsi"/>
                <w:b/>
                <w:i/>
                <w:sz w:val="20"/>
                <w:szCs w:val="20"/>
              </w:rPr>
            </w:pPr>
            <w:r w:rsidRPr="00CD4125">
              <w:rPr>
                <w:rFonts w:asciiTheme="minorHAnsi" w:hAnsiTheme="minorHAnsi"/>
                <w:b/>
                <w:i/>
                <w:sz w:val="20"/>
                <w:szCs w:val="20"/>
              </w:rPr>
              <w:t>IMPORQUIM, S.A. DE C.V.</w:t>
            </w:r>
          </w:p>
        </w:tc>
        <w:tc>
          <w:tcPr>
            <w:tcW w:w="46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125" w:rsidRPr="00CD4125" w:rsidRDefault="00CD4125" w:rsidP="00CD4125">
            <w:pPr>
              <w:rPr>
                <w:rFonts w:asciiTheme="minorHAnsi" w:hAnsiTheme="minorHAnsi"/>
                <w:b/>
                <w:i/>
                <w:sz w:val="20"/>
                <w:szCs w:val="20"/>
              </w:rPr>
            </w:pPr>
            <w:r w:rsidRPr="00CD4125">
              <w:rPr>
                <w:rFonts w:asciiTheme="minorHAnsi" w:hAnsiTheme="minorHAnsi"/>
                <w:b/>
                <w:i/>
                <w:sz w:val="20"/>
                <w:szCs w:val="20"/>
              </w:rPr>
              <w:t>GRANUFORM</w:t>
            </w:r>
          </w:p>
        </w:tc>
      </w:tr>
      <w:tr w:rsidR="00CD4125" w:rsidRPr="00CD4125" w:rsidTr="009415EA">
        <w:trPr>
          <w:jc w:val="center"/>
        </w:trPr>
        <w:tc>
          <w:tcPr>
            <w:tcW w:w="41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4125" w:rsidRPr="00CD4125" w:rsidRDefault="00CD4125" w:rsidP="00CD4125">
            <w:pPr>
              <w:rPr>
                <w:rFonts w:asciiTheme="minorHAnsi" w:hAnsiTheme="minorHAnsi"/>
                <w:b/>
                <w:i/>
                <w:sz w:val="20"/>
                <w:szCs w:val="20"/>
              </w:rPr>
            </w:pPr>
            <w:r w:rsidRPr="00CD4125">
              <w:rPr>
                <w:rFonts w:asciiTheme="minorHAnsi" w:hAnsiTheme="minorHAnsi"/>
                <w:b/>
                <w:i/>
                <w:sz w:val="20"/>
                <w:szCs w:val="20"/>
              </w:rPr>
              <w:t>PARQUES Y JARDINES DE CUSCATLAN, S.A. DE C.V.</w:t>
            </w:r>
          </w:p>
        </w:tc>
        <w:tc>
          <w:tcPr>
            <w:tcW w:w="46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125" w:rsidRPr="00CD4125" w:rsidRDefault="00CD4125" w:rsidP="00CD4125">
            <w:pPr>
              <w:rPr>
                <w:rFonts w:asciiTheme="minorHAnsi" w:hAnsiTheme="minorHAnsi"/>
                <w:b/>
                <w:i/>
                <w:sz w:val="20"/>
                <w:szCs w:val="20"/>
              </w:rPr>
            </w:pPr>
            <w:r w:rsidRPr="00CD4125">
              <w:rPr>
                <w:rFonts w:asciiTheme="minorHAnsi" w:hAnsiTheme="minorHAnsi"/>
                <w:b/>
                <w:i/>
                <w:sz w:val="20"/>
                <w:szCs w:val="20"/>
              </w:rPr>
              <w:t>SUPREME WATER FREE CAVITY</w:t>
            </w:r>
          </w:p>
        </w:tc>
      </w:tr>
      <w:tr w:rsidR="00CD4125" w:rsidRPr="00CD4125" w:rsidTr="009415EA">
        <w:trPr>
          <w:jc w:val="center"/>
        </w:trPr>
        <w:tc>
          <w:tcPr>
            <w:tcW w:w="41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4125" w:rsidRPr="00CD4125" w:rsidRDefault="00CD4125" w:rsidP="00CD4125">
            <w:pPr>
              <w:rPr>
                <w:rFonts w:asciiTheme="minorHAnsi" w:hAnsiTheme="minorHAnsi"/>
                <w:b/>
                <w:i/>
                <w:sz w:val="20"/>
                <w:szCs w:val="20"/>
              </w:rPr>
            </w:pPr>
            <w:r w:rsidRPr="00CD4125">
              <w:rPr>
                <w:rFonts w:asciiTheme="minorHAnsi" w:hAnsiTheme="minorHAnsi"/>
                <w:b/>
                <w:i/>
                <w:sz w:val="20"/>
                <w:szCs w:val="20"/>
              </w:rPr>
              <w:t>DROGUERIA RGH DE EL SALVADOR, S.A. DE C.V.</w:t>
            </w:r>
          </w:p>
        </w:tc>
        <w:tc>
          <w:tcPr>
            <w:tcW w:w="46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4125" w:rsidRPr="00CD4125" w:rsidRDefault="00CD4125" w:rsidP="00CD4125">
            <w:pPr>
              <w:rPr>
                <w:rFonts w:asciiTheme="minorHAnsi" w:hAnsiTheme="minorHAnsi"/>
                <w:b/>
                <w:i/>
                <w:sz w:val="20"/>
                <w:szCs w:val="20"/>
              </w:rPr>
            </w:pPr>
            <w:r w:rsidRPr="00CD4125">
              <w:rPr>
                <w:rFonts w:asciiTheme="minorHAnsi" w:hAnsiTheme="minorHAnsi"/>
                <w:b/>
                <w:i/>
                <w:sz w:val="20"/>
                <w:szCs w:val="20"/>
              </w:rPr>
              <w:t>114770 TEST MANGANESO METODO FOTOMETRICO 0.010-10.00 mg</w:t>
            </w:r>
          </w:p>
        </w:tc>
      </w:tr>
    </w:tbl>
    <w:p w:rsidR="009415EA" w:rsidRDefault="009415EA" w:rsidP="007B298F">
      <w:pPr>
        <w:pStyle w:val="Sinespaciado"/>
        <w:spacing w:line="276" w:lineRule="auto"/>
        <w:jc w:val="both"/>
        <w:rPr>
          <w:b/>
          <w:i/>
          <w:sz w:val="20"/>
          <w:szCs w:val="20"/>
        </w:rPr>
      </w:pPr>
    </w:p>
    <w:p w:rsidR="00927AC4" w:rsidRPr="009A0935" w:rsidRDefault="007B298F" w:rsidP="007B298F">
      <w:pPr>
        <w:pStyle w:val="Sinespaciado"/>
        <w:spacing w:line="276" w:lineRule="auto"/>
        <w:jc w:val="both"/>
        <w:rPr>
          <w:b/>
          <w:i/>
          <w:sz w:val="20"/>
          <w:szCs w:val="20"/>
          <w:lang w:val="es-ES"/>
        </w:rPr>
      </w:pPr>
      <w:r>
        <w:rPr>
          <w:b/>
          <w:i/>
          <w:sz w:val="20"/>
          <w:szCs w:val="20"/>
        </w:rPr>
        <w:t xml:space="preserve">En relación a las cantidades y volúmenes de Formaldehido o </w:t>
      </w:r>
      <w:proofErr w:type="spellStart"/>
      <w:r>
        <w:rPr>
          <w:b/>
          <w:i/>
          <w:sz w:val="20"/>
          <w:szCs w:val="20"/>
        </w:rPr>
        <w:t>Metanal</w:t>
      </w:r>
      <w:proofErr w:type="spellEnd"/>
      <w:r>
        <w:rPr>
          <w:b/>
          <w:i/>
          <w:sz w:val="20"/>
          <w:szCs w:val="20"/>
        </w:rPr>
        <w:t>, se informa que la búsqueda de esta información implicaría un desvío de recurso humano y material para su recopilación y sistematización que obstaculizaría en desarrollo normal de la unidad, por lo que no es procedente su búsqueda a ese nivel de detalle.</w:t>
      </w:r>
    </w:p>
    <w:p w:rsidR="00CE279A" w:rsidRPr="009A0935" w:rsidRDefault="00A760BC" w:rsidP="009A0935">
      <w:pPr>
        <w:pStyle w:val="Sinespaciado"/>
        <w:spacing w:line="276" w:lineRule="auto"/>
        <w:jc w:val="both"/>
        <w:rPr>
          <w:b/>
          <w:sz w:val="20"/>
          <w:szCs w:val="20"/>
        </w:rPr>
      </w:pPr>
      <w:r w:rsidRPr="009A0935">
        <w:rPr>
          <w:b/>
          <w:i/>
          <w:sz w:val="20"/>
          <w:szCs w:val="20"/>
          <w:lang w:val="es-ES"/>
        </w:rPr>
        <w:t xml:space="preserve"> </w:t>
      </w:r>
      <w:r w:rsidR="00CE279A" w:rsidRPr="009A0935">
        <w:rPr>
          <w:b/>
          <w:i/>
          <w:sz w:val="20"/>
          <w:szCs w:val="20"/>
        </w:rPr>
        <w:t>“””””””””””””””””””””””””””””””””””””””””””””””””””””””””””””””””””””””””””””””””””””””””””””””””””””</w:t>
      </w:r>
    </w:p>
    <w:p w:rsidR="00CE279A" w:rsidRDefault="007B298F" w:rsidP="008C6D82">
      <w:pPr>
        <w:spacing w:line="276" w:lineRule="auto"/>
        <w:jc w:val="both"/>
        <w:rPr>
          <w:rFonts w:asciiTheme="minorHAnsi" w:hAnsiTheme="minorHAnsi" w:cs="Arial"/>
          <w:sz w:val="20"/>
          <w:szCs w:val="20"/>
          <w:shd w:val="clear" w:color="auto" w:fill="FAFAFA"/>
        </w:rPr>
      </w:pPr>
      <w:r w:rsidRPr="00A45043">
        <w:rPr>
          <w:rFonts w:asciiTheme="minorHAnsi" w:hAnsiTheme="minorHAnsi" w:cs="Arial"/>
          <w:sz w:val="20"/>
          <w:szCs w:val="20"/>
          <w:shd w:val="clear" w:color="auto" w:fill="FAFAFA"/>
        </w:rPr>
        <w:t>El artículo 12 letra c del Reglamento General de la Ley de Medicamentos, contempla dentro de las funciones de la Unidad de Importaciones, Exportaciones y Donaciones de Medicamentos: “</w:t>
      </w:r>
      <w:r w:rsidRPr="00A45043">
        <w:rPr>
          <w:rFonts w:asciiTheme="minorHAnsi" w:hAnsiTheme="minorHAnsi" w:cs="Arial"/>
          <w:i/>
          <w:sz w:val="20"/>
          <w:szCs w:val="20"/>
          <w:shd w:val="clear" w:color="auto" w:fill="FAFAFA"/>
        </w:rPr>
        <w:t>recibir, evaluar y tramitar las solicitudes de ingreso al territorio salvadoreño de productos farmacéuticos, insumos médicos, cosméticos, higiénicos, materias primas y productos químicos que cumplan con los requisitos establecidos en los Reglamentos Técnicos e Instrumentos Técnicos Jurídicos”</w:t>
      </w:r>
      <w:r w:rsidRPr="00A45043">
        <w:rPr>
          <w:rFonts w:asciiTheme="minorHAnsi" w:hAnsiTheme="minorHAnsi" w:cs="Arial"/>
          <w:sz w:val="20"/>
          <w:szCs w:val="20"/>
          <w:shd w:val="clear" w:color="auto" w:fill="FAFAFA"/>
        </w:rPr>
        <w:t xml:space="preserve">  lo cual es realizado por la unidad de importaciones, manteniendo una base de las autorizaciones emitidas, sin embargo, la misma no contempla el nivel de detalle solicitado por el ciudadano, </w:t>
      </w:r>
      <w:r w:rsidR="008C6D82" w:rsidRPr="00A45043">
        <w:rPr>
          <w:rFonts w:asciiTheme="minorHAnsi" w:hAnsiTheme="minorHAnsi" w:cs="Arial"/>
          <w:sz w:val="20"/>
          <w:szCs w:val="20"/>
          <w:shd w:val="clear" w:color="auto" w:fill="FAFAFA"/>
        </w:rPr>
        <w:t xml:space="preserve">cabe destacar que </w:t>
      </w:r>
      <w:r w:rsidR="005C53F3" w:rsidRPr="00A45043">
        <w:rPr>
          <w:rFonts w:asciiTheme="minorHAnsi" w:hAnsiTheme="minorHAnsi" w:cs="Arial"/>
          <w:sz w:val="20"/>
          <w:szCs w:val="20"/>
          <w:shd w:val="clear" w:color="auto" w:fill="FAFAFA"/>
        </w:rPr>
        <w:t>l</w:t>
      </w:r>
      <w:r w:rsidR="008C6D82" w:rsidRPr="00A45043">
        <w:rPr>
          <w:rFonts w:asciiTheme="minorHAnsi" w:hAnsiTheme="minorHAnsi" w:cs="Arial"/>
          <w:sz w:val="20"/>
          <w:szCs w:val="20"/>
          <w:shd w:val="clear" w:color="auto" w:fill="FAFAFA"/>
        </w:rPr>
        <w:t>a Sala de lo Constitucional de la Corte Suprema de Justicia, en resolución emitida a las once horas y doce minutos del día veintitrés de octubre de dos mil diecisiete en el proceso de amparo referencia 713-2015, resolvió sobre el alcance del derecho de acceso a la información púbica, e</w:t>
      </w:r>
      <w:r w:rsidR="00A45043">
        <w:rPr>
          <w:rFonts w:asciiTheme="minorHAnsi" w:hAnsiTheme="minorHAnsi" w:cs="Arial"/>
          <w:sz w:val="20"/>
          <w:szCs w:val="20"/>
          <w:shd w:val="clear" w:color="auto" w:fill="FAFAFA"/>
        </w:rPr>
        <w:t>n</w:t>
      </w:r>
      <w:r w:rsidR="008C6D82" w:rsidRPr="00A45043">
        <w:rPr>
          <w:rFonts w:asciiTheme="minorHAnsi" w:hAnsiTheme="minorHAnsi" w:cs="Arial"/>
          <w:sz w:val="20"/>
          <w:szCs w:val="20"/>
          <w:shd w:val="clear" w:color="auto" w:fill="FAFAFA"/>
        </w:rPr>
        <w:t xml:space="preserve"> ese sentido</w:t>
      </w:r>
      <w:r w:rsidR="005C53F3" w:rsidRPr="00A45043">
        <w:rPr>
          <w:rFonts w:asciiTheme="minorHAnsi" w:hAnsiTheme="minorHAnsi" w:cs="Arial"/>
          <w:sz w:val="20"/>
          <w:szCs w:val="20"/>
          <w:shd w:val="clear" w:color="auto" w:fill="FAFAFA"/>
        </w:rPr>
        <w:t>,</w:t>
      </w:r>
      <w:r w:rsidR="008C6D82" w:rsidRPr="00A45043">
        <w:rPr>
          <w:rFonts w:asciiTheme="minorHAnsi" w:hAnsiTheme="minorHAnsi" w:cs="Arial"/>
          <w:sz w:val="20"/>
          <w:szCs w:val="20"/>
          <w:shd w:val="clear" w:color="auto" w:fill="FAFAFA"/>
        </w:rPr>
        <w:t xml:space="preserve"> establec</w:t>
      </w:r>
      <w:r w:rsidR="005C53F3" w:rsidRPr="00A45043">
        <w:rPr>
          <w:rFonts w:asciiTheme="minorHAnsi" w:hAnsiTheme="minorHAnsi" w:cs="Arial"/>
          <w:sz w:val="20"/>
          <w:szCs w:val="20"/>
          <w:shd w:val="clear" w:color="auto" w:fill="FAFAFA"/>
        </w:rPr>
        <w:t>ió</w:t>
      </w:r>
      <w:r w:rsidR="008C6D82" w:rsidRPr="00A45043">
        <w:rPr>
          <w:rFonts w:asciiTheme="minorHAnsi" w:hAnsiTheme="minorHAnsi" w:cs="Arial"/>
          <w:sz w:val="20"/>
          <w:szCs w:val="20"/>
          <w:shd w:val="clear" w:color="auto" w:fill="FAFAFA"/>
        </w:rPr>
        <w:t xml:space="preserve"> que las obligaciones que impone la LAIP en ningún caso comprende presentar la información en un orden específico, de manera sistematizada o procesada</w:t>
      </w:r>
      <w:r w:rsidRPr="00A45043">
        <w:rPr>
          <w:rFonts w:asciiTheme="minorHAnsi" w:hAnsiTheme="minorHAnsi" w:cs="Arial"/>
          <w:sz w:val="20"/>
          <w:szCs w:val="20"/>
          <w:shd w:val="clear" w:color="auto" w:fill="FAFAFA"/>
        </w:rPr>
        <w:t>,</w:t>
      </w:r>
      <w:r w:rsidR="008C6D82" w:rsidRPr="00A45043">
        <w:rPr>
          <w:rFonts w:asciiTheme="minorHAnsi" w:hAnsiTheme="minorHAnsi" w:cs="Arial"/>
          <w:sz w:val="20"/>
          <w:szCs w:val="20"/>
          <w:shd w:val="clear" w:color="auto" w:fill="FAFAFA"/>
        </w:rPr>
        <w:t xml:space="preserve"> </w:t>
      </w:r>
      <w:r w:rsidRPr="00A45043">
        <w:rPr>
          <w:rFonts w:asciiTheme="minorHAnsi" w:hAnsiTheme="minorHAnsi" w:cs="Arial"/>
          <w:sz w:val="20"/>
          <w:szCs w:val="20"/>
          <w:shd w:val="clear" w:color="auto" w:fill="FAFAFA"/>
        </w:rPr>
        <w:t>expresando que toda solicitud de información que comporte una alteración significativa en la agenda esencial de una institución pública o implique un importante desvío de recursos humanos y materiales para su producción, recopilación y sistematización</w:t>
      </w:r>
      <w:r w:rsidR="007E66DD" w:rsidRPr="00A45043">
        <w:rPr>
          <w:rFonts w:asciiTheme="minorHAnsi" w:hAnsiTheme="minorHAnsi" w:cs="Arial"/>
          <w:sz w:val="20"/>
          <w:szCs w:val="20"/>
          <w:shd w:val="clear" w:color="auto" w:fill="FAFAFA"/>
        </w:rPr>
        <w:t xml:space="preserve"> (que es el caso que nos ocupa)</w:t>
      </w:r>
      <w:r w:rsidRPr="00A45043">
        <w:rPr>
          <w:rFonts w:asciiTheme="minorHAnsi" w:hAnsiTheme="minorHAnsi" w:cs="Arial"/>
          <w:sz w:val="20"/>
          <w:szCs w:val="20"/>
          <w:shd w:val="clear" w:color="auto" w:fill="FAFAFA"/>
        </w:rPr>
        <w:t xml:space="preserve"> y que, además, no se encuentre comprendida dentro de los datos que el art. 10 de la LAIP califica como de divulgación oficiosa, no deberá ser atendida por la institución receptora de la solicitud</w:t>
      </w:r>
      <w:r w:rsidR="007E66DD" w:rsidRPr="00A45043">
        <w:rPr>
          <w:rFonts w:asciiTheme="minorHAnsi" w:hAnsiTheme="minorHAnsi" w:cs="Arial"/>
          <w:sz w:val="20"/>
          <w:szCs w:val="20"/>
          <w:shd w:val="clear" w:color="auto" w:fill="FAFAFA"/>
        </w:rPr>
        <w:t>. No obstante la unidad de importaciones, proporciona un listado de importadores que tienen inscrito productos con formaldehido en forma pura o mezcla</w:t>
      </w:r>
      <w:r w:rsidR="000F1B3C" w:rsidRPr="00A45043">
        <w:rPr>
          <w:rFonts w:asciiTheme="minorHAnsi" w:hAnsiTheme="minorHAnsi" w:cs="Arial"/>
          <w:sz w:val="20"/>
          <w:szCs w:val="20"/>
          <w:shd w:val="clear" w:color="auto" w:fill="FAFAFA"/>
        </w:rPr>
        <w:t xml:space="preserve"> por lo que conforme al art. 82 LAIP relacionado al art. 135 de la Ley de Procedimientos Administrativos, queda expedito el derecho de interponer el recurso de apelación ante el Instituto de Acceso a la Información Pública</w:t>
      </w:r>
      <w:r w:rsidR="00A45043">
        <w:rPr>
          <w:rFonts w:asciiTheme="minorHAnsi" w:hAnsiTheme="minorHAnsi" w:cs="Arial"/>
          <w:sz w:val="20"/>
          <w:szCs w:val="20"/>
          <w:shd w:val="clear" w:color="auto" w:fill="FAFAFA"/>
        </w:rPr>
        <w:t xml:space="preserve">. </w:t>
      </w:r>
      <w:r w:rsidR="007E66DD">
        <w:rPr>
          <w:rFonts w:asciiTheme="minorHAnsi" w:hAnsiTheme="minorHAnsi" w:cs="Arial"/>
          <w:sz w:val="20"/>
          <w:szCs w:val="20"/>
          <w:shd w:val="clear" w:color="auto" w:fill="FAFAFA"/>
        </w:rPr>
        <w:t xml:space="preserve"> </w:t>
      </w:r>
    </w:p>
    <w:p w:rsidR="00A760BC" w:rsidRPr="009A0935" w:rsidRDefault="00A760BC" w:rsidP="009A0935">
      <w:pPr>
        <w:pStyle w:val="Sinespaciado"/>
        <w:spacing w:line="276" w:lineRule="auto"/>
        <w:jc w:val="both"/>
        <w:rPr>
          <w:b/>
          <w:noProof/>
          <w:sz w:val="20"/>
          <w:szCs w:val="20"/>
          <w:lang w:eastAsia="es-SV"/>
        </w:rPr>
      </w:pPr>
    </w:p>
    <w:p w:rsidR="00A760BC" w:rsidRPr="009A0935" w:rsidRDefault="00A760BC" w:rsidP="009A0935">
      <w:pPr>
        <w:pStyle w:val="Sinespaciado"/>
        <w:numPr>
          <w:ilvl w:val="0"/>
          <w:numId w:val="4"/>
        </w:numPr>
        <w:spacing w:line="276" w:lineRule="auto"/>
        <w:jc w:val="both"/>
        <w:rPr>
          <w:b/>
          <w:noProof/>
          <w:sz w:val="20"/>
          <w:szCs w:val="20"/>
          <w:lang w:eastAsia="es-SV"/>
        </w:rPr>
      </w:pPr>
      <w:r w:rsidRPr="009A0935">
        <w:rPr>
          <w:b/>
          <w:noProof/>
          <w:sz w:val="20"/>
          <w:szCs w:val="20"/>
          <w:lang w:eastAsia="es-SV"/>
        </w:rPr>
        <w:t xml:space="preserve">RESOLUCIÓN: </w:t>
      </w:r>
    </w:p>
    <w:p w:rsidR="00CE279A" w:rsidRPr="009A0935" w:rsidRDefault="00A760BC" w:rsidP="009A0935">
      <w:pPr>
        <w:spacing w:before="100" w:beforeAutospacing="1" w:after="100" w:afterAutospacing="1" w:line="276" w:lineRule="auto"/>
        <w:jc w:val="both"/>
        <w:rPr>
          <w:rFonts w:asciiTheme="minorHAnsi" w:hAnsiTheme="minorHAnsi"/>
          <w:sz w:val="20"/>
          <w:szCs w:val="20"/>
        </w:rPr>
      </w:pPr>
      <w:r w:rsidRPr="009A0935">
        <w:rPr>
          <w:rFonts w:asciiTheme="minorHAnsi" w:eastAsia="Arial Unicode MS" w:hAnsiTheme="minorHAnsi" w:cs="Arial Unicode MS"/>
          <w:sz w:val="20"/>
          <w:szCs w:val="20"/>
        </w:rPr>
        <w:t>Por lo antes acotado y c</w:t>
      </w:r>
      <w:r w:rsidRPr="009A0935">
        <w:rPr>
          <w:rFonts w:asciiTheme="minorHAnsi" w:hAnsiTheme="minorHAnsi"/>
          <w:sz w:val="20"/>
          <w:szCs w:val="20"/>
        </w:rPr>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rsidR="00CE279A" w:rsidRPr="009A0935" w:rsidRDefault="00CE279A" w:rsidP="009A0935">
      <w:pPr>
        <w:pStyle w:val="Sinespaciado"/>
        <w:spacing w:line="276" w:lineRule="auto"/>
        <w:jc w:val="both"/>
        <w:rPr>
          <w:sz w:val="20"/>
          <w:szCs w:val="20"/>
        </w:rPr>
      </w:pPr>
      <w:r w:rsidRPr="009A0935">
        <w:rPr>
          <w:b/>
          <w:sz w:val="20"/>
          <w:szCs w:val="20"/>
        </w:rPr>
        <w:lastRenderedPageBreak/>
        <w:t>POR TANTO:</w:t>
      </w:r>
      <w:r w:rsidRPr="009A0935">
        <w:rPr>
          <w:sz w:val="20"/>
          <w:szCs w:val="20"/>
        </w:rPr>
        <w:t xml:space="preserve"> En razón de lo antes expuesto y con base a lo estipulado en el artículo 18 de la Constitución de la República de El Salvador, en relación con los artículos </w:t>
      </w:r>
      <w:r w:rsidR="005C53F3">
        <w:rPr>
          <w:sz w:val="20"/>
          <w:szCs w:val="20"/>
        </w:rPr>
        <w:t xml:space="preserve">50, </w:t>
      </w:r>
      <w:r w:rsidRPr="009A0935">
        <w:rPr>
          <w:sz w:val="20"/>
          <w:szCs w:val="20"/>
        </w:rPr>
        <w:t xml:space="preserve">66, </w:t>
      </w:r>
      <w:r w:rsidR="005C53F3">
        <w:rPr>
          <w:sz w:val="20"/>
          <w:szCs w:val="20"/>
        </w:rPr>
        <w:t xml:space="preserve">74 letra c, </w:t>
      </w:r>
      <w:r w:rsidRPr="009A0935">
        <w:rPr>
          <w:sz w:val="20"/>
          <w:szCs w:val="20"/>
        </w:rPr>
        <w:t xml:space="preserve">de la Ley de Acceso a la Información Pública, relacionado con los artículos 55 y 56 de su Reglamento, y demás normativa antes relacionada, esta Oficina </w:t>
      </w:r>
      <w:r w:rsidRPr="009A0935">
        <w:rPr>
          <w:b/>
          <w:sz w:val="20"/>
          <w:szCs w:val="20"/>
        </w:rPr>
        <w:t>RESUELVE:</w:t>
      </w:r>
      <w:r w:rsidRPr="009A0935">
        <w:rPr>
          <w:sz w:val="20"/>
          <w:szCs w:val="20"/>
        </w:rPr>
        <w:t xml:space="preserve"> </w:t>
      </w:r>
    </w:p>
    <w:p w:rsidR="00CE279A" w:rsidRPr="009A0935" w:rsidRDefault="00CE279A" w:rsidP="009A0935">
      <w:pPr>
        <w:pStyle w:val="Sinespaciado"/>
        <w:spacing w:line="276" w:lineRule="auto"/>
        <w:jc w:val="both"/>
        <w:rPr>
          <w:sz w:val="20"/>
          <w:szCs w:val="20"/>
        </w:rPr>
      </w:pPr>
    </w:p>
    <w:p w:rsidR="00076B8C" w:rsidRDefault="007E66DD" w:rsidP="00076B8C">
      <w:pPr>
        <w:pStyle w:val="Prrafodelista"/>
        <w:numPr>
          <w:ilvl w:val="0"/>
          <w:numId w:val="2"/>
        </w:numPr>
        <w:spacing w:after="0" w:line="240" w:lineRule="auto"/>
        <w:ind w:left="426" w:hanging="284"/>
        <w:jc w:val="both"/>
        <w:rPr>
          <w:rFonts w:eastAsia="Arial Unicode MS" w:cs="Arial Unicode MS"/>
          <w:noProof/>
          <w:sz w:val="20"/>
          <w:szCs w:val="20"/>
          <w:lang w:eastAsia="es-SV"/>
        </w:rPr>
      </w:pPr>
      <w:r>
        <w:rPr>
          <w:rFonts w:eastAsia="Arial Unicode MS" w:cs="Arial Unicode MS"/>
          <w:b/>
          <w:sz w:val="20"/>
          <w:szCs w:val="20"/>
        </w:rPr>
        <w:t>CONCEDASE</w:t>
      </w:r>
      <w:r w:rsidR="00076B8C" w:rsidRPr="009A0935">
        <w:rPr>
          <w:rFonts w:eastAsia="Arial Unicode MS" w:cs="Arial Unicode MS"/>
          <w:sz w:val="20"/>
          <w:szCs w:val="20"/>
        </w:rPr>
        <w:t xml:space="preserve"> </w:t>
      </w:r>
      <w:r>
        <w:rPr>
          <w:rFonts w:eastAsia="Arial Unicode MS" w:cs="Arial Unicode MS"/>
          <w:sz w:val="20"/>
          <w:szCs w:val="20"/>
        </w:rPr>
        <w:t xml:space="preserve">parcialmente </w:t>
      </w:r>
      <w:r w:rsidR="00076B8C" w:rsidRPr="009A0935">
        <w:rPr>
          <w:rFonts w:eastAsia="Arial Unicode MS" w:cs="Arial Unicode MS"/>
          <w:sz w:val="20"/>
          <w:szCs w:val="20"/>
        </w:rPr>
        <w:t>el acceso a información solicitada</w:t>
      </w:r>
      <w:r w:rsidR="00FA60C8">
        <w:rPr>
          <w:rFonts w:eastAsia="Arial Unicode MS" w:cs="Arial Unicode MS"/>
          <w:sz w:val="20"/>
          <w:szCs w:val="20"/>
        </w:rPr>
        <w:t xml:space="preserve">, </w:t>
      </w:r>
      <w:r>
        <w:rPr>
          <w:rFonts w:eastAsia="Arial Unicode MS" w:cs="Arial Unicode MS"/>
          <w:sz w:val="20"/>
          <w:szCs w:val="20"/>
        </w:rPr>
        <w:t>por las razones antes expuestas</w:t>
      </w:r>
    </w:p>
    <w:p w:rsidR="00076B8C" w:rsidRPr="00076B8C" w:rsidRDefault="00076B8C" w:rsidP="00076B8C">
      <w:pPr>
        <w:pStyle w:val="Prrafodelista"/>
        <w:spacing w:after="0" w:line="240" w:lineRule="auto"/>
        <w:ind w:left="426"/>
        <w:jc w:val="both"/>
        <w:rPr>
          <w:rFonts w:eastAsia="Arial Unicode MS" w:cs="Arial Unicode MS"/>
          <w:noProof/>
          <w:sz w:val="20"/>
          <w:szCs w:val="20"/>
          <w:lang w:eastAsia="es-SV"/>
        </w:rPr>
      </w:pPr>
    </w:p>
    <w:p w:rsidR="007E66DD" w:rsidRPr="00AC3F49" w:rsidRDefault="007E66DD" w:rsidP="007E66DD">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AC3F49">
        <w:rPr>
          <w:rFonts w:eastAsia="Arial Unicode MS" w:cs="Arial Unicode MS"/>
          <w:b/>
          <w:sz w:val="20"/>
          <w:szCs w:val="20"/>
        </w:rPr>
        <w:t xml:space="preserve">ENTRÉGUESE </w:t>
      </w:r>
      <w:r w:rsidRPr="00AC3F49">
        <w:rPr>
          <w:rFonts w:eastAsia="Arial Unicode MS" w:cs="Arial Unicode MS"/>
          <w:sz w:val="20"/>
          <w:szCs w:val="20"/>
        </w:rPr>
        <w:t>la información mediante esta resolución en correo electrónico, éste es el medio señalado en el formato de solicitud</w:t>
      </w:r>
      <w:r w:rsidRPr="00AC3F49">
        <w:rPr>
          <w:rFonts w:eastAsia="Arial Unicode MS" w:cs="Arial Unicode MS"/>
          <w:b/>
          <w:sz w:val="20"/>
          <w:szCs w:val="20"/>
        </w:rPr>
        <w:t xml:space="preserve"> </w:t>
      </w:r>
    </w:p>
    <w:p w:rsidR="00CE279A" w:rsidRPr="009A0935" w:rsidRDefault="00CE279A" w:rsidP="00076B8C">
      <w:pPr>
        <w:pStyle w:val="Prrafodelista"/>
        <w:spacing w:after="0" w:line="240" w:lineRule="auto"/>
        <w:ind w:left="426"/>
        <w:jc w:val="both"/>
        <w:rPr>
          <w:rFonts w:eastAsia="Arial Unicode MS" w:cs="Arial Unicode MS"/>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NOTIFÍQUESE</w:t>
      </w:r>
      <w:r w:rsidRPr="009A0935">
        <w:rPr>
          <w:rFonts w:eastAsia="Arial Unicode MS" w:cs="Arial Unicode MS"/>
          <w:noProof/>
          <w:sz w:val="20"/>
          <w:szCs w:val="20"/>
          <w:lang w:eastAsia="es-SV"/>
        </w:rPr>
        <w:t xml:space="preserve"> la presente resolución al correo electrónico </w:t>
      </w:r>
      <w:r w:rsidRPr="009A0935">
        <w:rPr>
          <w:rFonts w:eastAsia="Arial Unicode MS" w:cs="Arial Unicode MS"/>
          <w:sz w:val="20"/>
          <w:szCs w:val="20"/>
        </w:rPr>
        <w:t xml:space="preserve">señalado </w:t>
      </w:r>
      <w:r w:rsidRPr="009A0935">
        <w:rPr>
          <w:rFonts w:eastAsia="Arial Unicode MS" w:cs="Arial Unicode MS"/>
          <w:noProof/>
          <w:sz w:val="20"/>
          <w:szCs w:val="20"/>
          <w:lang w:eastAsia="es-SV"/>
        </w:rPr>
        <w:t xml:space="preserve">y déjese constancia en el expediente respectivo de la notificación. </w:t>
      </w:r>
    </w:p>
    <w:p w:rsidR="00CE279A" w:rsidRPr="009A0935" w:rsidRDefault="00CE279A" w:rsidP="00076B8C">
      <w:pPr>
        <w:pStyle w:val="Prrafodelista"/>
        <w:spacing w:line="240" w:lineRule="auto"/>
        <w:rPr>
          <w:rFonts w:eastAsia="Arial Unicode MS" w:cs="Arial Unicode MS"/>
          <w:b/>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ARCHÍVESE</w:t>
      </w:r>
      <w:r w:rsidRPr="009A0935">
        <w:rPr>
          <w:rFonts w:eastAsia="Arial Unicode MS" w:cs="Arial Unicode MS"/>
          <w:noProof/>
          <w:sz w:val="20"/>
          <w:szCs w:val="20"/>
          <w:lang w:eastAsia="es-SV"/>
        </w:rPr>
        <w:t xml:space="preserve"> el presente expediente administrativo</w:t>
      </w:r>
    </w:p>
    <w:p w:rsidR="00CE279A" w:rsidRPr="009A0935" w:rsidRDefault="00CE279A" w:rsidP="00076B8C">
      <w:pPr>
        <w:pStyle w:val="Sinespaciado"/>
        <w:jc w:val="both"/>
        <w:rPr>
          <w:sz w:val="20"/>
          <w:szCs w:val="20"/>
        </w:rPr>
      </w:pPr>
    </w:p>
    <w:p w:rsidR="00CE279A" w:rsidRPr="009A0935" w:rsidRDefault="00CE279A" w:rsidP="009A0935">
      <w:pPr>
        <w:pStyle w:val="Sinespaciado"/>
        <w:spacing w:line="276" w:lineRule="auto"/>
        <w:jc w:val="both"/>
        <w:rPr>
          <w:sz w:val="20"/>
          <w:szCs w:val="20"/>
        </w:rPr>
      </w:pPr>
    </w:p>
    <w:p w:rsidR="00CE279A" w:rsidRPr="009A0935" w:rsidRDefault="00CE279A" w:rsidP="009A0935">
      <w:pPr>
        <w:pStyle w:val="Sinespaciado"/>
        <w:spacing w:line="276" w:lineRule="auto"/>
        <w:jc w:val="both"/>
        <w:rPr>
          <w:sz w:val="20"/>
          <w:szCs w:val="20"/>
        </w:rPr>
      </w:pPr>
    </w:p>
    <w:p w:rsidR="00CE279A" w:rsidRPr="009A0935" w:rsidRDefault="00CE279A" w:rsidP="009A0935">
      <w:pPr>
        <w:pStyle w:val="Sinespaciado"/>
        <w:spacing w:line="276" w:lineRule="auto"/>
        <w:jc w:val="both"/>
        <w:rPr>
          <w:noProof/>
          <w:sz w:val="20"/>
          <w:szCs w:val="20"/>
          <w:lang w:eastAsia="es-SV"/>
        </w:rPr>
      </w:pPr>
    </w:p>
    <w:p w:rsidR="00CE279A" w:rsidRPr="009A0935" w:rsidRDefault="00CE279A" w:rsidP="009A0935">
      <w:pPr>
        <w:pStyle w:val="Sinespaciado"/>
        <w:spacing w:line="276" w:lineRule="auto"/>
        <w:jc w:val="center"/>
        <w:rPr>
          <w:noProof/>
          <w:sz w:val="20"/>
          <w:szCs w:val="20"/>
          <w:lang w:eastAsia="es-SV"/>
        </w:rPr>
      </w:pPr>
      <w:r w:rsidRPr="009A0935">
        <w:rPr>
          <w:noProof/>
          <w:sz w:val="20"/>
          <w:szCs w:val="20"/>
          <w:lang w:eastAsia="es-SV"/>
        </w:rPr>
        <w:t>_________________________________</w:t>
      </w:r>
    </w:p>
    <w:p w:rsidR="00CE279A" w:rsidRPr="009A0935" w:rsidRDefault="00CE279A" w:rsidP="009A0935">
      <w:pPr>
        <w:pStyle w:val="Sinespaciado"/>
        <w:spacing w:line="276" w:lineRule="auto"/>
        <w:jc w:val="center"/>
        <w:rPr>
          <w:sz w:val="20"/>
          <w:szCs w:val="20"/>
        </w:rPr>
      </w:pPr>
      <w:r w:rsidRPr="009A0935">
        <w:rPr>
          <w:sz w:val="20"/>
          <w:szCs w:val="20"/>
        </w:rPr>
        <w:t>Licda. Daysi Concepción Orellana de Larín</w:t>
      </w:r>
    </w:p>
    <w:p w:rsidR="00F267B6" w:rsidRDefault="00CE279A" w:rsidP="00556ACA">
      <w:pPr>
        <w:pStyle w:val="Sinespaciado"/>
        <w:spacing w:line="276" w:lineRule="auto"/>
        <w:jc w:val="center"/>
        <w:rPr>
          <w:sz w:val="20"/>
          <w:szCs w:val="20"/>
        </w:rPr>
      </w:pPr>
      <w:r w:rsidRPr="009A0935">
        <w:rPr>
          <w:sz w:val="20"/>
          <w:szCs w:val="20"/>
        </w:rPr>
        <w:t>Oficial de Información</w:t>
      </w:r>
    </w:p>
    <w:p w:rsidR="00F42ED5" w:rsidRDefault="00F42ED5" w:rsidP="00556ACA">
      <w:pPr>
        <w:pStyle w:val="Sinespaciado"/>
        <w:spacing w:line="276" w:lineRule="auto"/>
        <w:jc w:val="center"/>
        <w:rPr>
          <w:sz w:val="20"/>
          <w:szCs w:val="20"/>
        </w:rPr>
      </w:pPr>
    </w:p>
    <w:p w:rsidR="00F42ED5" w:rsidRPr="009A0935" w:rsidRDefault="00F42ED5" w:rsidP="00556ACA">
      <w:pPr>
        <w:pStyle w:val="Sinespaciado"/>
        <w:spacing w:line="276" w:lineRule="auto"/>
        <w:jc w:val="center"/>
        <w:rPr>
          <w:sz w:val="20"/>
          <w:szCs w:val="20"/>
        </w:rPr>
      </w:pPr>
    </w:p>
    <w:sectPr w:rsidR="00F42ED5" w:rsidRPr="009A0935" w:rsidSect="009A0935">
      <w:head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899" w:rsidRDefault="00542899" w:rsidP="003C57CE">
      <w:r>
        <w:separator/>
      </w:r>
    </w:p>
  </w:endnote>
  <w:endnote w:type="continuationSeparator" w:id="0">
    <w:p w:rsidR="00542899" w:rsidRDefault="00542899"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899" w:rsidRDefault="00542899" w:rsidP="003C57CE">
      <w:r>
        <w:separator/>
      </w:r>
    </w:p>
  </w:footnote>
  <w:footnote w:type="continuationSeparator" w:id="0">
    <w:p w:rsidR="00542899" w:rsidRDefault="00542899" w:rsidP="003C5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05C549D4" wp14:editId="7CAE0009">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5C549D4"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rFQIAAP4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" filled="f" stroked="f">
              <v:textbox style="mso-fit-shape-to-text:t">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4B6F7ABC" wp14:editId="0EC44A47">
          <wp:simplePos x="0" y="0"/>
          <wp:positionH relativeFrom="page">
            <wp:align>left</wp:align>
          </wp:positionH>
          <wp:positionV relativeFrom="page">
            <wp:align>top</wp:align>
          </wp:positionV>
          <wp:extent cx="7847330" cy="10048875"/>
          <wp:effectExtent l="0" t="0" r="127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7"/>
  </w:num>
  <w:num w:numId="2">
    <w:abstractNumId w:val="2"/>
  </w:num>
  <w:num w:numId="3">
    <w:abstractNumId w:val="6"/>
  </w:num>
  <w:num w:numId="4">
    <w:abstractNumId w:val="0"/>
  </w:num>
  <w:num w:numId="5">
    <w:abstractNumId w:val="1"/>
  </w:num>
  <w:num w:numId="6">
    <w:abstractNumId w:val="9"/>
  </w:num>
  <w:num w:numId="7">
    <w:abstractNumId w:val="8"/>
  </w:num>
  <w:num w:numId="8">
    <w:abstractNumId w:val="5"/>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E"/>
    <w:rsid w:val="00054B4C"/>
    <w:rsid w:val="00076B8C"/>
    <w:rsid w:val="000871A5"/>
    <w:rsid w:val="000A1C47"/>
    <w:rsid w:val="000F1B3C"/>
    <w:rsid w:val="00100DDC"/>
    <w:rsid w:val="001131F5"/>
    <w:rsid w:val="00213E6E"/>
    <w:rsid w:val="00252786"/>
    <w:rsid w:val="00265C86"/>
    <w:rsid w:val="002833A5"/>
    <w:rsid w:val="00285061"/>
    <w:rsid w:val="002E5283"/>
    <w:rsid w:val="0037371A"/>
    <w:rsid w:val="003A6ECA"/>
    <w:rsid w:val="003C57CE"/>
    <w:rsid w:val="004009C3"/>
    <w:rsid w:val="00403ACC"/>
    <w:rsid w:val="00523722"/>
    <w:rsid w:val="00542899"/>
    <w:rsid w:val="00545675"/>
    <w:rsid w:val="00556ACA"/>
    <w:rsid w:val="00556C4B"/>
    <w:rsid w:val="005974B2"/>
    <w:rsid w:val="005B7F37"/>
    <w:rsid w:val="005C53F3"/>
    <w:rsid w:val="00712AA0"/>
    <w:rsid w:val="00755D58"/>
    <w:rsid w:val="00795CF5"/>
    <w:rsid w:val="007B298F"/>
    <w:rsid w:val="007E66DD"/>
    <w:rsid w:val="008C6D82"/>
    <w:rsid w:val="00927AC4"/>
    <w:rsid w:val="009415EA"/>
    <w:rsid w:val="009A0935"/>
    <w:rsid w:val="00A253EF"/>
    <w:rsid w:val="00A45043"/>
    <w:rsid w:val="00A760BC"/>
    <w:rsid w:val="00B52F1B"/>
    <w:rsid w:val="00B62FB6"/>
    <w:rsid w:val="00BD1A6E"/>
    <w:rsid w:val="00C03BB5"/>
    <w:rsid w:val="00CD4125"/>
    <w:rsid w:val="00CE279A"/>
    <w:rsid w:val="00D244E6"/>
    <w:rsid w:val="00D30F1F"/>
    <w:rsid w:val="00D457C7"/>
    <w:rsid w:val="00DD174F"/>
    <w:rsid w:val="00DD5572"/>
    <w:rsid w:val="00DE2E94"/>
    <w:rsid w:val="00E266F5"/>
    <w:rsid w:val="00E919DC"/>
    <w:rsid w:val="00F267B6"/>
    <w:rsid w:val="00F33FD1"/>
    <w:rsid w:val="00F42ED5"/>
    <w:rsid w:val="00F50903"/>
    <w:rsid w:val="00FA60C8"/>
    <w:rsid w:val="00FF399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5:chartTrackingRefBased/>
  <w15:docId w15:val="{6786BBBB-1DBA-4FB0-9BD6-6B1745989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990954">
      <w:bodyDiv w:val="1"/>
      <w:marLeft w:val="0"/>
      <w:marRight w:val="0"/>
      <w:marTop w:val="0"/>
      <w:marBottom w:val="0"/>
      <w:divBdr>
        <w:top w:val="none" w:sz="0" w:space="0" w:color="auto"/>
        <w:left w:val="none" w:sz="0" w:space="0" w:color="auto"/>
        <w:bottom w:val="none" w:sz="0" w:space="0" w:color="auto"/>
        <w:right w:val="none" w:sz="0" w:space="0" w:color="auto"/>
      </w:divBdr>
    </w:div>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23437481">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1769539565">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1380</Words>
  <Characters>7592</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Call Center</cp:lastModifiedBy>
  <cp:revision>7</cp:revision>
  <cp:lastPrinted>2021-02-10T16:23:00Z</cp:lastPrinted>
  <dcterms:created xsi:type="dcterms:W3CDTF">2021-05-04T17:55:00Z</dcterms:created>
  <dcterms:modified xsi:type="dcterms:W3CDTF">2021-05-05T20:26:00Z</dcterms:modified>
</cp:coreProperties>
</file>