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AB" w:rsidRDefault="009D19DD" w:rsidP="00FB4DAB">
      <w:pPr>
        <w:pStyle w:val="Sinespaciado"/>
        <w:jc w:val="right"/>
        <w:rPr>
          <w:sz w:val="20"/>
          <w:szCs w:val="20"/>
          <w:lang w:val="es-SV"/>
        </w:rPr>
      </w:pPr>
      <w:r>
        <w:rPr>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57</wp:posOffset>
            </wp:positionV>
            <wp:extent cx="2028825" cy="871163"/>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871163"/>
                    </a:xfrm>
                    <a:prstGeom prst="rect">
                      <a:avLst/>
                    </a:prstGeom>
                    <a:noFill/>
                  </pic:spPr>
                </pic:pic>
              </a:graphicData>
            </a:graphic>
            <wp14:sizeRelH relativeFrom="page">
              <wp14:pctWidth>0</wp14:pctWidth>
            </wp14:sizeRelH>
            <wp14:sizeRelV relativeFrom="page">
              <wp14:pctHeight>0</wp14:pctHeight>
            </wp14:sizeRelV>
          </wp:anchor>
        </w:drawing>
      </w:r>
      <w:r w:rsidR="00FB4DAB" w:rsidRPr="00F4150B">
        <w:rPr>
          <w:sz w:val="20"/>
          <w:szCs w:val="20"/>
          <w:lang w:val="es-SV"/>
        </w:rPr>
        <w:t>REFERENCIA: SAIP_ 20</w:t>
      </w:r>
      <w:r w:rsidR="00FB4DAB">
        <w:rPr>
          <w:sz w:val="20"/>
          <w:szCs w:val="20"/>
          <w:lang w:val="es-SV"/>
        </w:rPr>
        <w:t>20</w:t>
      </w:r>
      <w:r w:rsidR="00FB4DAB" w:rsidRPr="00F4150B">
        <w:rPr>
          <w:sz w:val="20"/>
          <w:szCs w:val="20"/>
          <w:lang w:val="es-SV"/>
        </w:rPr>
        <w:t>_</w:t>
      </w:r>
      <w:r w:rsidR="00FB4DAB">
        <w:rPr>
          <w:sz w:val="20"/>
          <w:szCs w:val="20"/>
          <w:lang w:val="es-SV"/>
        </w:rPr>
        <w:t>0</w:t>
      </w:r>
      <w:r w:rsidR="00260756">
        <w:rPr>
          <w:sz w:val="20"/>
          <w:szCs w:val="20"/>
          <w:lang w:val="es-SV"/>
        </w:rPr>
        <w:t>8</w:t>
      </w:r>
      <w:r w:rsidR="00D35174">
        <w:rPr>
          <w:sz w:val="20"/>
          <w:szCs w:val="20"/>
          <w:lang w:val="es-SV"/>
        </w:rPr>
        <w:t>9</w:t>
      </w:r>
    </w:p>
    <w:p w:rsidR="00CB4D59" w:rsidRPr="00F4150B" w:rsidRDefault="00CB4D59" w:rsidP="00FB4DAB">
      <w:pPr>
        <w:pStyle w:val="Sinespaciado"/>
        <w:jc w:val="right"/>
        <w:rPr>
          <w:sz w:val="20"/>
          <w:szCs w:val="20"/>
          <w:lang w:val="es-SV"/>
        </w:rPr>
      </w:pPr>
    </w:p>
    <w:p w:rsidR="009D19DD" w:rsidRDefault="009D19DD" w:rsidP="009D19DD">
      <w:pPr>
        <w:pStyle w:val="Sinespaciado"/>
        <w:jc w:val="both"/>
        <w:rPr>
          <w:b/>
          <w:sz w:val="20"/>
          <w:szCs w:val="20"/>
          <w:lang w:val="es-SV"/>
        </w:rPr>
      </w:pPr>
    </w:p>
    <w:p w:rsidR="009D19DD" w:rsidRDefault="009D19DD" w:rsidP="009D19DD">
      <w:pPr>
        <w:pStyle w:val="Sinespaciado"/>
        <w:jc w:val="both"/>
        <w:rPr>
          <w:b/>
          <w:sz w:val="20"/>
          <w:szCs w:val="20"/>
          <w:lang w:val="es-SV"/>
        </w:rPr>
      </w:pPr>
    </w:p>
    <w:p w:rsidR="009D19DD" w:rsidRDefault="009D19DD" w:rsidP="009D19DD">
      <w:pPr>
        <w:pStyle w:val="Sinespaciado"/>
        <w:jc w:val="both"/>
        <w:rPr>
          <w:b/>
          <w:sz w:val="20"/>
          <w:szCs w:val="20"/>
          <w:lang w:val="es-SV"/>
        </w:rPr>
      </w:pPr>
    </w:p>
    <w:p w:rsidR="00FB4DAB" w:rsidRPr="00F4150B" w:rsidRDefault="00FB4DAB" w:rsidP="009D19DD">
      <w:pPr>
        <w:pStyle w:val="Sinespaciado"/>
        <w:jc w:val="both"/>
        <w:rPr>
          <w:b/>
          <w:sz w:val="20"/>
          <w:szCs w:val="20"/>
          <w:lang w:val="es-SV"/>
        </w:rPr>
      </w:pPr>
      <w:bookmarkStart w:id="0" w:name="_GoBack"/>
      <w:bookmarkEnd w:id="0"/>
      <w:r w:rsidRPr="00F4150B">
        <w:rPr>
          <w:b/>
          <w:sz w:val="20"/>
          <w:szCs w:val="20"/>
          <w:lang w:val="es-SV"/>
        </w:rPr>
        <w:t>RESOLUCION FINAL DE SOLICITUD DE ACCESO A LA INFORMACION PÚBLICA</w:t>
      </w:r>
    </w:p>
    <w:p w:rsidR="00FB4DAB" w:rsidRPr="00F4150B" w:rsidRDefault="00FB4DAB" w:rsidP="009D19DD">
      <w:pPr>
        <w:pStyle w:val="Sinespaciado"/>
        <w:jc w:val="both"/>
        <w:rPr>
          <w:b/>
          <w:sz w:val="20"/>
          <w:szCs w:val="20"/>
          <w:lang w:val="es-SV"/>
        </w:rPr>
      </w:pPr>
    </w:p>
    <w:p w:rsidR="009D19DD" w:rsidRDefault="009D19DD" w:rsidP="00FB4DAB">
      <w:pPr>
        <w:pStyle w:val="Sinespaciado"/>
        <w:jc w:val="both"/>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E007CA">
        <w:rPr>
          <w:sz w:val="20"/>
          <w:szCs w:val="20"/>
          <w:lang w:val="es-SV"/>
        </w:rPr>
        <w:t xml:space="preserve">ocho </w:t>
      </w:r>
      <w:r w:rsidRPr="00F4150B">
        <w:rPr>
          <w:sz w:val="20"/>
          <w:szCs w:val="20"/>
          <w:lang w:val="es-SV"/>
        </w:rPr>
        <w:t xml:space="preserve">horas </w:t>
      </w:r>
      <w:r w:rsidR="00260756">
        <w:rPr>
          <w:sz w:val="20"/>
          <w:szCs w:val="20"/>
          <w:lang w:val="es-SV"/>
        </w:rPr>
        <w:t xml:space="preserve">y </w:t>
      </w:r>
      <w:r w:rsidR="00E007CA">
        <w:rPr>
          <w:sz w:val="20"/>
          <w:szCs w:val="20"/>
          <w:lang w:val="es-SV"/>
        </w:rPr>
        <w:t xml:space="preserve">dos </w:t>
      </w:r>
      <w:r w:rsidR="00260756">
        <w:rPr>
          <w:sz w:val="20"/>
          <w:szCs w:val="20"/>
          <w:lang w:val="es-SV"/>
        </w:rPr>
        <w:t xml:space="preserve">minutos </w:t>
      </w:r>
      <w:r w:rsidRPr="00F4150B">
        <w:rPr>
          <w:sz w:val="20"/>
          <w:szCs w:val="20"/>
          <w:lang w:val="es-SV"/>
        </w:rPr>
        <w:t xml:space="preserve">del día </w:t>
      </w:r>
      <w:r w:rsidR="00D35174">
        <w:rPr>
          <w:sz w:val="20"/>
          <w:szCs w:val="20"/>
          <w:lang w:val="es-SV"/>
        </w:rPr>
        <w:t>veintic</w:t>
      </w:r>
      <w:r w:rsidR="00E007CA">
        <w:rPr>
          <w:sz w:val="20"/>
          <w:szCs w:val="20"/>
          <w:lang w:val="es-SV"/>
        </w:rPr>
        <w:t>inco</w:t>
      </w:r>
      <w:r w:rsidR="00D35174">
        <w:rPr>
          <w:sz w:val="20"/>
          <w:szCs w:val="20"/>
          <w:lang w:val="es-SV"/>
        </w:rPr>
        <w:t xml:space="preserve"> </w:t>
      </w:r>
      <w:r w:rsidRPr="00F4150B">
        <w:rPr>
          <w:sz w:val="20"/>
          <w:szCs w:val="20"/>
          <w:lang w:val="es-SV"/>
        </w:rPr>
        <w:t xml:space="preserve">de </w:t>
      </w:r>
      <w:r w:rsidR="00E007CA">
        <w:rPr>
          <w:sz w:val="20"/>
          <w:szCs w:val="20"/>
          <w:lang w:val="es-SV"/>
        </w:rPr>
        <w:t xml:space="preserve">noviembre de </w:t>
      </w:r>
      <w:r w:rsidRPr="00F4150B">
        <w:rPr>
          <w:sz w:val="20"/>
          <w:szCs w:val="20"/>
          <w:lang w:val="es-SV"/>
        </w:rPr>
        <w:t>dos mil veinte.</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8878E2">
        <w:rPr>
          <w:sz w:val="20"/>
          <w:szCs w:val="20"/>
          <w:lang w:val="es-SV"/>
        </w:rPr>
        <w:t xml:space="preserve">ocho </w:t>
      </w:r>
      <w:r w:rsidRPr="00F4150B">
        <w:rPr>
          <w:sz w:val="20"/>
          <w:szCs w:val="20"/>
          <w:lang w:val="es-SV"/>
        </w:rPr>
        <w:t xml:space="preserve">horas del día </w:t>
      </w:r>
      <w:r w:rsidR="00D35174">
        <w:rPr>
          <w:sz w:val="20"/>
          <w:szCs w:val="20"/>
          <w:lang w:val="es-SV"/>
        </w:rPr>
        <w:t xml:space="preserve">dieciocho </w:t>
      </w:r>
      <w:r>
        <w:rPr>
          <w:sz w:val="20"/>
          <w:szCs w:val="20"/>
          <w:lang w:val="es-SV"/>
        </w:rPr>
        <w:t>del presente</w:t>
      </w:r>
      <w:r w:rsidR="00D35174">
        <w:rPr>
          <w:sz w:val="20"/>
          <w:szCs w:val="20"/>
          <w:lang w:val="es-SV"/>
        </w:rPr>
        <w:t xml:space="preserve"> mes y</w:t>
      </w:r>
      <w:r>
        <w:rPr>
          <w:sz w:val="20"/>
          <w:szCs w:val="20"/>
          <w:lang w:val="es-SV"/>
        </w:rPr>
        <w:t xml:space="preserve">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260756">
        <w:rPr>
          <w:sz w:val="20"/>
          <w:szCs w:val="20"/>
          <w:lang w:val="es-SV"/>
        </w:rPr>
        <w:t>8</w:t>
      </w:r>
      <w:r w:rsidR="00D35174">
        <w:rPr>
          <w:sz w:val="20"/>
          <w:szCs w:val="20"/>
          <w:lang w:val="es-SV"/>
        </w:rPr>
        <w:t>9</w:t>
      </w:r>
      <w:r w:rsidRPr="00F4150B">
        <w:rPr>
          <w:sz w:val="20"/>
          <w:szCs w:val="20"/>
          <w:lang w:val="es-SV"/>
        </w:rPr>
        <w:t xml:space="preserve">, mediante la cual requiere se le entregue la siguiente información: </w:t>
      </w:r>
    </w:p>
    <w:p w:rsidR="00260756" w:rsidRPr="00A94DBF" w:rsidRDefault="00FB4DAB" w:rsidP="00260756">
      <w:pPr>
        <w:pStyle w:val="NormalWeb"/>
        <w:numPr>
          <w:ilvl w:val="0"/>
          <w:numId w:val="19"/>
        </w:numPr>
        <w:jc w:val="both"/>
        <w:rPr>
          <w:rFonts w:asciiTheme="minorHAnsi" w:hAnsiTheme="minorHAnsi"/>
          <w:b/>
          <w:i/>
          <w:sz w:val="20"/>
          <w:szCs w:val="20"/>
        </w:rPr>
      </w:pPr>
      <w:r w:rsidRPr="00D35174">
        <w:rPr>
          <w:rFonts w:asciiTheme="minorHAnsi" w:hAnsiTheme="minorHAnsi"/>
          <w:b/>
          <w:bCs/>
          <w:i/>
          <w:iCs/>
          <w:sz w:val="20"/>
          <w:szCs w:val="20"/>
        </w:rPr>
        <w:t>“</w:t>
      </w:r>
      <w:r w:rsidR="00260756" w:rsidRPr="00A94DBF">
        <w:rPr>
          <w:rFonts w:asciiTheme="minorHAnsi" w:hAnsiTheme="minorHAnsi"/>
          <w:b/>
          <w:i/>
          <w:sz w:val="20"/>
          <w:szCs w:val="20"/>
        </w:rPr>
        <w:t xml:space="preserve">Si el producto BIOPROTECT 500 fabricado por </w:t>
      </w:r>
      <w:proofErr w:type="spellStart"/>
      <w:r w:rsidR="00260756" w:rsidRPr="00A94DBF">
        <w:rPr>
          <w:rFonts w:asciiTheme="minorHAnsi" w:hAnsiTheme="minorHAnsi"/>
          <w:b/>
          <w:i/>
          <w:sz w:val="20"/>
          <w:szCs w:val="20"/>
        </w:rPr>
        <w:t>ViaClean</w:t>
      </w:r>
      <w:proofErr w:type="spellEnd"/>
      <w:r w:rsidR="00260756" w:rsidRPr="00A94DBF">
        <w:rPr>
          <w:rFonts w:asciiTheme="minorHAnsi" w:hAnsiTheme="minorHAnsi"/>
          <w:b/>
          <w:i/>
          <w:sz w:val="20"/>
          <w:szCs w:val="20"/>
        </w:rPr>
        <w:t xml:space="preserve"> Technologies, L.L.C., está registrado como producto higiénico (anexo imagen de la viñeta);</w:t>
      </w:r>
    </w:p>
    <w:p w:rsidR="00260756" w:rsidRPr="00A94DBF" w:rsidRDefault="00260756" w:rsidP="00260756">
      <w:pPr>
        <w:pStyle w:val="NormalWeb"/>
        <w:numPr>
          <w:ilvl w:val="0"/>
          <w:numId w:val="19"/>
        </w:numPr>
        <w:jc w:val="both"/>
        <w:rPr>
          <w:rFonts w:asciiTheme="minorHAnsi" w:hAnsiTheme="minorHAnsi"/>
          <w:b/>
          <w:i/>
          <w:sz w:val="20"/>
          <w:szCs w:val="20"/>
        </w:rPr>
      </w:pPr>
      <w:r w:rsidRPr="00A94DBF">
        <w:rPr>
          <w:rFonts w:asciiTheme="minorHAnsi" w:hAnsiTheme="minorHAnsi"/>
          <w:b/>
          <w:i/>
          <w:sz w:val="20"/>
          <w:szCs w:val="20"/>
        </w:rPr>
        <w:t>En caso estar registrado: ¿Quiénes han sido los importadores/distribuidores?;</w:t>
      </w:r>
    </w:p>
    <w:p w:rsidR="00FB4DAB" w:rsidRPr="00D35174" w:rsidRDefault="00260756" w:rsidP="00260756">
      <w:pPr>
        <w:pStyle w:val="NormalWeb"/>
        <w:numPr>
          <w:ilvl w:val="0"/>
          <w:numId w:val="19"/>
        </w:numPr>
        <w:jc w:val="both"/>
        <w:rPr>
          <w:rFonts w:asciiTheme="minorHAnsi" w:eastAsia="Calibri" w:hAnsiTheme="minorHAnsi"/>
          <w:b/>
          <w:i/>
          <w:sz w:val="20"/>
          <w:szCs w:val="20"/>
        </w:rPr>
      </w:pPr>
      <w:r w:rsidRPr="00A94DBF">
        <w:rPr>
          <w:rFonts w:asciiTheme="minorHAnsi" w:hAnsiTheme="minorHAnsi"/>
          <w:b/>
          <w:i/>
          <w:sz w:val="20"/>
          <w:szCs w:val="20"/>
        </w:rPr>
        <w:t>En caso estar registrado ¿Cuántas importaciones se han realizado en el transcurso del año 2020?</w:t>
      </w:r>
      <w:proofErr w:type="gramStart"/>
      <w:r w:rsidR="00FB4DAB" w:rsidRPr="00D35174">
        <w:rPr>
          <w:rFonts w:asciiTheme="minorHAnsi" w:hAnsiTheme="minorHAnsi"/>
          <w:b/>
          <w:bCs/>
          <w:i/>
          <w:iCs/>
          <w:sz w:val="20"/>
          <w:szCs w:val="20"/>
        </w:rPr>
        <w:t>.”</w:t>
      </w:r>
      <w:proofErr w:type="gramEnd"/>
    </w:p>
    <w:p w:rsidR="00FB4DA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E923F5" w:rsidRPr="00F4150B" w:rsidRDefault="00E923F5" w:rsidP="00FB4DAB">
      <w:pPr>
        <w:pStyle w:val="Sinespaciado"/>
        <w:jc w:val="both"/>
        <w:rPr>
          <w:sz w:val="20"/>
          <w:szCs w:val="20"/>
          <w:lang w:val="es-SV"/>
        </w:rPr>
      </w:pP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FB4DAB" w:rsidRDefault="00D35174" w:rsidP="00D35174">
      <w:pPr>
        <w:pStyle w:val="Sinespaciado"/>
        <w:numPr>
          <w:ilvl w:val="0"/>
          <w:numId w:val="15"/>
        </w:numPr>
        <w:ind w:left="709" w:hanging="425"/>
        <w:jc w:val="both"/>
        <w:rPr>
          <w:sz w:val="20"/>
          <w:szCs w:val="20"/>
          <w:lang w:val="es-SV"/>
        </w:rPr>
      </w:pPr>
      <w:r w:rsidRPr="00D35174">
        <w:rPr>
          <w:sz w:val="20"/>
          <w:szCs w:val="20"/>
          <w:lang w:val="es-SV"/>
        </w:rPr>
        <w:t>Que mediante Decreto Legislativo N°1008, de fecha 22 de febrero de 2012, publicado en el Diario Oficial N°43, tomo 394, de fecha 12 de marzo de 2012, se crea la Dirección Nacional de Medicamentos, y de conformidad al artículo 29 de la misma, toda persona natural o jurídica podrá fabricar, importar, exportar, distribuir, comercializar, almacenar, transportar, dispensar, prescribir, experimentar o promocionar medicamentos, materias primas o insumos médicos, previa autorización de esta sede Administrativa</w:t>
      </w:r>
    </w:p>
    <w:p w:rsidR="00D35174" w:rsidRDefault="00D35174" w:rsidP="00D35174">
      <w:pPr>
        <w:pStyle w:val="Sinespaciado"/>
        <w:ind w:left="709"/>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B4DAB" w:rsidRDefault="00FB4DAB" w:rsidP="00FB4DAB">
      <w:pPr>
        <w:pStyle w:val="Sinespaciado"/>
        <w:ind w:left="709"/>
        <w:jc w:val="both"/>
        <w:rPr>
          <w:sz w:val="20"/>
          <w:szCs w:val="20"/>
          <w:lang w:val="es-SV"/>
        </w:rPr>
      </w:pPr>
    </w:p>
    <w:p w:rsidR="00E923F5" w:rsidRDefault="00FB4DAB" w:rsidP="00E923F5">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934066" w:rsidRPr="00934066" w:rsidRDefault="00934066" w:rsidP="00934066">
      <w:pPr>
        <w:pStyle w:val="Sinespaciado"/>
        <w:ind w:left="709"/>
        <w:jc w:val="both"/>
        <w:rPr>
          <w:rFonts w:eastAsia="Times New Roman" w:cstheme="minorHAnsi"/>
          <w:noProof/>
          <w:sz w:val="20"/>
          <w:szCs w:val="20"/>
          <w:lang w:val="es-ES" w:eastAsia="es-SV"/>
        </w:rPr>
      </w:pPr>
    </w:p>
    <w:p w:rsidR="000D34BA" w:rsidRDefault="000D34BA" w:rsidP="00FB4DAB">
      <w:pPr>
        <w:pStyle w:val="Sinespaciado"/>
        <w:jc w:val="both"/>
        <w:rPr>
          <w:rFonts w:eastAsia="Times New Roman" w:cstheme="minorHAnsi"/>
          <w:noProof/>
          <w:sz w:val="20"/>
          <w:szCs w:val="20"/>
          <w:lang w:val="es-ES" w:eastAsia="es-SV"/>
        </w:rPr>
      </w:pP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lastRenderedPageBreak/>
        <w:t>Con base a los considerandos</w:t>
      </w:r>
      <w:r w:rsidRPr="00F4150B">
        <w:rPr>
          <w:sz w:val="20"/>
          <w:szCs w:val="20"/>
          <w:lang w:val="es-SV"/>
        </w:rPr>
        <w:t xml:space="preserve"> </w:t>
      </w:r>
      <w:r w:rsidR="00BB04EC">
        <w:rPr>
          <w:sz w:val="20"/>
          <w:szCs w:val="20"/>
          <w:lang w:val="es-SV"/>
        </w:rPr>
        <w:t xml:space="preserve">anteriores, </w:t>
      </w:r>
      <w:r w:rsidRPr="00F4150B">
        <w:rPr>
          <w:sz w:val="20"/>
          <w:szCs w:val="20"/>
          <w:lang w:val="es-SV"/>
        </w:rPr>
        <w:t xml:space="preserve">se transmitió el requerimiento </w:t>
      </w:r>
      <w:r w:rsidR="00BB04EC">
        <w:rPr>
          <w:sz w:val="20"/>
          <w:szCs w:val="20"/>
          <w:lang w:val="es-SV"/>
        </w:rPr>
        <w:t xml:space="preserve">contenido </w:t>
      </w:r>
      <w:r w:rsidRPr="00F4150B">
        <w:rPr>
          <w:sz w:val="20"/>
          <w:szCs w:val="20"/>
          <w:lang w:val="es-SV"/>
        </w:rPr>
        <w:t>en SAIP_ 20</w:t>
      </w:r>
      <w:r>
        <w:rPr>
          <w:sz w:val="20"/>
          <w:szCs w:val="20"/>
          <w:lang w:val="es-SV"/>
        </w:rPr>
        <w:t>20</w:t>
      </w:r>
      <w:r w:rsidRPr="00F4150B">
        <w:rPr>
          <w:sz w:val="20"/>
          <w:szCs w:val="20"/>
          <w:lang w:val="es-SV"/>
        </w:rPr>
        <w:t>_</w:t>
      </w:r>
      <w:r>
        <w:rPr>
          <w:sz w:val="20"/>
          <w:szCs w:val="20"/>
          <w:lang w:val="es-SV"/>
        </w:rPr>
        <w:t>0</w:t>
      </w:r>
      <w:r w:rsidR="00260756">
        <w:rPr>
          <w:sz w:val="20"/>
          <w:szCs w:val="20"/>
          <w:lang w:val="es-SV"/>
        </w:rPr>
        <w:t>8</w:t>
      </w:r>
      <w:r w:rsidR="000A1E53">
        <w:rPr>
          <w:sz w:val="20"/>
          <w:szCs w:val="20"/>
          <w:lang w:val="es-SV"/>
        </w:rPr>
        <w:t>9</w:t>
      </w:r>
      <w:r w:rsidRPr="00F4150B">
        <w:rPr>
          <w:sz w:val="20"/>
          <w:szCs w:val="20"/>
          <w:lang w:val="es-SV"/>
        </w:rPr>
        <w:t xml:space="preserve">, a la </w:t>
      </w:r>
      <w:r w:rsidR="000D34BA">
        <w:rPr>
          <w:sz w:val="20"/>
          <w:szCs w:val="20"/>
          <w:lang w:val="es-SV"/>
        </w:rPr>
        <w:t>Unidad</w:t>
      </w:r>
      <w:r w:rsidR="00831788" w:rsidRPr="00831788">
        <w:rPr>
          <w:sz w:val="20"/>
          <w:szCs w:val="20"/>
          <w:lang w:val="es-SV"/>
        </w:rPr>
        <w:t xml:space="preserve"> </w:t>
      </w:r>
      <w:r w:rsidR="00831788" w:rsidRPr="00F4150B">
        <w:rPr>
          <w:sz w:val="20"/>
          <w:szCs w:val="20"/>
          <w:lang w:val="es-SV"/>
        </w:rPr>
        <w:t xml:space="preserve">de Registro </w:t>
      </w:r>
      <w:r w:rsidR="00831788">
        <w:rPr>
          <w:sz w:val="20"/>
          <w:szCs w:val="20"/>
          <w:lang w:val="es-SV"/>
        </w:rPr>
        <w:t>de Dispositivos Médicos, Cosméticos e Higiénicos y a la Unidad</w:t>
      </w:r>
      <w:r w:rsidR="000D34BA">
        <w:rPr>
          <w:sz w:val="20"/>
          <w:szCs w:val="20"/>
          <w:lang w:val="es-SV"/>
        </w:rPr>
        <w:t xml:space="preserve"> de </w:t>
      </w:r>
      <w:r w:rsidR="000A1E53">
        <w:rPr>
          <w:sz w:val="20"/>
          <w:szCs w:val="20"/>
          <w:lang w:val="es-SV"/>
        </w:rPr>
        <w:t xml:space="preserve">Importaciones, Exportaciones y Donaciones de Medicamentos </w:t>
      </w:r>
      <w:r w:rsidRPr="00F4150B">
        <w:rPr>
          <w:sz w:val="20"/>
          <w:szCs w:val="20"/>
          <w:lang w:val="es-SV"/>
        </w:rPr>
        <w:t>de esta Dirección, la</w:t>
      </w:r>
      <w:r w:rsidR="00831788">
        <w:rPr>
          <w:sz w:val="20"/>
          <w:szCs w:val="20"/>
          <w:lang w:val="es-SV"/>
        </w:rPr>
        <w:t>s</w:t>
      </w:r>
      <w:r w:rsidRPr="00F4150B">
        <w:rPr>
          <w:sz w:val="20"/>
          <w:szCs w:val="20"/>
          <w:lang w:val="es-SV"/>
        </w:rPr>
        <w:t xml:space="preserve"> cual</w:t>
      </w:r>
      <w:r w:rsidR="00831788">
        <w:rPr>
          <w:sz w:val="20"/>
          <w:szCs w:val="20"/>
          <w:lang w:val="es-SV"/>
        </w:rPr>
        <w:t>es han informado</w:t>
      </w:r>
      <w:r w:rsidRPr="00F4150B">
        <w:rPr>
          <w:sz w:val="20"/>
          <w:szCs w:val="20"/>
          <w:lang w:val="es-SV"/>
        </w:rPr>
        <w:t xml:space="preserve">: </w:t>
      </w:r>
    </w:p>
    <w:p w:rsidR="000D34BA" w:rsidRDefault="000D34BA" w:rsidP="00FB4DAB">
      <w:pPr>
        <w:pStyle w:val="Sinespaciado"/>
        <w:jc w:val="both"/>
        <w:rPr>
          <w:sz w:val="20"/>
          <w:szCs w:val="20"/>
          <w:lang w:val="es-SV"/>
        </w:rPr>
      </w:pPr>
    </w:p>
    <w:p w:rsidR="00FB4DAB" w:rsidRPr="00F4150B" w:rsidRDefault="00FB4DAB" w:rsidP="00FB4DAB">
      <w:pPr>
        <w:pStyle w:val="Sinespaciado"/>
        <w:jc w:val="both"/>
        <w:rPr>
          <w:b/>
          <w:sz w:val="20"/>
          <w:szCs w:val="20"/>
          <w:lang w:val="es-SV"/>
        </w:rPr>
      </w:pPr>
      <w:r w:rsidRPr="00F4150B">
        <w:rPr>
          <w:b/>
          <w:sz w:val="20"/>
          <w:szCs w:val="20"/>
          <w:lang w:val="es-SV"/>
        </w:rPr>
        <w:t>“””””””””””””””””””””””””””””””””””””””””””””””</w:t>
      </w:r>
      <w:r>
        <w:rPr>
          <w:b/>
          <w:sz w:val="20"/>
          <w:szCs w:val="20"/>
          <w:lang w:val="es-SV"/>
        </w:rPr>
        <w:t>”””””””</w:t>
      </w:r>
      <w:r w:rsidRPr="00F4150B">
        <w:rPr>
          <w:b/>
          <w:sz w:val="20"/>
          <w:szCs w:val="20"/>
          <w:lang w:val="es-SV"/>
        </w:rPr>
        <w:t>””””””””””””””””””””””””””””””””””””””””””””””””””””””</w:t>
      </w:r>
    </w:p>
    <w:p w:rsidR="00624D44" w:rsidRDefault="00831788" w:rsidP="000D34BA">
      <w:pPr>
        <w:pStyle w:val="Sinespaciado"/>
        <w:spacing w:line="276" w:lineRule="auto"/>
        <w:jc w:val="both"/>
        <w:rPr>
          <w:b/>
          <w:i/>
          <w:sz w:val="20"/>
          <w:lang w:val="es-SV"/>
        </w:rPr>
      </w:pPr>
      <w:r>
        <w:rPr>
          <w:b/>
          <w:i/>
          <w:sz w:val="20"/>
          <w:lang w:val="es-SV"/>
        </w:rPr>
        <w:t>Tras la búsqueda en nuestras bases de datos del producto: BIOPROTECT 500 fabricado por VIACLEAN  TECHNOLOGIES, L.L.C., se encontró que este, No cuenta con Registro Sanitario como producto higiénico otorgado por la DNM</w:t>
      </w:r>
      <w:r w:rsidR="00CA2682">
        <w:rPr>
          <w:b/>
          <w:i/>
          <w:sz w:val="20"/>
          <w:lang w:val="es-SV"/>
        </w:rPr>
        <w:t>.</w:t>
      </w:r>
    </w:p>
    <w:p w:rsidR="00CA2682" w:rsidRDefault="00CA2682" w:rsidP="000D34BA">
      <w:pPr>
        <w:pStyle w:val="Sinespaciado"/>
        <w:spacing w:line="276" w:lineRule="auto"/>
        <w:jc w:val="both"/>
        <w:rPr>
          <w:b/>
          <w:i/>
          <w:sz w:val="20"/>
          <w:lang w:val="es-SV"/>
        </w:rPr>
      </w:pPr>
      <w:r>
        <w:rPr>
          <w:b/>
          <w:i/>
          <w:sz w:val="20"/>
          <w:lang w:val="es-SV"/>
        </w:rPr>
        <w:t xml:space="preserve">Se ha verificado y no se poseen registros de importaciones para el producto BIOPROTECT 500 fabricado por </w:t>
      </w:r>
      <w:proofErr w:type="spellStart"/>
      <w:r>
        <w:rPr>
          <w:b/>
          <w:i/>
          <w:sz w:val="20"/>
          <w:lang w:val="es-SV"/>
        </w:rPr>
        <w:t>ViaClean</w:t>
      </w:r>
      <w:proofErr w:type="spellEnd"/>
      <w:r>
        <w:rPr>
          <w:b/>
          <w:i/>
          <w:sz w:val="20"/>
          <w:lang w:val="es-SV"/>
        </w:rPr>
        <w:t xml:space="preserve"> Technologies. </w:t>
      </w:r>
    </w:p>
    <w:p w:rsidR="00FB4DAB" w:rsidRDefault="00FB4DAB" w:rsidP="00FB4DAB">
      <w:pPr>
        <w:pStyle w:val="Sinespaciado"/>
        <w:jc w:val="both"/>
        <w:rPr>
          <w:b/>
          <w:i/>
          <w:sz w:val="20"/>
          <w:lang w:val="es-SV"/>
        </w:rPr>
      </w:pPr>
      <w:r w:rsidRPr="00F4150B">
        <w:rPr>
          <w:b/>
          <w:i/>
          <w:sz w:val="20"/>
          <w:lang w:val="es-SV"/>
        </w:rPr>
        <w:t>“””””””””””””””””””””””””””””””””””””””””””””””””””””</w:t>
      </w:r>
      <w:r>
        <w:rPr>
          <w:b/>
          <w:i/>
          <w:sz w:val="20"/>
          <w:lang w:val="es-SV"/>
        </w:rPr>
        <w:t>””””””</w:t>
      </w:r>
      <w:r w:rsidRPr="00F4150B">
        <w:rPr>
          <w:b/>
          <w:i/>
          <w:sz w:val="20"/>
          <w:lang w:val="es-SV"/>
        </w:rPr>
        <w:t>””””””””””””””””””””””””””””””””””””””””””””””””</w:t>
      </w:r>
    </w:p>
    <w:p w:rsidR="00BB04EC" w:rsidRPr="00F4150B" w:rsidRDefault="00BB04EC" w:rsidP="00FB4DAB">
      <w:pPr>
        <w:pStyle w:val="Sinespaciado"/>
        <w:jc w:val="both"/>
        <w:rPr>
          <w:b/>
          <w:i/>
          <w:sz w:val="20"/>
          <w:lang w:val="es-SV"/>
        </w:rPr>
      </w:pPr>
    </w:p>
    <w:p w:rsidR="00FB4DAB" w:rsidRPr="00F4150B" w:rsidRDefault="00FB4DAB" w:rsidP="00FB4DA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BB04EC" w:rsidRDefault="00BB04EC"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B4DAB">
      <w:pPr>
        <w:pStyle w:val="Prrafodelista"/>
        <w:spacing w:after="0" w:line="240" w:lineRule="auto"/>
        <w:ind w:left="426"/>
        <w:jc w:val="both"/>
        <w:rPr>
          <w:rFonts w:eastAsia="Arial Unicode MS" w:cs="Arial Unicode MS"/>
          <w:noProof/>
          <w:sz w:val="20"/>
          <w:szCs w:val="20"/>
          <w:lang w:eastAsia="es-SV"/>
        </w:rPr>
      </w:pP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BB04EC"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BB04EC" w:rsidRDefault="00BB04EC" w:rsidP="00BB04EC">
      <w:pPr>
        <w:pStyle w:val="Prrafodelista"/>
        <w:rPr>
          <w:sz w:val="20"/>
          <w:szCs w:val="20"/>
        </w:rPr>
      </w:pPr>
    </w:p>
    <w:p w:rsidR="00BB04EC" w:rsidRDefault="00BB04EC" w:rsidP="00BB04EC">
      <w:pPr>
        <w:pStyle w:val="Prrafodelista"/>
        <w:rPr>
          <w:sz w:val="20"/>
          <w:szCs w:val="20"/>
        </w:rPr>
      </w:pPr>
    </w:p>
    <w:p w:rsidR="00CA7F2F" w:rsidRPr="00BB04EC" w:rsidRDefault="00CA7F2F" w:rsidP="00BB04EC">
      <w:pPr>
        <w:pStyle w:val="Prrafodelista"/>
        <w:rPr>
          <w:sz w:val="20"/>
          <w:szCs w:val="20"/>
        </w:rPr>
      </w:pPr>
    </w:p>
    <w:p w:rsidR="00BB04EC" w:rsidRPr="00BB04EC" w:rsidRDefault="00BB04EC" w:rsidP="00BB04EC">
      <w:pPr>
        <w:spacing w:after="0" w:line="240" w:lineRule="auto"/>
        <w:jc w:val="both"/>
        <w:rPr>
          <w:sz w:val="20"/>
          <w:szCs w:val="20"/>
        </w:rPr>
      </w:pPr>
    </w:p>
    <w:p w:rsidR="00FB4DAB" w:rsidRDefault="0023193E" w:rsidP="0023193E">
      <w:pPr>
        <w:pStyle w:val="Sinespaciado"/>
        <w:jc w:val="center"/>
        <w:rPr>
          <w:noProof/>
          <w:lang w:eastAsia="es-SV"/>
        </w:rPr>
      </w:pPr>
      <w:r>
        <w:rPr>
          <w:noProof/>
          <w:lang w:eastAsia="es-SV"/>
        </w:rPr>
        <w:t>____</w:t>
      </w:r>
      <w:r w:rsidR="00735F8B">
        <w:rPr>
          <w:noProof/>
          <w:lang w:eastAsia="es-SV"/>
        </w:rPr>
        <w:t>__</w:t>
      </w:r>
      <w:r>
        <w:rPr>
          <w:noProof/>
          <w:lang w:eastAsia="es-SV"/>
        </w:rPr>
        <w:t>_________________________</w:t>
      </w:r>
    </w:p>
    <w:p w:rsidR="00FB4DAB" w:rsidRDefault="00FB4DAB" w:rsidP="00FB4DAB">
      <w:pPr>
        <w:pStyle w:val="Sinespaciado"/>
        <w:jc w:val="center"/>
        <w:rPr>
          <w:sz w:val="20"/>
          <w:szCs w:val="20"/>
          <w:lang w:val="es-SV"/>
        </w:rPr>
      </w:pPr>
      <w:r w:rsidRPr="00F4150B">
        <w:rPr>
          <w:sz w:val="20"/>
          <w:szCs w:val="20"/>
          <w:lang w:val="es-SV"/>
        </w:rPr>
        <w:t>Licda. Daysi Concepción Orellana de Larín</w:t>
      </w:r>
    </w:p>
    <w:p w:rsidR="00990914" w:rsidRPr="00891456" w:rsidRDefault="00FB4DAB" w:rsidP="005B78C1">
      <w:pPr>
        <w:pStyle w:val="Sinespaciado"/>
        <w:jc w:val="center"/>
      </w:pPr>
      <w:r w:rsidRPr="004B4F9B">
        <w:rPr>
          <w:sz w:val="20"/>
          <w:szCs w:val="20"/>
          <w:lang w:val="es-SV"/>
        </w:rPr>
        <w:t>Oficial de Información</w:t>
      </w:r>
    </w:p>
    <w:sectPr w:rsidR="00990914" w:rsidRPr="00891456"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6" name="Imagen 6"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9FE1F17"/>
    <w:multiLevelType w:val="hybridMultilevel"/>
    <w:tmpl w:val="C3F8B830"/>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0"/>
  </w:num>
  <w:num w:numId="5">
    <w:abstractNumId w:val="15"/>
  </w:num>
  <w:num w:numId="6">
    <w:abstractNumId w:val="14"/>
  </w:num>
  <w:num w:numId="7">
    <w:abstractNumId w:val="16"/>
  </w:num>
  <w:num w:numId="8">
    <w:abstractNumId w:val="7"/>
  </w:num>
  <w:num w:numId="9">
    <w:abstractNumId w:val="8"/>
  </w:num>
  <w:num w:numId="10">
    <w:abstractNumId w:val="3"/>
  </w:num>
  <w:num w:numId="11">
    <w:abstractNumId w:val="2"/>
  </w:num>
  <w:num w:numId="12">
    <w:abstractNumId w:val="6"/>
  </w:num>
  <w:num w:numId="13">
    <w:abstractNumId w:val="17"/>
  </w:num>
  <w:num w:numId="14">
    <w:abstractNumId w:val="9"/>
  </w:num>
  <w:num w:numId="15">
    <w:abstractNumId w:val="13"/>
  </w:num>
  <w:num w:numId="16">
    <w:abstractNumId w:val="1"/>
  </w:num>
  <w:num w:numId="17">
    <w:abstractNumId w:val="18"/>
  </w:num>
  <w:num w:numId="18">
    <w:abstractNumId w:val="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D5D"/>
    <w:rsid w:val="000578A1"/>
    <w:rsid w:val="000A1E53"/>
    <w:rsid w:val="000D34BA"/>
    <w:rsid w:val="0010717E"/>
    <w:rsid w:val="001F3FDF"/>
    <w:rsid w:val="00230904"/>
    <w:rsid w:val="0023193E"/>
    <w:rsid w:val="0024071F"/>
    <w:rsid w:val="00244D7D"/>
    <w:rsid w:val="00260756"/>
    <w:rsid w:val="00272251"/>
    <w:rsid w:val="00274E23"/>
    <w:rsid w:val="00295CDD"/>
    <w:rsid w:val="0038059B"/>
    <w:rsid w:val="003A7E82"/>
    <w:rsid w:val="003D0879"/>
    <w:rsid w:val="004522A7"/>
    <w:rsid w:val="0046294F"/>
    <w:rsid w:val="00482330"/>
    <w:rsid w:val="00524EA4"/>
    <w:rsid w:val="00560A0A"/>
    <w:rsid w:val="005923F9"/>
    <w:rsid w:val="005B1ACF"/>
    <w:rsid w:val="005B78C1"/>
    <w:rsid w:val="00602C1E"/>
    <w:rsid w:val="00624D44"/>
    <w:rsid w:val="0063450A"/>
    <w:rsid w:val="00657D42"/>
    <w:rsid w:val="006A02A5"/>
    <w:rsid w:val="006E441B"/>
    <w:rsid w:val="00735F8B"/>
    <w:rsid w:val="0073670F"/>
    <w:rsid w:val="0074173C"/>
    <w:rsid w:val="007452FB"/>
    <w:rsid w:val="00794C67"/>
    <w:rsid w:val="007F6026"/>
    <w:rsid w:val="00810386"/>
    <w:rsid w:val="00827CFD"/>
    <w:rsid w:val="00831788"/>
    <w:rsid w:val="008878E2"/>
    <w:rsid w:val="008879C4"/>
    <w:rsid w:val="00891456"/>
    <w:rsid w:val="0089518B"/>
    <w:rsid w:val="00902339"/>
    <w:rsid w:val="00905359"/>
    <w:rsid w:val="00910A2C"/>
    <w:rsid w:val="00934066"/>
    <w:rsid w:val="00936E45"/>
    <w:rsid w:val="00971DF7"/>
    <w:rsid w:val="00990914"/>
    <w:rsid w:val="00997592"/>
    <w:rsid w:val="009D19DD"/>
    <w:rsid w:val="00A0033F"/>
    <w:rsid w:val="00A63DAF"/>
    <w:rsid w:val="00AC1563"/>
    <w:rsid w:val="00AC6E78"/>
    <w:rsid w:val="00AF3B21"/>
    <w:rsid w:val="00B27895"/>
    <w:rsid w:val="00B419A9"/>
    <w:rsid w:val="00B653B3"/>
    <w:rsid w:val="00B91896"/>
    <w:rsid w:val="00B9201E"/>
    <w:rsid w:val="00BB04EC"/>
    <w:rsid w:val="00BF3DE8"/>
    <w:rsid w:val="00BF6A6F"/>
    <w:rsid w:val="00C13488"/>
    <w:rsid w:val="00C7422B"/>
    <w:rsid w:val="00CA2682"/>
    <w:rsid w:val="00CA7F2F"/>
    <w:rsid w:val="00CA7F42"/>
    <w:rsid w:val="00CB4262"/>
    <w:rsid w:val="00CB434A"/>
    <w:rsid w:val="00CB4D59"/>
    <w:rsid w:val="00D35174"/>
    <w:rsid w:val="00D65A15"/>
    <w:rsid w:val="00D95243"/>
    <w:rsid w:val="00DE41FD"/>
    <w:rsid w:val="00E007CA"/>
    <w:rsid w:val="00E923F5"/>
    <w:rsid w:val="00F04B74"/>
    <w:rsid w:val="00F301FD"/>
    <w:rsid w:val="00F666C8"/>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891161675">
      <w:bodyDiv w:val="1"/>
      <w:marLeft w:val="0"/>
      <w:marRight w:val="0"/>
      <w:marTop w:val="0"/>
      <w:marBottom w:val="0"/>
      <w:divBdr>
        <w:top w:val="none" w:sz="0" w:space="0" w:color="auto"/>
        <w:left w:val="none" w:sz="0" w:space="0" w:color="auto"/>
        <w:bottom w:val="none" w:sz="0" w:space="0" w:color="auto"/>
        <w:right w:val="none" w:sz="0" w:space="0" w:color="auto"/>
      </w:divBdr>
    </w:div>
    <w:div w:id="15129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84055-C22C-4578-8B4D-4DF388F8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4071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3</cp:revision>
  <cp:lastPrinted>2020-07-20T17:13:00Z</cp:lastPrinted>
  <dcterms:created xsi:type="dcterms:W3CDTF">2021-04-22T21:01:00Z</dcterms:created>
  <dcterms:modified xsi:type="dcterms:W3CDTF">2021-04-23T20:39:00Z</dcterms:modified>
</cp:coreProperties>
</file>