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E3" w:rsidRPr="00F4150B" w:rsidRDefault="00C57C4A" w:rsidP="00051AE3">
      <w:pPr>
        <w:pStyle w:val="Sinespaciado"/>
        <w:jc w:val="right"/>
        <w:rPr>
          <w:sz w:val="20"/>
          <w:szCs w:val="20"/>
          <w:lang w:val="es-SV"/>
        </w:rPr>
      </w:pPr>
      <w:r>
        <w:rPr>
          <w:b/>
          <w:noProof/>
          <w:sz w:val="20"/>
          <w:szCs w:val="20"/>
          <w:lang w:val="es-SV" w:eastAsia="es-SV"/>
        </w:rPr>
        <w:drawing>
          <wp:anchor distT="0" distB="0" distL="114300" distR="114300" simplePos="0" relativeHeight="251658240" behindDoc="0" locked="0" layoutInCell="1" allowOverlap="1">
            <wp:simplePos x="0" y="0"/>
            <wp:positionH relativeFrom="column">
              <wp:posOffset>-881381</wp:posOffset>
            </wp:positionH>
            <wp:positionV relativeFrom="paragraph">
              <wp:posOffset>204</wp:posOffset>
            </wp:positionV>
            <wp:extent cx="1933575" cy="829741"/>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553" cy="831448"/>
                    </a:xfrm>
                    <a:prstGeom prst="rect">
                      <a:avLst/>
                    </a:prstGeom>
                    <a:noFill/>
                  </pic:spPr>
                </pic:pic>
              </a:graphicData>
            </a:graphic>
            <wp14:sizeRelH relativeFrom="page">
              <wp14:pctWidth>0</wp14:pctWidth>
            </wp14:sizeRelH>
            <wp14:sizeRelV relativeFrom="page">
              <wp14:pctHeight>0</wp14:pctHeight>
            </wp14:sizeRelV>
          </wp:anchor>
        </w:drawing>
      </w:r>
      <w:r w:rsidR="00051AE3" w:rsidRPr="00F4150B">
        <w:rPr>
          <w:sz w:val="20"/>
          <w:szCs w:val="20"/>
          <w:lang w:val="es-SV"/>
        </w:rPr>
        <w:t>REFERENCIA: SAIP_ 20</w:t>
      </w:r>
      <w:r w:rsidR="00051AE3">
        <w:rPr>
          <w:sz w:val="20"/>
          <w:szCs w:val="20"/>
          <w:lang w:val="es-SV"/>
        </w:rPr>
        <w:t>20</w:t>
      </w:r>
      <w:r w:rsidR="00051AE3" w:rsidRPr="00F4150B">
        <w:rPr>
          <w:sz w:val="20"/>
          <w:szCs w:val="20"/>
          <w:lang w:val="es-SV"/>
        </w:rPr>
        <w:t>_</w:t>
      </w:r>
      <w:r w:rsidR="00051AE3">
        <w:rPr>
          <w:sz w:val="20"/>
          <w:szCs w:val="20"/>
          <w:lang w:val="es-SV"/>
        </w:rPr>
        <w:t>0</w:t>
      </w:r>
      <w:r w:rsidR="005A0D02">
        <w:rPr>
          <w:sz w:val="20"/>
          <w:szCs w:val="20"/>
          <w:lang w:val="es-SV"/>
        </w:rPr>
        <w:t>7</w:t>
      </w:r>
      <w:r w:rsidR="0061583A">
        <w:rPr>
          <w:sz w:val="20"/>
          <w:szCs w:val="20"/>
          <w:lang w:val="es-SV"/>
        </w:rPr>
        <w:t>9</w:t>
      </w:r>
    </w:p>
    <w:p w:rsidR="00051AE3" w:rsidRDefault="00051AE3" w:rsidP="00051AE3">
      <w:pPr>
        <w:pStyle w:val="Sinespaciado"/>
        <w:jc w:val="center"/>
        <w:rPr>
          <w:b/>
          <w:sz w:val="20"/>
          <w:szCs w:val="20"/>
          <w:lang w:val="es-SV"/>
        </w:rPr>
      </w:pPr>
    </w:p>
    <w:p w:rsidR="00C57C4A" w:rsidRDefault="00C57C4A" w:rsidP="00051AE3">
      <w:pPr>
        <w:pStyle w:val="Sinespaciado"/>
        <w:jc w:val="center"/>
        <w:rPr>
          <w:b/>
          <w:sz w:val="20"/>
          <w:szCs w:val="20"/>
          <w:lang w:val="es-SV"/>
        </w:rPr>
      </w:pPr>
    </w:p>
    <w:p w:rsidR="00C57C4A" w:rsidRDefault="00C57C4A" w:rsidP="00051AE3">
      <w:pPr>
        <w:pStyle w:val="Sinespaciado"/>
        <w:jc w:val="center"/>
        <w:rPr>
          <w:b/>
          <w:sz w:val="20"/>
          <w:szCs w:val="20"/>
          <w:lang w:val="es-SV"/>
        </w:rPr>
      </w:pPr>
    </w:p>
    <w:p w:rsidR="00051AE3" w:rsidRPr="00F4150B" w:rsidRDefault="00051AE3" w:rsidP="00C57C4A">
      <w:pPr>
        <w:pStyle w:val="Sinespaciado"/>
        <w:jc w:val="both"/>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61583A">
        <w:rPr>
          <w:sz w:val="20"/>
          <w:szCs w:val="20"/>
          <w:lang w:val="es-SV"/>
        </w:rPr>
        <w:t xml:space="preserve">nueve </w:t>
      </w:r>
      <w:r w:rsidRPr="00F4150B">
        <w:rPr>
          <w:sz w:val="20"/>
          <w:szCs w:val="20"/>
          <w:lang w:val="es-SV"/>
        </w:rPr>
        <w:t xml:space="preserve">horas y </w:t>
      </w:r>
      <w:r w:rsidR="005A0D02">
        <w:rPr>
          <w:sz w:val="20"/>
          <w:szCs w:val="20"/>
          <w:lang w:val="es-SV"/>
        </w:rPr>
        <w:t xml:space="preserve">diez </w:t>
      </w:r>
      <w:r>
        <w:rPr>
          <w:sz w:val="20"/>
          <w:szCs w:val="20"/>
          <w:lang w:val="es-SV"/>
        </w:rPr>
        <w:t xml:space="preserve">minutos </w:t>
      </w:r>
      <w:r w:rsidRPr="00F4150B">
        <w:rPr>
          <w:sz w:val="20"/>
          <w:szCs w:val="20"/>
          <w:lang w:val="es-SV"/>
        </w:rPr>
        <w:t xml:space="preserve">del día </w:t>
      </w:r>
      <w:r w:rsidR="005A0D02">
        <w:rPr>
          <w:sz w:val="20"/>
          <w:szCs w:val="20"/>
          <w:lang w:val="es-SV"/>
        </w:rPr>
        <w:t xml:space="preserve">ocho </w:t>
      </w:r>
      <w:r w:rsidR="0023277C">
        <w:rPr>
          <w:sz w:val="20"/>
          <w:szCs w:val="20"/>
          <w:lang w:val="es-SV"/>
        </w:rPr>
        <w:t xml:space="preserve">de </w:t>
      </w:r>
      <w:r w:rsidR="005A0D02">
        <w:rPr>
          <w:sz w:val="20"/>
          <w:szCs w:val="20"/>
          <w:lang w:val="es-SV"/>
        </w:rPr>
        <w:t xml:space="preserve">octubre </w:t>
      </w:r>
      <w:r w:rsidRPr="00F4150B">
        <w:rPr>
          <w:sz w:val="20"/>
          <w:szCs w:val="20"/>
          <w:lang w:val="es-SV"/>
        </w:rPr>
        <w:t>de dos mil veinte.</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5A0D02">
        <w:rPr>
          <w:sz w:val="20"/>
          <w:szCs w:val="20"/>
          <w:lang w:val="es-SV"/>
        </w:rPr>
        <w:t>d</w:t>
      </w:r>
      <w:r w:rsidR="0061583A">
        <w:rPr>
          <w:sz w:val="20"/>
          <w:szCs w:val="20"/>
          <w:lang w:val="es-SV"/>
        </w:rPr>
        <w:t>oce</w:t>
      </w:r>
      <w:r w:rsidR="005A0D02">
        <w:rPr>
          <w:sz w:val="20"/>
          <w:szCs w:val="20"/>
          <w:lang w:val="es-SV"/>
        </w:rPr>
        <w:t xml:space="preserve"> </w:t>
      </w:r>
      <w:r w:rsidR="0023277C">
        <w:rPr>
          <w:sz w:val="20"/>
          <w:szCs w:val="20"/>
          <w:lang w:val="es-SV"/>
        </w:rPr>
        <w:t xml:space="preserve">horas </w:t>
      </w:r>
      <w:r w:rsidR="0061583A">
        <w:rPr>
          <w:sz w:val="20"/>
          <w:szCs w:val="20"/>
          <w:lang w:val="es-SV"/>
        </w:rPr>
        <w:t xml:space="preserve">y diecinueve minutos </w:t>
      </w:r>
      <w:r w:rsidRPr="00F4150B">
        <w:rPr>
          <w:sz w:val="20"/>
          <w:szCs w:val="20"/>
          <w:lang w:val="es-SV"/>
        </w:rPr>
        <w:t xml:space="preserve">del día </w:t>
      </w:r>
      <w:r w:rsidR="005A0D02">
        <w:rPr>
          <w:sz w:val="20"/>
          <w:szCs w:val="20"/>
          <w:lang w:val="es-SV"/>
        </w:rPr>
        <w:t>u</w:t>
      </w:r>
      <w:r w:rsidR="0023277C">
        <w:rPr>
          <w:sz w:val="20"/>
          <w:szCs w:val="20"/>
          <w:lang w:val="es-SV"/>
        </w:rPr>
        <w:t>n</w:t>
      </w:r>
      <w:r w:rsidR="005A0D02">
        <w:rPr>
          <w:sz w:val="20"/>
          <w:szCs w:val="20"/>
          <w:lang w:val="es-SV"/>
        </w:rPr>
        <w:t>o</w:t>
      </w:r>
      <w:r w:rsidR="0023277C">
        <w:rPr>
          <w:sz w:val="20"/>
          <w:szCs w:val="20"/>
          <w:lang w:val="es-SV"/>
        </w:rPr>
        <w:t xml:space="preserve"> </w:t>
      </w:r>
      <w:r w:rsidR="004A6F38">
        <w:rPr>
          <w:sz w:val="20"/>
          <w:szCs w:val="20"/>
          <w:lang w:val="es-SV"/>
        </w:rPr>
        <w:t xml:space="preserve">del </w:t>
      </w:r>
      <w:r>
        <w:rPr>
          <w:sz w:val="20"/>
          <w:szCs w:val="20"/>
          <w:lang w:val="es-SV"/>
        </w:rPr>
        <w:t xml:space="preserve">presente </w:t>
      </w:r>
      <w:r w:rsidR="005A0D02">
        <w:rPr>
          <w:sz w:val="20"/>
          <w:szCs w:val="20"/>
          <w:lang w:val="es-SV"/>
        </w:rPr>
        <w:t xml:space="preserve">mes y </w:t>
      </w:r>
      <w:r>
        <w:rPr>
          <w:sz w:val="20"/>
          <w:szCs w:val="20"/>
          <w:lang w:val="es-SV"/>
        </w:rPr>
        <w:t>año</w:t>
      </w:r>
      <w:r w:rsidRPr="00F4150B">
        <w:rPr>
          <w:sz w:val="20"/>
          <w:szCs w:val="20"/>
          <w:lang w:val="es-SV"/>
        </w:rPr>
        <w:t>; correspo</w:t>
      </w:r>
      <w:bookmarkStart w:id="0" w:name="_GoBack"/>
      <w:bookmarkEnd w:id="0"/>
      <w:r w:rsidRPr="00F4150B">
        <w:rPr>
          <w:sz w:val="20"/>
          <w:szCs w:val="20"/>
          <w:lang w:val="es-SV"/>
        </w:rPr>
        <w:t>ndiente al expediente referencia SAIP_ 20</w:t>
      </w:r>
      <w:r>
        <w:rPr>
          <w:sz w:val="20"/>
          <w:szCs w:val="20"/>
          <w:lang w:val="es-SV"/>
        </w:rPr>
        <w:t>20</w:t>
      </w:r>
      <w:r w:rsidRPr="00F4150B">
        <w:rPr>
          <w:sz w:val="20"/>
          <w:szCs w:val="20"/>
          <w:lang w:val="es-SV"/>
        </w:rPr>
        <w:t>_</w:t>
      </w:r>
      <w:r>
        <w:rPr>
          <w:sz w:val="20"/>
          <w:szCs w:val="20"/>
          <w:lang w:val="es-SV"/>
        </w:rPr>
        <w:t>0</w:t>
      </w:r>
      <w:r w:rsidR="005A0D02">
        <w:rPr>
          <w:sz w:val="20"/>
          <w:szCs w:val="20"/>
          <w:lang w:val="es-SV"/>
        </w:rPr>
        <w:t>7</w:t>
      </w:r>
      <w:r w:rsidR="0061583A">
        <w:rPr>
          <w:sz w:val="20"/>
          <w:szCs w:val="20"/>
          <w:lang w:val="es-SV"/>
        </w:rPr>
        <w:t>9</w:t>
      </w:r>
      <w:r w:rsidRPr="00F4150B">
        <w:rPr>
          <w:sz w:val="20"/>
          <w:szCs w:val="20"/>
          <w:lang w:val="es-SV"/>
        </w:rPr>
        <w:t xml:space="preserve">, mediante la cual requiere se le entregue la siguiente información: </w:t>
      </w:r>
    </w:p>
    <w:p w:rsidR="00051AE3" w:rsidRPr="00F4150B" w:rsidRDefault="00051AE3" w:rsidP="00051AE3">
      <w:pPr>
        <w:pStyle w:val="Sinespaciado"/>
        <w:jc w:val="both"/>
        <w:rPr>
          <w:sz w:val="20"/>
          <w:szCs w:val="20"/>
          <w:lang w:val="es-SV"/>
        </w:rPr>
      </w:pPr>
    </w:p>
    <w:p w:rsidR="0061583A" w:rsidRDefault="00051AE3" w:rsidP="0061583A">
      <w:pPr>
        <w:autoSpaceDE w:val="0"/>
        <w:autoSpaceDN w:val="0"/>
        <w:adjustRightInd w:val="0"/>
        <w:spacing w:line="240" w:lineRule="auto"/>
        <w:jc w:val="both"/>
        <w:rPr>
          <w:rFonts w:cs="Times New Roman"/>
          <w:b/>
          <w:i/>
          <w:sz w:val="20"/>
          <w:szCs w:val="20"/>
          <w:lang w:eastAsia="es-SV"/>
        </w:rPr>
      </w:pPr>
      <w:r>
        <w:rPr>
          <w:b/>
          <w:i/>
          <w:sz w:val="20"/>
          <w:szCs w:val="20"/>
        </w:rPr>
        <w:t>“</w:t>
      </w:r>
      <w:r w:rsidR="0061583A">
        <w:rPr>
          <w:rFonts w:cs="Times New Roman"/>
          <w:b/>
          <w:i/>
          <w:sz w:val="20"/>
          <w:szCs w:val="20"/>
          <w:lang w:eastAsia="es-SV"/>
        </w:rPr>
        <w:t>Solicito se me pueda brindar el detalle de los productos farmacéuticos que a la fecha se encuentran en trámite de registro o inscritos ante esa Dirección con los principios activos siguientes: Adalimumab, Upadacitinib, Risankizumab, Venetoclax, Dupilumab, Abrocitinib y Baricitinib.</w:t>
      </w:r>
    </w:p>
    <w:p w:rsidR="00051AE3" w:rsidRPr="0090617A" w:rsidRDefault="0061583A" w:rsidP="0061583A">
      <w:pPr>
        <w:spacing w:after="0" w:line="240" w:lineRule="auto"/>
        <w:jc w:val="both"/>
        <w:rPr>
          <w:rFonts w:eastAsia="Calibri" w:cs="Times New Roman"/>
          <w:b/>
          <w:i/>
          <w:sz w:val="20"/>
          <w:szCs w:val="20"/>
        </w:rPr>
      </w:pPr>
      <w:r>
        <w:rPr>
          <w:rFonts w:cs="Times New Roman"/>
          <w:b/>
          <w:i/>
          <w:sz w:val="20"/>
          <w:szCs w:val="20"/>
          <w:lang w:eastAsia="es-SV"/>
        </w:rPr>
        <w:t>De igual manera, solicito me pueda brindar la información de indicaciones y presentaciones comerciales del producto: HYRIMOZ® 40 mg / 0.8 mL SOLUCIÓN INYECTABLE EN JERINGA PRECARGADA registrado bajo el número BT001213082020</w:t>
      </w:r>
      <w:r w:rsidR="00051AE3">
        <w:rPr>
          <w:b/>
          <w:i/>
          <w:sz w:val="20"/>
          <w:szCs w:val="20"/>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051AE3" w:rsidRPr="00051AE3" w:rsidRDefault="00F45859" w:rsidP="00051AE3">
      <w:pPr>
        <w:pStyle w:val="Sinespaciado"/>
        <w:numPr>
          <w:ilvl w:val="0"/>
          <w:numId w:val="11"/>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051AE3" w:rsidRPr="00051AE3">
        <w:rPr>
          <w:sz w:val="20"/>
          <w:szCs w:val="20"/>
          <w:lang w:val="es-SV"/>
        </w:rPr>
        <w:t>.</w:t>
      </w:r>
    </w:p>
    <w:p w:rsidR="00051AE3" w:rsidRDefault="00051AE3" w:rsidP="00051AE3">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45859" w:rsidRDefault="00F45859" w:rsidP="00F45859">
      <w:pPr>
        <w:pStyle w:val="Sinespaciado"/>
        <w:ind w:left="709"/>
        <w:jc w:val="both"/>
        <w:rPr>
          <w:sz w:val="20"/>
          <w:szCs w:val="20"/>
          <w:lang w:val="es-SV"/>
        </w:rPr>
      </w:pPr>
    </w:p>
    <w:p w:rsidR="00F45859" w:rsidRPr="0090617A" w:rsidRDefault="00F45859" w:rsidP="00F45859">
      <w:pPr>
        <w:pStyle w:val="Sinespaciado"/>
        <w:numPr>
          <w:ilvl w:val="0"/>
          <w:numId w:val="11"/>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 xml:space="preserve">; para el presente caso, el enlace en donde encontrara la </w:t>
      </w:r>
      <w:r>
        <w:rPr>
          <w:sz w:val="20"/>
          <w:szCs w:val="20"/>
          <w:lang w:val="es-SV"/>
        </w:rPr>
        <w:lastRenderedPageBreak/>
        <w:t>información es el siguiente:</w:t>
      </w:r>
      <w:r w:rsidRPr="0090617A">
        <w:rPr>
          <w:sz w:val="16"/>
          <w:szCs w:val="20"/>
          <w:lang w:val="es-SV"/>
        </w:rPr>
        <w:t xml:space="preserve"> </w:t>
      </w:r>
      <w:hyperlink r:id="rId9" w:history="1">
        <w:r w:rsidRPr="0090617A">
          <w:rPr>
            <w:rStyle w:val="Hipervnculo"/>
            <w:sz w:val="18"/>
            <w:lang w:val="es-SV"/>
          </w:rPr>
          <w:t>https://www.medicamentos.gob.sv/index.php/es/servicios-m/en-linea/expediente-electronico</w:t>
        </w:r>
      </w:hyperlink>
      <w:r w:rsidRPr="0090617A">
        <w:rPr>
          <w:sz w:val="16"/>
          <w:szCs w:val="20"/>
          <w:lang w:val="es-SV"/>
        </w:rPr>
        <w:t xml:space="preserve">   </w:t>
      </w:r>
    </w:p>
    <w:p w:rsidR="00F45859" w:rsidRPr="0090617A" w:rsidRDefault="00F45859" w:rsidP="00F45859">
      <w:pPr>
        <w:pStyle w:val="Sinespaciado"/>
        <w:ind w:left="709"/>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F45859"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4347A6">
        <w:rPr>
          <w:sz w:val="20"/>
          <w:szCs w:val="20"/>
          <w:lang w:val="es-SV"/>
        </w:rPr>
        <w:t>7</w:t>
      </w:r>
      <w:r w:rsidR="0061583A">
        <w:rPr>
          <w:sz w:val="20"/>
          <w:szCs w:val="20"/>
          <w:lang w:val="es-SV"/>
        </w:rPr>
        <w:t>9</w:t>
      </w:r>
      <w:r w:rsidRPr="00F4150B">
        <w:rPr>
          <w:sz w:val="20"/>
          <w:szCs w:val="20"/>
          <w:lang w:val="es-SV"/>
        </w:rPr>
        <w:t xml:space="preserve">, a la </w:t>
      </w:r>
      <w:r w:rsidR="00F45859">
        <w:rPr>
          <w:sz w:val="20"/>
          <w:szCs w:val="20"/>
          <w:lang w:val="es-SV"/>
        </w:rPr>
        <w:t xml:space="preserve">División </w:t>
      </w:r>
      <w:r>
        <w:rPr>
          <w:sz w:val="20"/>
          <w:szCs w:val="20"/>
          <w:lang w:val="es-SV"/>
        </w:rPr>
        <w:t xml:space="preserve">de Registro </w:t>
      </w:r>
      <w:r w:rsidR="00F45859">
        <w:rPr>
          <w:sz w:val="20"/>
          <w:szCs w:val="20"/>
          <w:lang w:val="es-SV"/>
        </w:rPr>
        <w:t xml:space="preserve">Sanitario </w:t>
      </w:r>
      <w:r w:rsidRPr="00F4150B">
        <w:rPr>
          <w:sz w:val="20"/>
          <w:szCs w:val="20"/>
          <w:lang w:val="es-SV"/>
        </w:rPr>
        <w:t xml:space="preserve">de esta Dirección, la cual mediante memorándum </w:t>
      </w:r>
      <w:r w:rsidR="00F45859">
        <w:rPr>
          <w:sz w:val="20"/>
          <w:szCs w:val="20"/>
          <w:lang w:val="es-SV"/>
        </w:rPr>
        <w:t>remitió</w:t>
      </w:r>
      <w:r>
        <w:rPr>
          <w:sz w:val="20"/>
          <w:szCs w:val="20"/>
          <w:lang w:val="es-SV"/>
        </w:rPr>
        <w:t xml:space="preserve"> la información solicitada, </w:t>
      </w:r>
      <w:r w:rsidR="002D28C5">
        <w:rPr>
          <w:sz w:val="20"/>
          <w:szCs w:val="20"/>
          <w:lang w:val="es-SV"/>
        </w:rPr>
        <w:t>la cual se trascribe a</w:t>
      </w:r>
      <w:r w:rsidR="00542A08">
        <w:rPr>
          <w:sz w:val="20"/>
          <w:szCs w:val="20"/>
          <w:lang w:val="es-SV"/>
        </w:rPr>
        <w:t xml:space="preserve"> continuación </w:t>
      </w:r>
      <w:r w:rsidR="002D28C5">
        <w:rPr>
          <w:sz w:val="20"/>
          <w:szCs w:val="20"/>
          <w:lang w:val="es-SV"/>
        </w:rPr>
        <w:t>de esta Resolución</w:t>
      </w:r>
      <w:r w:rsidR="00F45859">
        <w:rPr>
          <w:sz w:val="20"/>
          <w:szCs w:val="20"/>
          <w:lang w:val="es-SV"/>
        </w:rPr>
        <w:t xml:space="preserve"> </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center"/>
        <w:rPr>
          <w:noProof/>
          <w:lang w:eastAsia="es-SV"/>
        </w:rPr>
      </w:pPr>
      <w:r>
        <w:rPr>
          <w:noProof/>
          <w:lang w:eastAsia="es-SV"/>
        </w:rPr>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2D28C5" w:rsidRDefault="00FB5FCB" w:rsidP="00FB5FCB">
      <w:pPr>
        <w:pStyle w:val="Sinespaciado"/>
        <w:tabs>
          <w:tab w:val="center" w:pos="4702"/>
          <w:tab w:val="left" w:pos="6840"/>
        </w:tabs>
        <w:rPr>
          <w:sz w:val="20"/>
          <w:szCs w:val="20"/>
          <w:lang w:val="es-SV"/>
        </w:rPr>
      </w:pPr>
      <w:r>
        <w:rPr>
          <w:sz w:val="20"/>
          <w:szCs w:val="20"/>
          <w:lang w:val="es-SV"/>
        </w:rPr>
        <w:tab/>
      </w:r>
      <w:r w:rsidR="00051AE3" w:rsidRPr="004B4F9B">
        <w:rPr>
          <w:sz w:val="20"/>
          <w:szCs w:val="20"/>
          <w:lang w:val="es-SV"/>
        </w:rPr>
        <w:t>Oficial de Información</w:t>
      </w:r>
      <w:r>
        <w:rPr>
          <w:sz w:val="20"/>
          <w:szCs w:val="20"/>
          <w:lang w:val="es-SV"/>
        </w:rPr>
        <w:tab/>
      </w:r>
    </w:p>
    <w:p w:rsidR="002D28C5" w:rsidRDefault="002D28C5">
      <w:pPr>
        <w:rPr>
          <w:rFonts w:ascii="Calibri" w:eastAsia="Calibri" w:hAnsi="Calibri" w:cs="Times New Roman"/>
          <w:sz w:val="20"/>
          <w:szCs w:val="20"/>
        </w:rPr>
      </w:pPr>
      <w:r>
        <w:rPr>
          <w:sz w:val="20"/>
          <w:szCs w:val="20"/>
        </w:rPr>
        <w:br w:type="page"/>
      </w:r>
    </w:p>
    <w:p w:rsidR="002D28C5" w:rsidRPr="00F45859" w:rsidRDefault="002D28C5" w:rsidP="002D28C5">
      <w:pPr>
        <w:pStyle w:val="Sinespaciado"/>
        <w:jc w:val="both"/>
        <w:rPr>
          <w:b/>
          <w:i/>
          <w:sz w:val="20"/>
          <w:szCs w:val="20"/>
          <w:lang w:val="es-SV"/>
        </w:rPr>
      </w:pPr>
      <w:r w:rsidRPr="00F45859">
        <w:rPr>
          <w:b/>
          <w:i/>
          <w:sz w:val="20"/>
          <w:szCs w:val="20"/>
          <w:lang w:val="es-SV"/>
        </w:rPr>
        <w:lastRenderedPageBreak/>
        <w:t>””””””””””””””””””””””””””””””””””””””””””””””””””””””””””””””””””””””””””””””””””””””””””””””””””””””””””””</w:t>
      </w:r>
    </w:p>
    <w:p w:rsidR="002D28C5" w:rsidRPr="00F45859" w:rsidRDefault="002D28C5" w:rsidP="002D28C5">
      <w:pPr>
        <w:pStyle w:val="Sinespaciado"/>
        <w:jc w:val="both"/>
        <w:rPr>
          <w:b/>
          <w:i/>
          <w:sz w:val="20"/>
          <w:szCs w:val="20"/>
          <w:lang w:val="es-SV"/>
        </w:rPr>
      </w:pPr>
      <w:r w:rsidRPr="00F45859">
        <w:rPr>
          <w:b/>
          <w:i/>
          <w:sz w:val="20"/>
          <w:szCs w:val="20"/>
          <w:lang w:val="es-SV"/>
        </w:rPr>
        <w:t>La División de Registro Sanitario informa que</w:t>
      </w:r>
      <w:r>
        <w:rPr>
          <w:b/>
          <w:i/>
          <w:sz w:val="20"/>
          <w:szCs w:val="20"/>
          <w:lang w:val="es-SV"/>
        </w:rPr>
        <w:t xml:space="preserve"> según nuestros registros</w:t>
      </w:r>
      <w:r w:rsidRPr="00F45859">
        <w:rPr>
          <w:b/>
          <w:i/>
          <w:sz w:val="20"/>
          <w:szCs w:val="20"/>
          <w:lang w:val="es-SV"/>
        </w:rPr>
        <w:t xml:space="preserve">: </w:t>
      </w:r>
    </w:p>
    <w:p w:rsidR="002D28C5" w:rsidRPr="00BC31EF" w:rsidRDefault="002D28C5" w:rsidP="002D28C5">
      <w:pPr>
        <w:pStyle w:val="Prrafodelista"/>
        <w:numPr>
          <w:ilvl w:val="0"/>
          <w:numId w:val="16"/>
        </w:numPr>
        <w:autoSpaceDE w:val="0"/>
        <w:autoSpaceDN w:val="0"/>
        <w:adjustRightInd w:val="0"/>
        <w:spacing w:line="240" w:lineRule="auto"/>
        <w:jc w:val="both"/>
        <w:rPr>
          <w:rFonts w:cs="Times New Roman"/>
          <w:b/>
          <w:i/>
          <w:sz w:val="20"/>
          <w:szCs w:val="20"/>
          <w:lang w:eastAsia="es-SV"/>
        </w:rPr>
      </w:pPr>
      <w:r w:rsidRPr="00BC31EF">
        <w:rPr>
          <w:b/>
          <w:i/>
          <w:sz w:val="20"/>
          <w:szCs w:val="20"/>
        </w:rPr>
        <w:t xml:space="preserve">Que existen productos registrados con los principios activos </w:t>
      </w:r>
      <w:r w:rsidRPr="00BC31EF">
        <w:rPr>
          <w:rFonts w:cs="Times New Roman"/>
          <w:b/>
          <w:i/>
          <w:sz w:val="20"/>
          <w:szCs w:val="20"/>
          <w:lang w:eastAsia="es-SV"/>
        </w:rPr>
        <w:t xml:space="preserve">Adalimumab, Risankizumab y Venetoclax, los cuales se detallan a continuación: </w:t>
      </w:r>
    </w:p>
    <w:p w:rsidR="002D28C5" w:rsidRPr="00BC31EF" w:rsidRDefault="002D28C5" w:rsidP="002D28C5">
      <w:pPr>
        <w:autoSpaceDE w:val="0"/>
        <w:autoSpaceDN w:val="0"/>
        <w:adjustRightInd w:val="0"/>
        <w:spacing w:after="0" w:line="240" w:lineRule="auto"/>
        <w:jc w:val="both"/>
        <w:rPr>
          <w:rFonts w:cs="Times New Roman"/>
          <w:b/>
          <w:i/>
          <w:sz w:val="20"/>
          <w:szCs w:val="20"/>
          <w:u w:val="single"/>
          <w:lang w:eastAsia="es-SV"/>
        </w:rPr>
      </w:pPr>
      <w:r w:rsidRPr="00BC31EF">
        <w:rPr>
          <w:rFonts w:cs="Times New Roman"/>
          <w:b/>
          <w:i/>
          <w:sz w:val="20"/>
          <w:szCs w:val="20"/>
          <w:u w:val="single"/>
          <w:lang w:eastAsia="es-SV"/>
        </w:rPr>
        <w:t xml:space="preserve">Adalimumab: </w:t>
      </w:r>
    </w:p>
    <w:tbl>
      <w:tblPr>
        <w:tblStyle w:val="Tablaconcuadrcula"/>
        <w:tblW w:w="0" w:type="auto"/>
        <w:tblLook w:val="04A0" w:firstRow="1" w:lastRow="0" w:firstColumn="1" w:lastColumn="0" w:noHBand="0" w:noVBand="1"/>
      </w:tblPr>
      <w:tblGrid>
        <w:gridCol w:w="1696"/>
        <w:gridCol w:w="7698"/>
      </w:tblGrid>
      <w:tr w:rsidR="002D28C5" w:rsidRPr="00F225A1" w:rsidTr="00BA10DB">
        <w:tc>
          <w:tcPr>
            <w:tcW w:w="1696" w:type="dxa"/>
            <w:shd w:val="clear" w:color="auto" w:fill="A6A6A6" w:themeFill="background1" w:themeFillShade="A6"/>
          </w:tcPr>
          <w:p w:rsidR="002D28C5" w:rsidRPr="00F225A1" w:rsidRDefault="002D28C5" w:rsidP="00BA10DB">
            <w:pPr>
              <w:autoSpaceDE w:val="0"/>
              <w:autoSpaceDN w:val="0"/>
              <w:adjustRightInd w:val="0"/>
              <w:jc w:val="center"/>
              <w:rPr>
                <w:b/>
                <w:i/>
              </w:rPr>
            </w:pPr>
            <w:r w:rsidRPr="00F225A1">
              <w:rPr>
                <w:b/>
                <w:i/>
              </w:rPr>
              <w:t>REGISTRO</w:t>
            </w:r>
          </w:p>
        </w:tc>
        <w:tc>
          <w:tcPr>
            <w:tcW w:w="7698" w:type="dxa"/>
            <w:shd w:val="clear" w:color="auto" w:fill="A6A6A6" w:themeFill="background1" w:themeFillShade="A6"/>
          </w:tcPr>
          <w:p w:rsidR="002D28C5" w:rsidRPr="00F225A1" w:rsidRDefault="002D28C5" w:rsidP="00BA10DB">
            <w:pPr>
              <w:autoSpaceDE w:val="0"/>
              <w:autoSpaceDN w:val="0"/>
              <w:adjustRightInd w:val="0"/>
              <w:jc w:val="center"/>
              <w:rPr>
                <w:b/>
                <w:i/>
              </w:rPr>
            </w:pPr>
            <w:r w:rsidRPr="00F225A1">
              <w:rPr>
                <w:b/>
                <w:i/>
              </w:rPr>
              <w:t>NOMBRE</w:t>
            </w:r>
          </w:p>
        </w:tc>
      </w:tr>
      <w:tr w:rsidR="002D28C5" w:rsidRPr="00F225A1" w:rsidTr="00BA10DB">
        <w:tc>
          <w:tcPr>
            <w:tcW w:w="1696" w:type="dxa"/>
          </w:tcPr>
          <w:p w:rsidR="002D28C5" w:rsidRPr="00F225A1" w:rsidRDefault="002D28C5" w:rsidP="00BA10DB">
            <w:pPr>
              <w:pStyle w:val="NormalWeb"/>
              <w:spacing w:before="0" w:beforeAutospacing="0" w:after="0" w:afterAutospacing="0"/>
              <w:rPr>
                <w:rFonts w:asciiTheme="minorHAnsi" w:eastAsiaTheme="minorHAnsi" w:hAnsiTheme="minorHAnsi" w:cstheme="minorBidi"/>
                <w:b/>
                <w:i/>
                <w:sz w:val="20"/>
                <w:szCs w:val="20"/>
                <w:lang w:eastAsia="en-US"/>
              </w:rPr>
            </w:pPr>
            <w:r w:rsidRPr="00F225A1">
              <w:rPr>
                <w:rFonts w:asciiTheme="minorHAnsi" w:eastAsiaTheme="minorHAnsi" w:hAnsiTheme="minorHAnsi" w:cstheme="minorBidi"/>
                <w:b/>
                <w:i/>
                <w:sz w:val="20"/>
                <w:szCs w:val="20"/>
                <w:lang w:eastAsia="en-US"/>
              </w:rPr>
              <w:t>BL000423022017</w:t>
            </w:r>
          </w:p>
        </w:tc>
        <w:tc>
          <w:tcPr>
            <w:tcW w:w="7698" w:type="dxa"/>
          </w:tcPr>
          <w:p w:rsidR="002D28C5" w:rsidRPr="00F225A1" w:rsidRDefault="002D28C5" w:rsidP="00BA10DB">
            <w:pPr>
              <w:pStyle w:val="NormalWeb"/>
              <w:spacing w:before="0" w:beforeAutospacing="0" w:after="0" w:afterAutospacing="0"/>
              <w:rPr>
                <w:rFonts w:asciiTheme="minorHAnsi" w:eastAsiaTheme="minorHAnsi" w:hAnsiTheme="minorHAnsi" w:cstheme="minorBidi"/>
                <w:b/>
                <w:i/>
                <w:sz w:val="20"/>
                <w:szCs w:val="20"/>
                <w:lang w:eastAsia="en-US"/>
              </w:rPr>
            </w:pPr>
            <w:r w:rsidRPr="00F225A1">
              <w:rPr>
                <w:rFonts w:asciiTheme="minorHAnsi" w:eastAsiaTheme="minorHAnsi" w:hAnsiTheme="minorHAnsi" w:cstheme="minorBidi"/>
                <w:b/>
                <w:i/>
                <w:sz w:val="20"/>
                <w:szCs w:val="20"/>
                <w:lang w:eastAsia="en-US"/>
              </w:rPr>
              <w:t>HUMIRA AC (ADALIMUMAB) 40mg/0.4mL SOLUCION INYECTABLE</w:t>
            </w:r>
          </w:p>
        </w:tc>
      </w:tr>
      <w:tr w:rsidR="002D28C5" w:rsidRPr="00F225A1" w:rsidTr="00BA10DB">
        <w:tc>
          <w:tcPr>
            <w:tcW w:w="1696" w:type="dxa"/>
          </w:tcPr>
          <w:p w:rsidR="002D28C5" w:rsidRPr="00F225A1" w:rsidRDefault="002D28C5" w:rsidP="00BA10DB">
            <w:pPr>
              <w:pStyle w:val="NormalWeb"/>
              <w:spacing w:before="0" w:beforeAutospacing="0" w:after="0" w:afterAutospacing="0"/>
              <w:rPr>
                <w:rFonts w:asciiTheme="minorHAnsi" w:eastAsiaTheme="minorHAnsi" w:hAnsiTheme="minorHAnsi" w:cstheme="minorBidi"/>
                <w:b/>
                <w:i/>
                <w:sz w:val="20"/>
                <w:szCs w:val="20"/>
                <w:lang w:eastAsia="en-US"/>
              </w:rPr>
            </w:pPr>
            <w:r w:rsidRPr="00F225A1">
              <w:rPr>
                <w:rFonts w:asciiTheme="minorHAnsi" w:eastAsiaTheme="minorHAnsi" w:hAnsiTheme="minorHAnsi" w:cstheme="minorBidi"/>
                <w:b/>
                <w:i/>
                <w:sz w:val="20"/>
                <w:szCs w:val="20"/>
                <w:lang w:eastAsia="en-US"/>
              </w:rPr>
              <w:t>F064029092004</w:t>
            </w:r>
          </w:p>
        </w:tc>
        <w:tc>
          <w:tcPr>
            <w:tcW w:w="7698" w:type="dxa"/>
          </w:tcPr>
          <w:p w:rsidR="002D28C5" w:rsidRPr="00F225A1" w:rsidRDefault="002D28C5" w:rsidP="00BA10DB">
            <w:pPr>
              <w:pStyle w:val="NormalWeb"/>
              <w:spacing w:before="0" w:beforeAutospacing="0" w:after="0" w:afterAutospacing="0"/>
              <w:rPr>
                <w:rFonts w:asciiTheme="minorHAnsi" w:eastAsiaTheme="minorHAnsi" w:hAnsiTheme="minorHAnsi" w:cstheme="minorBidi"/>
                <w:b/>
                <w:i/>
                <w:sz w:val="20"/>
                <w:szCs w:val="20"/>
                <w:lang w:eastAsia="en-US"/>
              </w:rPr>
            </w:pPr>
            <w:r w:rsidRPr="00F225A1">
              <w:rPr>
                <w:rFonts w:asciiTheme="minorHAnsi" w:eastAsiaTheme="minorHAnsi" w:hAnsiTheme="minorHAnsi" w:cstheme="minorBidi"/>
                <w:b/>
                <w:i/>
                <w:sz w:val="20"/>
                <w:szCs w:val="20"/>
                <w:lang w:eastAsia="en-US"/>
              </w:rPr>
              <w:t>HUMIRA (ADALMUMAB) 40 mg /0.8 mL SOLUCION PARA INYECCION</w:t>
            </w:r>
          </w:p>
        </w:tc>
      </w:tr>
      <w:tr w:rsidR="002D28C5" w:rsidRPr="00F225A1" w:rsidTr="00BA10DB">
        <w:tc>
          <w:tcPr>
            <w:tcW w:w="1696" w:type="dxa"/>
          </w:tcPr>
          <w:p w:rsidR="002D28C5" w:rsidRPr="00F225A1" w:rsidRDefault="002D28C5" w:rsidP="00BA10DB">
            <w:pPr>
              <w:pStyle w:val="NormalWeb"/>
              <w:spacing w:before="0" w:beforeAutospacing="0" w:after="0" w:afterAutospacing="0"/>
              <w:rPr>
                <w:rFonts w:asciiTheme="minorHAnsi" w:eastAsiaTheme="minorHAnsi" w:hAnsiTheme="minorHAnsi" w:cstheme="minorBidi"/>
                <w:b/>
                <w:i/>
                <w:sz w:val="20"/>
                <w:szCs w:val="20"/>
                <w:lang w:eastAsia="en-US"/>
              </w:rPr>
            </w:pPr>
            <w:r w:rsidRPr="00F225A1">
              <w:rPr>
                <w:rFonts w:asciiTheme="minorHAnsi" w:eastAsiaTheme="minorHAnsi" w:hAnsiTheme="minorHAnsi" w:cstheme="minorBidi"/>
                <w:b/>
                <w:i/>
                <w:sz w:val="20"/>
                <w:szCs w:val="20"/>
                <w:lang w:eastAsia="en-US"/>
              </w:rPr>
              <w:t>BT001213082020</w:t>
            </w:r>
          </w:p>
        </w:tc>
        <w:tc>
          <w:tcPr>
            <w:tcW w:w="7698" w:type="dxa"/>
          </w:tcPr>
          <w:p w:rsidR="002D28C5" w:rsidRPr="00F225A1" w:rsidRDefault="002D28C5" w:rsidP="00BA10DB">
            <w:pPr>
              <w:pStyle w:val="NormalWeb"/>
              <w:spacing w:before="0" w:beforeAutospacing="0" w:after="0" w:afterAutospacing="0"/>
              <w:rPr>
                <w:rFonts w:asciiTheme="minorHAnsi" w:eastAsiaTheme="minorHAnsi" w:hAnsiTheme="minorHAnsi" w:cstheme="minorBidi"/>
                <w:b/>
                <w:i/>
                <w:sz w:val="20"/>
                <w:szCs w:val="20"/>
                <w:lang w:eastAsia="en-US"/>
              </w:rPr>
            </w:pPr>
            <w:r w:rsidRPr="00F225A1">
              <w:rPr>
                <w:rFonts w:asciiTheme="minorHAnsi" w:eastAsiaTheme="minorHAnsi" w:hAnsiTheme="minorHAnsi" w:cstheme="minorBidi"/>
                <w:b/>
                <w:i/>
                <w:sz w:val="20"/>
                <w:szCs w:val="20"/>
                <w:lang w:eastAsia="en-US"/>
              </w:rPr>
              <w:t>HYRIMOZ® 40 mg / 0.8 mL SOLUCION INYECTABLE EN JERINGA PRECARGADA</w:t>
            </w:r>
          </w:p>
        </w:tc>
      </w:tr>
    </w:tbl>
    <w:p w:rsidR="002D28C5" w:rsidRDefault="002D28C5" w:rsidP="002D28C5">
      <w:pPr>
        <w:autoSpaceDE w:val="0"/>
        <w:autoSpaceDN w:val="0"/>
        <w:adjustRightInd w:val="0"/>
        <w:spacing w:line="240" w:lineRule="auto"/>
        <w:jc w:val="both"/>
        <w:rPr>
          <w:rFonts w:cs="Times New Roman"/>
          <w:b/>
          <w:i/>
          <w:sz w:val="20"/>
          <w:szCs w:val="20"/>
          <w:u w:val="single"/>
          <w:lang w:eastAsia="es-SV"/>
        </w:rPr>
      </w:pPr>
    </w:p>
    <w:p w:rsidR="002D28C5" w:rsidRPr="00F225A1" w:rsidRDefault="002D28C5" w:rsidP="002D28C5">
      <w:pPr>
        <w:autoSpaceDE w:val="0"/>
        <w:autoSpaceDN w:val="0"/>
        <w:adjustRightInd w:val="0"/>
        <w:spacing w:after="0" w:line="240" w:lineRule="auto"/>
        <w:jc w:val="both"/>
        <w:rPr>
          <w:rFonts w:cs="Times New Roman"/>
          <w:b/>
          <w:i/>
          <w:sz w:val="20"/>
          <w:szCs w:val="20"/>
          <w:u w:val="single"/>
          <w:lang w:eastAsia="es-SV"/>
        </w:rPr>
      </w:pPr>
      <w:r w:rsidRPr="00F225A1">
        <w:rPr>
          <w:rFonts w:cs="Times New Roman"/>
          <w:b/>
          <w:i/>
          <w:sz w:val="20"/>
          <w:szCs w:val="20"/>
          <w:u w:val="single"/>
          <w:lang w:eastAsia="es-SV"/>
        </w:rPr>
        <w:t xml:space="preserve">Risankizumab </w:t>
      </w:r>
    </w:p>
    <w:tbl>
      <w:tblPr>
        <w:tblStyle w:val="Tablaconcuadrcula"/>
        <w:tblW w:w="0" w:type="auto"/>
        <w:tblLook w:val="04A0" w:firstRow="1" w:lastRow="0" w:firstColumn="1" w:lastColumn="0" w:noHBand="0" w:noVBand="1"/>
      </w:tblPr>
      <w:tblGrid>
        <w:gridCol w:w="1696"/>
        <w:gridCol w:w="7698"/>
      </w:tblGrid>
      <w:tr w:rsidR="002D28C5" w:rsidTr="00BA10DB">
        <w:tc>
          <w:tcPr>
            <w:tcW w:w="1696" w:type="dxa"/>
            <w:shd w:val="clear" w:color="auto" w:fill="A6A6A6" w:themeFill="background1" w:themeFillShade="A6"/>
          </w:tcPr>
          <w:p w:rsidR="002D28C5" w:rsidRPr="00F225A1" w:rsidRDefault="002D28C5" w:rsidP="00BA10DB">
            <w:pPr>
              <w:autoSpaceDE w:val="0"/>
              <w:autoSpaceDN w:val="0"/>
              <w:adjustRightInd w:val="0"/>
              <w:jc w:val="center"/>
              <w:rPr>
                <w:b/>
                <w:i/>
              </w:rPr>
            </w:pPr>
            <w:r w:rsidRPr="00F225A1">
              <w:rPr>
                <w:b/>
                <w:i/>
              </w:rPr>
              <w:t>REGISTRO</w:t>
            </w:r>
          </w:p>
        </w:tc>
        <w:tc>
          <w:tcPr>
            <w:tcW w:w="7698" w:type="dxa"/>
            <w:shd w:val="clear" w:color="auto" w:fill="A6A6A6" w:themeFill="background1" w:themeFillShade="A6"/>
          </w:tcPr>
          <w:p w:rsidR="002D28C5" w:rsidRPr="00F225A1" w:rsidRDefault="002D28C5" w:rsidP="00BA10DB">
            <w:pPr>
              <w:autoSpaceDE w:val="0"/>
              <w:autoSpaceDN w:val="0"/>
              <w:adjustRightInd w:val="0"/>
              <w:jc w:val="center"/>
              <w:rPr>
                <w:b/>
                <w:i/>
              </w:rPr>
            </w:pPr>
            <w:r w:rsidRPr="00F225A1">
              <w:rPr>
                <w:b/>
                <w:i/>
              </w:rPr>
              <w:t>NOMBRE</w:t>
            </w:r>
          </w:p>
        </w:tc>
      </w:tr>
      <w:tr w:rsidR="002D28C5" w:rsidTr="00BA10DB">
        <w:tc>
          <w:tcPr>
            <w:tcW w:w="1696" w:type="dxa"/>
          </w:tcPr>
          <w:p w:rsidR="002D28C5" w:rsidRDefault="002D28C5" w:rsidP="00BA10DB">
            <w:pPr>
              <w:autoSpaceDE w:val="0"/>
              <w:autoSpaceDN w:val="0"/>
              <w:adjustRightInd w:val="0"/>
              <w:jc w:val="both"/>
              <w:rPr>
                <w:b/>
                <w:i/>
              </w:rPr>
            </w:pPr>
            <w:r>
              <w:rPr>
                <w:b/>
                <w:i/>
              </w:rPr>
              <w:t>BT000416042020</w:t>
            </w:r>
          </w:p>
        </w:tc>
        <w:tc>
          <w:tcPr>
            <w:tcW w:w="7698" w:type="dxa"/>
          </w:tcPr>
          <w:p w:rsidR="002D28C5" w:rsidRDefault="002D28C5" w:rsidP="00BA10DB">
            <w:pPr>
              <w:autoSpaceDE w:val="0"/>
              <w:autoSpaceDN w:val="0"/>
              <w:adjustRightInd w:val="0"/>
              <w:jc w:val="both"/>
              <w:rPr>
                <w:b/>
                <w:i/>
              </w:rPr>
            </w:pPr>
            <w:r w:rsidRPr="00AA4700">
              <w:rPr>
                <w:b/>
                <w:i/>
              </w:rPr>
              <w:t>SKYRIZI 75 mg SOLUCIÓN PARA INYECCIÓN</w:t>
            </w:r>
          </w:p>
        </w:tc>
      </w:tr>
    </w:tbl>
    <w:p w:rsidR="002D28C5" w:rsidRDefault="002D28C5" w:rsidP="002D28C5">
      <w:pPr>
        <w:autoSpaceDE w:val="0"/>
        <w:autoSpaceDN w:val="0"/>
        <w:adjustRightInd w:val="0"/>
        <w:spacing w:line="240" w:lineRule="auto"/>
        <w:jc w:val="both"/>
        <w:rPr>
          <w:rFonts w:cs="Times New Roman"/>
          <w:b/>
          <w:i/>
          <w:sz w:val="20"/>
          <w:szCs w:val="20"/>
          <w:lang w:eastAsia="es-SV"/>
        </w:rPr>
      </w:pPr>
    </w:p>
    <w:p w:rsidR="002D28C5" w:rsidRPr="00F225A1" w:rsidRDefault="002D28C5" w:rsidP="002D28C5">
      <w:pPr>
        <w:autoSpaceDE w:val="0"/>
        <w:autoSpaceDN w:val="0"/>
        <w:adjustRightInd w:val="0"/>
        <w:spacing w:after="0" w:line="240" w:lineRule="auto"/>
        <w:jc w:val="both"/>
        <w:rPr>
          <w:rFonts w:cs="Times New Roman"/>
          <w:b/>
          <w:i/>
          <w:sz w:val="20"/>
          <w:szCs w:val="20"/>
          <w:u w:val="single"/>
          <w:lang w:eastAsia="es-SV"/>
        </w:rPr>
      </w:pPr>
      <w:r w:rsidRPr="00F225A1">
        <w:rPr>
          <w:rFonts w:cs="Times New Roman"/>
          <w:b/>
          <w:i/>
          <w:sz w:val="20"/>
          <w:szCs w:val="20"/>
          <w:u w:val="single"/>
          <w:lang w:eastAsia="es-SV"/>
        </w:rPr>
        <w:t>Venetoclax</w:t>
      </w:r>
    </w:p>
    <w:tbl>
      <w:tblPr>
        <w:tblStyle w:val="Tablaconcuadrcula"/>
        <w:tblW w:w="0" w:type="auto"/>
        <w:tblLook w:val="04A0" w:firstRow="1" w:lastRow="0" w:firstColumn="1" w:lastColumn="0" w:noHBand="0" w:noVBand="1"/>
      </w:tblPr>
      <w:tblGrid>
        <w:gridCol w:w="1696"/>
        <w:gridCol w:w="7698"/>
      </w:tblGrid>
      <w:tr w:rsidR="002D28C5" w:rsidTr="00BA10DB">
        <w:tc>
          <w:tcPr>
            <w:tcW w:w="1696" w:type="dxa"/>
            <w:shd w:val="clear" w:color="auto" w:fill="A6A6A6" w:themeFill="background1" w:themeFillShade="A6"/>
          </w:tcPr>
          <w:p w:rsidR="002D28C5" w:rsidRPr="00F225A1" w:rsidRDefault="002D28C5" w:rsidP="00BA10DB">
            <w:pPr>
              <w:autoSpaceDE w:val="0"/>
              <w:autoSpaceDN w:val="0"/>
              <w:adjustRightInd w:val="0"/>
              <w:jc w:val="center"/>
              <w:rPr>
                <w:b/>
                <w:i/>
              </w:rPr>
            </w:pPr>
            <w:r w:rsidRPr="00F225A1">
              <w:rPr>
                <w:b/>
                <w:i/>
              </w:rPr>
              <w:t>REGISTRO</w:t>
            </w:r>
          </w:p>
        </w:tc>
        <w:tc>
          <w:tcPr>
            <w:tcW w:w="7698" w:type="dxa"/>
            <w:shd w:val="clear" w:color="auto" w:fill="A6A6A6" w:themeFill="background1" w:themeFillShade="A6"/>
          </w:tcPr>
          <w:p w:rsidR="002D28C5" w:rsidRPr="00F225A1" w:rsidRDefault="002D28C5" w:rsidP="00BA10DB">
            <w:pPr>
              <w:autoSpaceDE w:val="0"/>
              <w:autoSpaceDN w:val="0"/>
              <w:adjustRightInd w:val="0"/>
              <w:jc w:val="center"/>
              <w:rPr>
                <w:b/>
                <w:i/>
              </w:rPr>
            </w:pPr>
            <w:r w:rsidRPr="00F225A1">
              <w:rPr>
                <w:b/>
                <w:i/>
              </w:rPr>
              <w:t>NOMBRE</w:t>
            </w:r>
          </w:p>
        </w:tc>
      </w:tr>
      <w:tr w:rsidR="002D28C5" w:rsidTr="00BA10DB">
        <w:tc>
          <w:tcPr>
            <w:tcW w:w="1696" w:type="dxa"/>
          </w:tcPr>
          <w:p w:rsidR="002D28C5" w:rsidRDefault="002D28C5" w:rsidP="00BA10DB">
            <w:pPr>
              <w:autoSpaceDE w:val="0"/>
              <w:autoSpaceDN w:val="0"/>
              <w:adjustRightInd w:val="0"/>
              <w:jc w:val="both"/>
              <w:rPr>
                <w:b/>
                <w:i/>
              </w:rPr>
            </w:pPr>
            <w:r w:rsidRPr="00AA4700">
              <w:rPr>
                <w:b/>
                <w:i/>
              </w:rPr>
              <w:t>F010709032017</w:t>
            </w:r>
          </w:p>
        </w:tc>
        <w:tc>
          <w:tcPr>
            <w:tcW w:w="7698" w:type="dxa"/>
          </w:tcPr>
          <w:p w:rsidR="002D28C5" w:rsidRDefault="002D28C5" w:rsidP="00BA10DB">
            <w:pPr>
              <w:autoSpaceDE w:val="0"/>
              <w:autoSpaceDN w:val="0"/>
              <w:adjustRightInd w:val="0"/>
              <w:jc w:val="both"/>
              <w:rPr>
                <w:b/>
                <w:i/>
              </w:rPr>
            </w:pPr>
            <w:r w:rsidRPr="00AA4700">
              <w:rPr>
                <w:b/>
                <w:i/>
              </w:rPr>
              <w:t>VENCLEXTA 50mg TABLETAS RECUBIERTAS</w:t>
            </w:r>
          </w:p>
        </w:tc>
      </w:tr>
      <w:tr w:rsidR="002D28C5" w:rsidTr="00BA10DB">
        <w:tc>
          <w:tcPr>
            <w:tcW w:w="1696" w:type="dxa"/>
          </w:tcPr>
          <w:p w:rsidR="002D28C5" w:rsidRDefault="002D28C5" w:rsidP="00BA10DB">
            <w:pPr>
              <w:autoSpaceDE w:val="0"/>
              <w:autoSpaceDN w:val="0"/>
              <w:adjustRightInd w:val="0"/>
              <w:jc w:val="both"/>
              <w:rPr>
                <w:b/>
                <w:i/>
              </w:rPr>
            </w:pPr>
            <w:r w:rsidRPr="002E4FF6">
              <w:rPr>
                <w:b/>
                <w:i/>
              </w:rPr>
              <w:t>F027306072017</w:t>
            </w:r>
          </w:p>
        </w:tc>
        <w:tc>
          <w:tcPr>
            <w:tcW w:w="7698" w:type="dxa"/>
          </w:tcPr>
          <w:p w:rsidR="002D28C5" w:rsidRDefault="002D28C5" w:rsidP="00BA10DB">
            <w:pPr>
              <w:autoSpaceDE w:val="0"/>
              <w:autoSpaceDN w:val="0"/>
              <w:adjustRightInd w:val="0"/>
              <w:jc w:val="both"/>
              <w:rPr>
                <w:b/>
                <w:i/>
              </w:rPr>
            </w:pPr>
            <w:r w:rsidRPr="002E4FF6">
              <w:rPr>
                <w:b/>
                <w:i/>
              </w:rPr>
              <w:t>VENCLEXTA 10mg TABLETAS RECUBIERTAS</w:t>
            </w:r>
          </w:p>
        </w:tc>
      </w:tr>
    </w:tbl>
    <w:p w:rsidR="002D28C5" w:rsidRDefault="002D28C5" w:rsidP="002D28C5">
      <w:pPr>
        <w:autoSpaceDE w:val="0"/>
        <w:autoSpaceDN w:val="0"/>
        <w:adjustRightInd w:val="0"/>
        <w:spacing w:line="240" w:lineRule="auto"/>
        <w:jc w:val="both"/>
        <w:rPr>
          <w:rFonts w:cs="Times New Roman"/>
          <w:b/>
          <w:i/>
          <w:sz w:val="20"/>
          <w:szCs w:val="20"/>
          <w:lang w:eastAsia="es-SV"/>
        </w:rPr>
      </w:pPr>
    </w:p>
    <w:p w:rsidR="002D28C5" w:rsidRDefault="002D28C5" w:rsidP="002D28C5">
      <w:pPr>
        <w:pStyle w:val="Sinespaciado"/>
        <w:numPr>
          <w:ilvl w:val="0"/>
          <w:numId w:val="15"/>
        </w:numPr>
        <w:jc w:val="both"/>
        <w:rPr>
          <w:b/>
          <w:i/>
          <w:sz w:val="20"/>
          <w:szCs w:val="20"/>
          <w:lang w:val="es-SV"/>
        </w:rPr>
      </w:pPr>
      <w:r>
        <w:rPr>
          <w:b/>
          <w:i/>
          <w:sz w:val="20"/>
          <w:szCs w:val="20"/>
          <w:lang w:val="es-SV" w:eastAsia="es-SV"/>
        </w:rPr>
        <w:t xml:space="preserve">Así mismo no se encuentra ningún producto en trámite de inscripción con los principios activos </w:t>
      </w:r>
      <w:r w:rsidRPr="00BC31EF">
        <w:rPr>
          <w:b/>
          <w:i/>
          <w:sz w:val="20"/>
          <w:szCs w:val="20"/>
          <w:lang w:val="es-SV" w:eastAsia="es-SV"/>
        </w:rPr>
        <w:t>Adalimumab, Risankizumab y Venetoclax</w:t>
      </w:r>
      <w:r>
        <w:rPr>
          <w:b/>
          <w:i/>
          <w:sz w:val="20"/>
          <w:szCs w:val="20"/>
          <w:lang w:val="es-SV" w:eastAsia="es-SV"/>
        </w:rPr>
        <w:t xml:space="preserve">. </w:t>
      </w:r>
    </w:p>
    <w:p w:rsidR="002D28C5" w:rsidRDefault="002D28C5" w:rsidP="002D28C5">
      <w:pPr>
        <w:pStyle w:val="Sinespaciado"/>
        <w:numPr>
          <w:ilvl w:val="0"/>
          <w:numId w:val="15"/>
        </w:numPr>
        <w:jc w:val="both"/>
        <w:rPr>
          <w:b/>
          <w:i/>
          <w:sz w:val="20"/>
          <w:szCs w:val="20"/>
          <w:lang w:val="es-SV"/>
        </w:rPr>
      </w:pPr>
      <w:r>
        <w:rPr>
          <w:b/>
          <w:i/>
          <w:sz w:val="20"/>
          <w:szCs w:val="20"/>
          <w:lang w:val="es-SV" w:eastAsia="es-SV"/>
        </w:rPr>
        <w:t xml:space="preserve">Para los principios activos </w:t>
      </w:r>
      <w:r w:rsidRPr="00BC31EF">
        <w:rPr>
          <w:b/>
          <w:i/>
          <w:sz w:val="20"/>
          <w:szCs w:val="20"/>
          <w:lang w:val="es-SV" w:eastAsia="es-SV"/>
        </w:rPr>
        <w:t>Upadacitinib, Dupilumab, Abrocitinib y Baricitinib</w:t>
      </w:r>
      <w:r>
        <w:rPr>
          <w:b/>
          <w:i/>
          <w:sz w:val="20"/>
          <w:szCs w:val="20"/>
          <w:lang w:val="es-SV" w:eastAsia="es-SV"/>
        </w:rPr>
        <w:t xml:space="preserve">, no existen productos registrados, ni en proceso de inscripción. </w:t>
      </w:r>
    </w:p>
    <w:p w:rsidR="002D28C5" w:rsidRDefault="002D28C5" w:rsidP="002D28C5">
      <w:pPr>
        <w:pStyle w:val="Sinespaciado"/>
        <w:numPr>
          <w:ilvl w:val="0"/>
          <w:numId w:val="15"/>
        </w:numPr>
        <w:jc w:val="both"/>
        <w:rPr>
          <w:b/>
          <w:i/>
          <w:sz w:val="20"/>
          <w:szCs w:val="20"/>
          <w:lang w:val="es-SV"/>
        </w:rPr>
      </w:pPr>
      <w:r>
        <w:rPr>
          <w:b/>
          <w:i/>
          <w:sz w:val="20"/>
          <w:szCs w:val="20"/>
          <w:lang w:val="es-SV" w:eastAsia="es-SV"/>
        </w:rPr>
        <w:t xml:space="preserve">Con Respecto a la </w:t>
      </w:r>
      <w:r w:rsidR="00EA3032">
        <w:rPr>
          <w:b/>
          <w:i/>
          <w:sz w:val="20"/>
          <w:szCs w:val="20"/>
          <w:lang w:val="es-SV" w:eastAsia="es-SV"/>
        </w:rPr>
        <w:t>información</w:t>
      </w:r>
      <w:r>
        <w:rPr>
          <w:b/>
          <w:i/>
          <w:sz w:val="20"/>
          <w:szCs w:val="20"/>
          <w:lang w:val="es-SV" w:eastAsia="es-SV"/>
        </w:rPr>
        <w:t xml:space="preserve"> del producto </w:t>
      </w:r>
      <w:r w:rsidRPr="00BC31EF">
        <w:rPr>
          <w:b/>
          <w:i/>
          <w:sz w:val="20"/>
          <w:szCs w:val="20"/>
          <w:lang w:val="es-SV" w:eastAsia="es-SV"/>
        </w:rPr>
        <w:t xml:space="preserve">HYRIMOZ® 40 mg / 0.8 mL SOLUCIÓN INYECTABLE EN JERINGA PRECARGADA </w:t>
      </w:r>
      <w:r>
        <w:rPr>
          <w:b/>
          <w:i/>
          <w:sz w:val="20"/>
          <w:szCs w:val="20"/>
          <w:lang w:val="es-SV" w:eastAsia="es-SV"/>
        </w:rPr>
        <w:t xml:space="preserve">con </w:t>
      </w:r>
      <w:r w:rsidR="00EA3032">
        <w:rPr>
          <w:b/>
          <w:i/>
          <w:sz w:val="20"/>
          <w:szCs w:val="20"/>
          <w:lang w:val="es-SV" w:eastAsia="es-SV"/>
        </w:rPr>
        <w:t>número</w:t>
      </w:r>
      <w:r>
        <w:rPr>
          <w:b/>
          <w:i/>
          <w:sz w:val="20"/>
          <w:szCs w:val="20"/>
          <w:lang w:val="es-SV" w:eastAsia="es-SV"/>
        </w:rPr>
        <w:t xml:space="preserve"> de registro </w:t>
      </w:r>
      <w:r w:rsidRPr="00BC31EF">
        <w:rPr>
          <w:b/>
          <w:i/>
          <w:sz w:val="20"/>
          <w:szCs w:val="20"/>
          <w:lang w:val="es-SV" w:eastAsia="es-SV"/>
        </w:rPr>
        <w:t>BT001213082020</w:t>
      </w:r>
      <w:r>
        <w:rPr>
          <w:b/>
          <w:i/>
          <w:sz w:val="20"/>
          <w:szCs w:val="20"/>
          <w:lang w:val="es-SV" w:eastAsia="es-SV"/>
        </w:rPr>
        <w:t xml:space="preserve">, la indicación terapéutica y las presentaciones registradas son las siguientes: </w:t>
      </w:r>
    </w:p>
    <w:p w:rsidR="002D28C5" w:rsidRDefault="002D28C5" w:rsidP="002D28C5">
      <w:pPr>
        <w:pStyle w:val="Sinespaciado"/>
        <w:jc w:val="both"/>
        <w:rPr>
          <w:b/>
          <w:i/>
          <w:sz w:val="20"/>
          <w:szCs w:val="20"/>
          <w:u w:val="single"/>
          <w:lang w:val="es-SV" w:eastAsia="es-SV"/>
        </w:rPr>
      </w:pPr>
    </w:p>
    <w:p w:rsidR="002D28C5" w:rsidRDefault="002D28C5" w:rsidP="002D28C5">
      <w:pPr>
        <w:pStyle w:val="Sinespaciado"/>
        <w:jc w:val="both"/>
        <w:rPr>
          <w:b/>
          <w:i/>
          <w:sz w:val="20"/>
          <w:szCs w:val="20"/>
          <w:u w:val="single"/>
          <w:lang w:val="es-SV" w:eastAsia="es-SV"/>
        </w:rPr>
      </w:pPr>
      <w:r w:rsidRPr="00162D43">
        <w:rPr>
          <w:b/>
          <w:i/>
          <w:sz w:val="20"/>
          <w:szCs w:val="20"/>
          <w:u w:val="single"/>
          <w:lang w:val="es-SV" w:eastAsia="es-SV"/>
        </w:rPr>
        <w:t xml:space="preserve">Indicación </w:t>
      </w:r>
      <w:r w:rsidR="0071797E" w:rsidRPr="00162D43">
        <w:rPr>
          <w:b/>
          <w:i/>
          <w:sz w:val="20"/>
          <w:szCs w:val="20"/>
          <w:u w:val="single"/>
          <w:lang w:val="es-SV" w:eastAsia="es-SV"/>
        </w:rPr>
        <w:t>Terapéutica</w:t>
      </w:r>
    </w:p>
    <w:p w:rsidR="002D28C5" w:rsidRDefault="002D28C5" w:rsidP="002D28C5">
      <w:pPr>
        <w:pStyle w:val="Sinespaciado"/>
        <w:jc w:val="both"/>
        <w:rPr>
          <w:b/>
          <w:i/>
          <w:sz w:val="20"/>
          <w:szCs w:val="20"/>
          <w:u w:val="single"/>
          <w:lang w:val="es-SV" w:eastAsia="es-SV"/>
        </w:rPr>
      </w:pPr>
      <w:r>
        <w:rPr>
          <w:b/>
          <w:i/>
          <w:sz w:val="20"/>
          <w:szCs w:val="20"/>
          <w:u w:val="single"/>
          <w:lang w:val="es-SV" w:eastAsia="es-SV"/>
        </w:rPr>
        <w:t>Artritis reumatoide</w:t>
      </w:r>
    </w:p>
    <w:p w:rsidR="002D28C5" w:rsidRPr="0002479B" w:rsidRDefault="002D28C5" w:rsidP="002D28C5">
      <w:pPr>
        <w:pStyle w:val="Sinespaciado"/>
        <w:jc w:val="both"/>
        <w:rPr>
          <w:b/>
          <w:i/>
          <w:sz w:val="20"/>
          <w:szCs w:val="20"/>
          <w:lang w:val="es-SV" w:eastAsia="es-SV"/>
        </w:rPr>
      </w:pPr>
      <w:r w:rsidRPr="0002479B">
        <w:rPr>
          <w:b/>
          <w:i/>
          <w:sz w:val="20"/>
          <w:szCs w:val="20"/>
          <w:lang w:val="es-SV" w:eastAsia="es-SV"/>
        </w:rPr>
        <w:t>Adalimumab</w:t>
      </w:r>
      <w:r>
        <w:rPr>
          <w:b/>
          <w:i/>
          <w:sz w:val="20"/>
          <w:szCs w:val="20"/>
          <w:lang w:val="es-SV" w:eastAsia="es-SV"/>
        </w:rPr>
        <w:t xml:space="preserve"> en combinación con metotrexato, </w:t>
      </w:r>
      <w:r w:rsidR="0071797E">
        <w:rPr>
          <w:b/>
          <w:i/>
          <w:sz w:val="20"/>
          <w:szCs w:val="20"/>
          <w:lang w:val="es-SV" w:eastAsia="es-SV"/>
        </w:rPr>
        <w:t>está</w:t>
      </w:r>
      <w:r>
        <w:rPr>
          <w:b/>
          <w:i/>
          <w:sz w:val="20"/>
          <w:szCs w:val="20"/>
          <w:lang w:val="es-SV" w:eastAsia="es-SV"/>
        </w:rPr>
        <w:t xml:space="preserve"> indicado para:</w:t>
      </w:r>
      <w:r w:rsidRPr="0002479B">
        <w:rPr>
          <w:b/>
          <w:i/>
          <w:sz w:val="20"/>
          <w:szCs w:val="20"/>
          <w:lang w:val="es-SV" w:eastAsia="es-SV"/>
        </w:rPr>
        <w:t xml:space="preserve"> </w:t>
      </w:r>
    </w:p>
    <w:p w:rsidR="002D28C5" w:rsidRDefault="002D28C5" w:rsidP="002D28C5">
      <w:pPr>
        <w:pStyle w:val="Sinespaciado"/>
        <w:numPr>
          <w:ilvl w:val="0"/>
          <w:numId w:val="15"/>
        </w:numPr>
        <w:jc w:val="both"/>
        <w:rPr>
          <w:b/>
          <w:i/>
          <w:sz w:val="20"/>
          <w:szCs w:val="20"/>
          <w:lang w:val="es-SV"/>
        </w:rPr>
      </w:pPr>
      <w:r w:rsidRPr="00162D43">
        <w:rPr>
          <w:b/>
          <w:i/>
          <w:sz w:val="20"/>
          <w:szCs w:val="20"/>
          <w:lang w:val="es-SV"/>
        </w:rPr>
        <w:t xml:space="preserve">el tratamiento de la artritis reumatoide activa moderada a grave en pacientes adultos, cuando la respuesta a fármacos antirreumáticos modificadores de la enfermedad incluyendo metotrexato haya sido insuficiente. </w:t>
      </w:r>
    </w:p>
    <w:p w:rsidR="002D28C5" w:rsidRDefault="002D28C5" w:rsidP="002D28C5">
      <w:pPr>
        <w:pStyle w:val="Sinespaciado"/>
        <w:numPr>
          <w:ilvl w:val="0"/>
          <w:numId w:val="15"/>
        </w:numPr>
        <w:jc w:val="both"/>
        <w:rPr>
          <w:b/>
          <w:i/>
          <w:sz w:val="20"/>
          <w:szCs w:val="20"/>
          <w:lang w:val="es-SV"/>
        </w:rPr>
      </w:pPr>
      <w:r w:rsidRPr="00162D43">
        <w:rPr>
          <w:b/>
          <w:i/>
          <w:sz w:val="20"/>
          <w:szCs w:val="20"/>
          <w:lang w:val="es-SV"/>
        </w:rPr>
        <w:t xml:space="preserve">el tratamiento de la artritis reumatoide activa, grave y progresiva en adultos no tratados previamente con metotrexato. </w:t>
      </w:r>
    </w:p>
    <w:p w:rsidR="002D28C5" w:rsidRDefault="002D28C5" w:rsidP="002D28C5">
      <w:pPr>
        <w:pStyle w:val="Sinespaciado"/>
        <w:ind w:left="720"/>
        <w:jc w:val="both"/>
        <w:rPr>
          <w:b/>
          <w:i/>
          <w:sz w:val="20"/>
          <w:szCs w:val="20"/>
          <w:lang w:val="es-SV"/>
        </w:rPr>
      </w:pPr>
    </w:p>
    <w:p w:rsidR="002D28C5" w:rsidRDefault="002D28C5" w:rsidP="002D28C5">
      <w:pPr>
        <w:pStyle w:val="Sinespaciado"/>
        <w:jc w:val="both"/>
        <w:rPr>
          <w:b/>
          <w:i/>
          <w:sz w:val="20"/>
          <w:szCs w:val="20"/>
          <w:lang w:val="es-SV"/>
        </w:rPr>
      </w:pPr>
      <w:r w:rsidRPr="00162D43">
        <w:rPr>
          <w:b/>
          <w:i/>
          <w:sz w:val="20"/>
          <w:szCs w:val="20"/>
          <w:lang w:val="es-SV"/>
        </w:rPr>
        <w:t>Adalimumab puede ser administrado como monoterapia en caso de intolerancia al metotrexato o cuando el tratamiento continuado con metotrexato no sea posible.</w:t>
      </w:r>
    </w:p>
    <w:p w:rsidR="002D28C5" w:rsidRDefault="002D28C5" w:rsidP="002D28C5">
      <w:pPr>
        <w:pStyle w:val="Sinespaciado"/>
        <w:jc w:val="both"/>
        <w:rPr>
          <w:b/>
          <w:i/>
          <w:sz w:val="20"/>
          <w:szCs w:val="20"/>
          <w:lang w:val="es-SV"/>
        </w:rPr>
      </w:pPr>
      <w:r w:rsidRPr="00162D43">
        <w:rPr>
          <w:b/>
          <w:i/>
          <w:sz w:val="20"/>
          <w:szCs w:val="20"/>
          <w:lang w:val="es-SV"/>
        </w:rPr>
        <w:lastRenderedPageBreak/>
        <w:t xml:space="preserve">Adalimumab ha demostrado reducir la tasa de progresión del daño de las articulaciones medido por rayos X y mejorar el rendimiento físico, cuando se administra en combinación con metotrexato. </w:t>
      </w:r>
    </w:p>
    <w:p w:rsidR="002D28C5" w:rsidRDefault="002D28C5" w:rsidP="002D28C5">
      <w:pPr>
        <w:pStyle w:val="Sinespaciado"/>
        <w:jc w:val="both"/>
        <w:rPr>
          <w:b/>
          <w:i/>
          <w:sz w:val="20"/>
          <w:szCs w:val="20"/>
          <w:lang w:val="es-SV"/>
        </w:rPr>
      </w:pPr>
    </w:p>
    <w:p w:rsidR="002D28C5" w:rsidRDefault="002D28C5" w:rsidP="002D28C5">
      <w:pPr>
        <w:pStyle w:val="Sinespaciado"/>
        <w:jc w:val="both"/>
        <w:rPr>
          <w:b/>
          <w:i/>
          <w:sz w:val="20"/>
          <w:szCs w:val="20"/>
          <w:lang w:val="es-SV"/>
        </w:rPr>
      </w:pPr>
      <w:r w:rsidRPr="0002479B">
        <w:rPr>
          <w:b/>
          <w:i/>
          <w:sz w:val="20"/>
          <w:szCs w:val="20"/>
          <w:u w:val="single"/>
          <w:lang w:val="es-SV"/>
        </w:rPr>
        <w:t>Artritis idiopática juvenil</w:t>
      </w:r>
      <w:r w:rsidRPr="00162D43">
        <w:rPr>
          <w:b/>
          <w:i/>
          <w:sz w:val="20"/>
          <w:szCs w:val="20"/>
          <w:lang w:val="es-SV"/>
        </w:rPr>
        <w:t xml:space="preserve"> </w:t>
      </w:r>
    </w:p>
    <w:p w:rsidR="002D28C5" w:rsidRDefault="002D28C5" w:rsidP="002D28C5">
      <w:pPr>
        <w:pStyle w:val="Sinespaciado"/>
        <w:jc w:val="both"/>
        <w:rPr>
          <w:b/>
          <w:i/>
          <w:sz w:val="20"/>
          <w:szCs w:val="20"/>
          <w:lang w:val="es-SV"/>
        </w:rPr>
      </w:pPr>
      <w:r w:rsidRPr="00162D43">
        <w:rPr>
          <w:b/>
          <w:i/>
          <w:sz w:val="20"/>
          <w:szCs w:val="20"/>
          <w:lang w:val="es-SV"/>
        </w:rPr>
        <w:t xml:space="preserve">Artritis idiopática juvenil poliarticular </w:t>
      </w:r>
    </w:p>
    <w:p w:rsidR="002D28C5" w:rsidRDefault="002D28C5" w:rsidP="002D28C5">
      <w:pPr>
        <w:pStyle w:val="Sinespaciado"/>
        <w:jc w:val="both"/>
        <w:rPr>
          <w:b/>
          <w:i/>
          <w:sz w:val="20"/>
          <w:szCs w:val="20"/>
          <w:lang w:val="es-SV"/>
        </w:rPr>
      </w:pPr>
      <w:r w:rsidRPr="00162D43">
        <w:rPr>
          <w:b/>
          <w:i/>
          <w:sz w:val="20"/>
          <w:szCs w:val="20"/>
          <w:lang w:val="es-SV"/>
        </w:rPr>
        <w:t xml:space="preserve">Adalimumab en combinación con metotrexato está indicado para el tratamiento de la artritis idiopática juvenil poliarticular activa en pacientes a partir de 2 años que han presentado una respuesta insuficiente a uno o más fármacos antirreumáticos modificadores de la enfermedad (FAME). Hyrimoz puede ser administrado en monoterapia en caso de intolerancia al metotrexato o cuando el tratamiento continuado con metotrexato no sea posible (para consultar los datos de eficacia en monoterapia. No se ha estudiado el uso de adalimumab en pacientes menores de 2 años. </w:t>
      </w:r>
    </w:p>
    <w:p w:rsidR="002D28C5" w:rsidRDefault="002D28C5" w:rsidP="002D28C5">
      <w:pPr>
        <w:pStyle w:val="Sinespaciado"/>
        <w:jc w:val="both"/>
        <w:rPr>
          <w:b/>
          <w:i/>
          <w:sz w:val="20"/>
          <w:szCs w:val="20"/>
          <w:lang w:val="es-SV"/>
        </w:rPr>
      </w:pPr>
    </w:p>
    <w:p w:rsidR="002D28C5" w:rsidRDefault="002D28C5" w:rsidP="002D28C5">
      <w:pPr>
        <w:pStyle w:val="Sinespaciado"/>
        <w:jc w:val="both"/>
        <w:rPr>
          <w:b/>
          <w:i/>
          <w:sz w:val="20"/>
          <w:szCs w:val="20"/>
          <w:lang w:val="es-SV"/>
        </w:rPr>
      </w:pPr>
      <w:r w:rsidRPr="00162D43">
        <w:rPr>
          <w:b/>
          <w:i/>
          <w:sz w:val="20"/>
          <w:szCs w:val="20"/>
          <w:lang w:val="es-SV"/>
        </w:rPr>
        <w:t xml:space="preserve">Artritis asociada a entesitis </w:t>
      </w:r>
    </w:p>
    <w:p w:rsidR="002D28C5" w:rsidRDefault="002D28C5" w:rsidP="002D28C5">
      <w:pPr>
        <w:pStyle w:val="Sinespaciado"/>
        <w:jc w:val="both"/>
        <w:rPr>
          <w:b/>
          <w:i/>
          <w:sz w:val="20"/>
          <w:szCs w:val="20"/>
          <w:lang w:val="es-SV"/>
        </w:rPr>
      </w:pPr>
      <w:r w:rsidRPr="00162D43">
        <w:rPr>
          <w:b/>
          <w:i/>
          <w:sz w:val="20"/>
          <w:szCs w:val="20"/>
          <w:lang w:val="es-SV"/>
        </w:rPr>
        <w:t xml:space="preserve">Adalimumab está indicado para el tratamiento de la artritis asociada a entesitis activa en pacientes a partir de 6 años que han presentado una respuesta insuficiente, o son intolerantes, al tratamiento convencional. </w:t>
      </w:r>
    </w:p>
    <w:p w:rsidR="002D28C5" w:rsidRDefault="002D28C5" w:rsidP="002D28C5">
      <w:pPr>
        <w:pStyle w:val="Sinespaciado"/>
        <w:jc w:val="both"/>
        <w:rPr>
          <w:b/>
          <w:i/>
          <w:sz w:val="20"/>
          <w:szCs w:val="20"/>
          <w:lang w:val="es-SV"/>
        </w:rPr>
      </w:pPr>
    </w:p>
    <w:p w:rsidR="002D28C5" w:rsidRPr="0002479B" w:rsidRDefault="002D28C5" w:rsidP="002D28C5">
      <w:pPr>
        <w:pStyle w:val="Sinespaciado"/>
        <w:jc w:val="both"/>
        <w:rPr>
          <w:b/>
          <w:i/>
          <w:sz w:val="20"/>
          <w:szCs w:val="20"/>
          <w:u w:val="single"/>
          <w:lang w:val="es-SV"/>
        </w:rPr>
      </w:pPr>
      <w:r w:rsidRPr="0002479B">
        <w:rPr>
          <w:b/>
          <w:i/>
          <w:sz w:val="20"/>
          <w:szCs w:val="20"/>
          <w:u w:val="single"/>
          <w:lang w:val="es-SV"/>
        </w:rPr>
        <w:t xml:space="preserve">Espondiloartritis axial </w:t>
      </w:r>
    </w:p>
    <w:p w:rsidR="002D28C5" w:rsidRDefault="002D28C5" w:rsidP="002D28C5">
      <w:pPr>
        <w:pStyle w:val="Sinespaciado"/>
        <w:jc w:val="both"/>
        <w:rPr>
          <w:b/>
          <w:i/>
          <w:sz w:val="20"/>
          <w:szCs w:val="20"/>
          <w:lang w:val="es-SV"/>
        </w:rPr>
      </w:pPr>
      <w:r w:rsidRPr="00162D43">
        <w:rPr>
          <w:b/>
          <w:i/>
          <w:sz w:val="20"/>
          <w:szCs w:val="20"/>
          <w:lang w:val="es-SV"/>
        </w:rPr>
        <w:t xml:space="preserve">Espondilitis anquilosante (EA) </w:t>
      </w:r>
    </w:p>
    <w:p w:rsidR="002D28C5" w:rsidRDefault="002D28C5" w:rsidP="002D28C5">
      <w:pPr>
        <w:pStyle w:val="Sinespaciado"/>
        <w:jc w:val="both"/>
        <w:rPr>
          <w:b/>
          <w:i/>
          <w:sz w:val="20"/>
          <w:szCs w:val="20"/>
          <w:lang w:val="es-SV"/>
        </w:rPr>
      </w:pPr>
      <w:r w:rsidRPr="00162D43">
        <w:rPr>
          <w:b/>
          <w:i/>
          <w:sz w:val="20"/>
          <w:szCs w:val="20"/>
          <w:lang w:val="es-SV"/>
        </w:rPr>
        <w:t>Adalimumab está indicado para el tratamiento de adultos con espondilitis anquilosante activa grave que hayan presentado una respuesta insuficiente</w:t>
      </w:r>
      <w:r>
        <w:rPr>
          <w:b/>
          <w:i/>
          <w:sz w:val="20"/>
          <w:szCs w:val="20"/>
          <w:lang w:val="es-SV"/>
        </w:rPr>
        <w:t xml:space="preserve"> </w:t>
      </w:r>
      <w:r w:rsidRPr="00162D43">
        <w:rPr>
          <w:b/>
          <w:i/>
          <w:sz w:val="20"/>
          <w:szCs w:val="20"/>
          <w:lang w:val="es-SV"/>
        </w:rPr>
        <w:t xml:space="preserve">al tratamiento convencional. </w:t>
      </w:r>
    </w:p>
    <w:p w:rsidR="002D28C5" w:rsidRDefault="002D28C5" w:rsidP="002D28C5">
      <w:pPr>
        <w:pStyle w:val="Sinespaciado"/>
        <w:jc w:val="both"/>
        <w:rPr>
          <w:b/>
          <w:i/>
          <w:sz w:val="20"/>
          <w:szCs w:val="20"/>
          <w:lang w:val="es-SV"/>
        </w:rPr>
      </w:pPr>
    </w:p>
    <w:p w:rsidR="002D28C5" w:rsidRDefault="002D28C5" w:rsidP="002D28C5">
      <w:pPr>
        <w:pStyle w:val="Sinespaciado"/>
        <w:jc w:val="both"/>
        <w:rPr>
          <w:b/>
          <w:i/>
          <w:sz w:val="20"/>
          <w:szCs w:val="20"/>
          <w:lang w:val="es-SV"/>
        </w:rPr>
      </w:pPr>
      <w:r w:rsidRPr="00162D43">
        <w:rPr>
          <w:b/>
          <w:i/>
          <w:sz w:val="20"/>
          <w:szCs w:val="20"/>
          <w:lang w:val="es-SV"/>
        </w:rPr>
        <w:t xml:space="preserve">Espondiloartritis axial sin evidencia radiográfica de EA </w:t>
      </w:r>
    </w:p>
    <w:p w:rsidR="002D28C5" w:rsidRDefault="002D28C5" w:rsidP="002D28C5">
      <w:pPr>
        <w:pStyle w:val="Sinespaciado"/>
        <w:jc w:val="both"/>
        <w:rPr>
          <w:b/>
          <w:i/>
          <w:sz w:val="20"/>
          <w:szCs w:val="20"/>
          <w:lang w:val="es-SV"/>
        </w:rPr>
      </w:pPr>
      <w:r w:rsidRPr="00162D43">
        <w:rPr>
          <w:b/>
          <w:i/>
          <w:sz w:val="20"/>
          <w:szCs w:val="20"/>
          <w:lang w:val="es-SV"/>
        </w:rPr>
        <w:t>Adalimumab está indicado para el tratamiento de adultos con espondiloartritis axial grave sin evidencia radiográfica de EA pero con signos objetivos de inflamación por elevada Proteína C Reactiva y/o Imagen por Resonancia Magnética (IRM), que presentan una respuesta insuficiente o son intolerantes a fármacos antiinflamatorios no esteroideos.</w:t>
      </w:r>
    </w:p>
    <w:p w:rsidR="002D28C5" w:rsidRDefault="002D28C5" w:rsidP="002D28C5">
      <w:pPr>
        <w:pStyle w:val="Sinespaciado"/>
        <w:jc w:val="both"/>
        <w:rPr>
          <w:b/>
          <w:i/>
          <w:sz w:val="20"/>
          <w:szCs w:val="20"/>
          <w:lang w:val="es-SV"/>
        </w:rPr>
      </w:pPr>
    </w:p>
    <w:p w:rsidR="002D28C5" w:rsidRPr="0002479B" w:rsidRDefault="002D28C5" w:rsidP="002D28C5">
      <w:pPr>
        <w:pStyle w:val="Sinespaciado"/>
        <w:jc w:val="both"/>
        <w:rPr>
          <w:b/>
          <w:i/>
          <w:sz w:val="20"/>
          <w:szCs w:val="20"/>
          <w:u w:val="single"/>
          <w:lang w:val="es-SV"/>
        </w:rPr>
      </w:pPr>
      <w:r w:rsidRPr="0002479B">
        <w:rPr>
          <w:b/>
          <w:i/>
          <w:sz w:val="20"/>
          <w:szCs w:val="20"/>
          <w:u w:val="single"/>
          <w:lang w:val="es-SV"/>
        </w:rPr>
        <w:t xml:space="preserve">Artritis psoriásica </w:t>
      </w:r>
    </w:p>
    <w:p w:rsidR="002D28C5" w:rsidRDefault="002D28C5" w:rsidP="002D28C5">
      <w:pPr>
        <w:pStyle w:val="Sinespaciado"/>
        <w:jc w:val="both"/>
        <w:rPr>
          <w:b/>
          <w:i/>
          <w:sz w:val="20"/>
          <w:szCs w:val="20"/>
          <w:lang w:val="es-SV"/>
        </w:rPr>
      </w:pPr>
      <w:r w:rsidRPr="00162D43">
        <w:rPr>
          <w:b/>
          <w:i/>
          <w:sz w:val="20"/>
          <w:szCs w:val="20"/>
          <w:lang w:val="es-SV"/>
        </w:rPr>
        <w:t xml:space="preserve">Adalimumab está indicado para el tratamiento de la artritis psoriásica activa y progresiva en adultos cuando la respuesta a la terapia previa con antirreumáticos modificadores de la enfermedad haya sido insuficiente. Se ha demostrado que adalimumab reduce la progresión del daño en las articulaciones periféricas medido por rayos X en pacientes que presentaban el patrón poliarticular simétrico de la enfermedad y que mejora la función física de los pacientes. </w:t>
      </w:r>
    </w:p>
    <w:p w:rsidR="002D28C5" w:rsidRDefault="002D28C5" w:rsidP="002D28C5">
      <w:pPr>
        <w:pStyle w:val="Sinespaciado"/>
        <w:jc w:val="both"/>
        <w:rPr>
          <w:b/>
          <w:i/>
          <w:sz w:val="20"/>
          <w:szCs w:val="20"/>
          <w:lang w:val="es-SV"/>
        </w:rPr>
      </w:pPr>
    </w:p>
    <w:p w:rsidR="002D28C5" w:rsidRDefault="002D28C5" w:rsidP="002D28C5">
      <w:pPr>
        <w:pStyle w:val="Sinespaciado"/>
        <w:jc w:val="both"/>
        <w:rPr>
          <w:b/>
          <w:i/>
          <w:sz w:val="20"/>
          <w:szCs w:val="20"/>
          <w:lang w:val="es-SV"/>
        </w:rPr>
      </w:pPr>
      <w:r w:rsidRPr="00162D43">
        <w:rPr>
          <w:b/>
          <w:i/>
          <w:sz w:val="20"/>
          <w:szCs w:val="20"/>
          <w:lang w:val="es-SV"/>
        </w:rPr>
        <w:t xml:space="preserve">Psoriasis </w:t>
      </w:r>
    </w:p>
    <w:p w:rsidR="002D28C5" w:rsidRDefault="002D28C5" w:rsidP="002D28C5">
      <w:pPr>
        <w:pStyle w:val="Sinespaciado"/>
        <w:jc w:val="both"/>
        <w:rPr>
          <w:b/>
          <w:i/>
          <w:sz w:val="20"/>
          <w:szCs w:val="20"/>
          <w:lang w:val="es-SV"/>
        </w:rPr>
      </w:pPr>
      <w:r w:rsidRPr="00162D43">
        <w:rPr>
          <w:b/>
          <w:i/>
          <w:sz w:val="20"/>
          <w:szCs w:val="20"/>
          <w:lang w:val="es-SV"/>
        </w:rPr>
        <w:t xml:space="preserve">Adalimumab está indicado para el tratamiento de la psoriasis en placas crónica de moderada a grave en pacientes adultos que sean candidatos para un tratamiento sistémico. </w:t>
      </w:r>
    </w:p>
    <w:p w:rsidR="002D28C5" w:rsidRDefault="002D28C5" w:rsidP="002D28C5">
      <w:pPr>
        <w:pStyle w:val="Sinespaciado"/>
        <w:jc w:val="both"/>
        <w:rPr>
          <w:b/>
          <w:i/>
          <w:sz w:val="20"/>
          <w:szCs w:val="20"/>
          <w:lang w:val="es-SV"/>
        </w:rPr>
      </w:pPr>
    </w:p>
    <w:p w:rsidR="002D28C5" w:rsidRPr="00EB71F1" w:rsidRDefault="002D28C5" w:rsidP="002D28C5">
      <w:pPr>
        <w:pStyle w:val="Sinespaciado"/>
        <w:jc w:val="both"/>
        <w:rPr>
          <w:b/>
          <w:i/>
          <w:sz w:val="20"/>
          <w:szCs w:val="20"/>
          <w:u w:val="single"/>
          <w:lang w:val="es-SV"/>
        </w:rPr>
      </w:pPr>
      <w:r w:rsidRPr="00EB71F1">
        <w:rPr>
          <w:b/>
          <w:i/>
          <w:sz w:val="20"/>
          <w:szCs w:val="20"/>
          <w:u w:val="single"/>
          <w:lang w:val="es-SV"/>
        </w:rPr>
        <w:t xml:space="preserve">Psoriasis pediátrica en placas </w:t>
      </w:r>
    </w:p>
    <w:p w:rsidR="002D28C5" w:rsidRDefault="002D28C5" w:rsidP="002D28C5">
      <w:pPr>
        <w:pStyle w:val="Sinespaciado"/>
        <w:jc w:val="both"/>
        <w:rPr>
          <w:b/>
          <w:i/>
          <w:sz w:val="20"/>
          <w:szCs w:val="20"/>
          <w:lang w:val="es-SV"/>
        </w:rPr>
      </w:pPr>
      <w:r w:rsidRPr="00162D43">
        <w:rPr>
          <w:b/>
          <w:i/>
          <w:sz w:val="20"/>
          <w:szCs w:val="20"/>
          <w:lang w:val="es-SV"/>
        </w:rPr>
        <w:t xml:space="preserve">Adalimumab está indicado para el tratamiento de la psoriasis crónica en placas grave en niños y adolescentes desde los 4 años de edad que hayan presentado una respuesta inadecuada o no sean candidatos apropiados para tratamiento tópico y fototerapias. </w:t>
      </w:r>
    </w:p>
    <w:p w:rsidR="002D28C5" w:rsidRDefault="002D28C5" w:rsidP="002D28C5">
      <w:pPr>
        <w:pStyle w:val="Sinespaciado"/>
        <w:jc w:val="both"/>
        <w:rPr>
          <w:b/>
          <w:i/>
          <w:sz w:val="20"/>
          <w:szCs w:val="20"/>
          <w:lang w:val="es-SV"/>
        </w:rPr>
      </w:pPr>
    </w:p>
    <w:p w:rsidR="002D28C5" w:rsidRPr="00EB71F1" w:rsidRDefault="002D28C5" w:rsidP="002D28C5">
      <w:pPr>
        <w:pStyle w:val="Sinespaciado"/>
        <w:jc w:val="both"/>
        <w:rPr>
          <w:b/>
          <w:i/>
          <w:sz w:val="20"/>
          <w:szCs w:val="20"/>
          <w:u w:val="single"/>
          <w:lang w:val="es-SV"/>
        </w:rPr>
      </w:pPr>
      <w:r w:rsidRPr="00EB71F1">
        <w:rPr>
          <w:b/>
          <w:i/>
          <w:sz w:val="20"/>
          <w:szCs w:val="20"/>
          <w:u w:val="single"/>
          <w:lang w:val="es-SV"/>
        </w:rPr>
        <w:t xml:space="preserve">Hidradenitis supurativa (HS) </w:t>
      </w:r>
    </w:p>
    <w:p w:rsidR="002D28C5" w:rsidRDefault="002D28C5" w:rsidP="002D28C5">
      <w:pPr>
        <w:pStyle w:val="Sinespaciado"/>
        <w:jc w:val="both"/>
        <w:rPr>
          <w:b/>
          <w:i/>
          <w:sz w:val="20"/>
          <w:szCs w:val="20"/>
          <w:lang w:val="es-SV"/>
        </w:rPr>
      </w:pPr>
      <w:r w:rsidRPr="00162D43">
        <w:rPr>
          <w:b/>
          <w:i/>
          <w:sz w:val="20"/>
          <w:szCs w:val="20"/>
          <w:lang w:val="es-SV"/>
        </w:rPr>
        <w:t>Adalimumab está indicado para el tratamiento de la</w:t>
      </w:r>
      <w:r>
        <w:rPr>
          <w:b/>
          <w:i/>
          <w:sz w:val="20"/>
          <w:szCs w:val="20"/>
          <w:lang w:val="es-SV"/>
        </w:rPr>
        <w:t xml:space="preserve"> </w:t>
      </w:r>
      <w:r w:rsidRPr="00162D43">
        <w:rPr>
          <w:b/>
          <w:i/>
          <w:sz w:val="20"/>
          <w:szCs w:val="20"/>
          <w:lang w:val="es-SV"/>
        </w:rPr>
        <w:t>hidradenitis supurativa activa (acné inverso) de moderada a grave en pacientes adultos y adolescentes a partir de 12 años de edad con una respuesta insuficiente al tratamiento sistémico convencional de hidradenitis supurativa</w:t>
      </w:r>
      <w:r>
        <w:rPr>
          <w:b/>
          <w:i/>
          <w:sz w:val="20"/>
          <w:szCs w:val="20"/>
          <w:lang w:val="es-SV"/>
        </w:rPr>
        <w:t xml:space="preserve"> </w:t>
      </w:r>
    </w:p>
    <w:p w:rsidR="002D28C5" w:rsidRDefault="002D28C5" w:rsidP="002D28C5">
      <w:pPr>
        <w:pStyle w:val="Sinespaciado"/>
        <w:jc w:val="both"/>
        <w:rPr>
          <w:b/>
          <w:i/>
          <w:sz w:val="20"/>
          <w:szCs w:val="20"/>
          <w:lang w:val="es-SV"/>
        </w:rPr>
      </w:pPr>
    </w:p>
    <w:p w:rsidR="002D28C5" w:rsidRDefault="002D28C5" w:rsidP="002D28C5">
      <w:pPr>
        <w:pStyle w:val="Sinespaciado"/>
        <w:jc w:val="both"/>
        <w:rPr>
          <w:b/>
          <w:i/>
          <w:sz w:val="20"/>
          <w:szCs w:val="20"/>
          <w:lang w:val="es-SV"/>
        </w:rPr>
      </w:pPr>
      <w:r w:rsidRPr="00EB71F1">
        <w:rPr>
          <w:b/>
          <w:i/>
          <w:sz w:val="20"/>
          <w:szCs w:val="20"/>
          <w:u w:val="single"/>
          <w:lang w:val="es-SV"/>
        </w:rPr>
        <w:t>Enfermedad de Crohn</w:t>
      </w:r>
      <w:r w:rsidRPr="00162D43">
        <w:rPr>
          <w:b/>
          <w:i/>
          <w:sz w:val="20"/>
          <w:szCs w:val="20"/>
          <w:lang w:val="es-SV"/>
        </w:rPr>
        <w:t xml:space="preserve"> </w:t>
      </w:r>
    </w:p>
    <w:p w:rsidR="002D28C5" w:rsidRDefault="002D28C5" w:rsidP="002D28C5">
      <w:pPr>
        <w:pStyle w:val="Sinespaciado"/>
        <w:jc w:val="both"/>
        <w:rPr>
          <w:b/>
          <w:i/>
          <w:sz w:val="20"/>
          <w:szCs w:val="20"/>
          <w:lang w:val="es-SV"/>
        </w:rPr>
      </w:pPr>
      <w:r w:rsidRPr="00162D43">
        <w:rPr>
          <w:b/>
          <w:i/>
          <w:sz w:val="20"/>
          <w:szCs w:val="20"/>
          <w:lang w:val="es-SV"/>
        </w:rPr>
        <w:t xml:space="preserve">Adalimumab está indicado para el tratamiento de la enfermedad de Crohn activa de moderada a grave en pacientes adultos que no hayan respondido a un tratamiento, completo y adecuado, con corticoesteroides y/o inmunosupresores, o que son intolerantes o tienen contraindicaciones médicas para dichos tratamientos. </w:t>
      </w:r>
    </w:p>
    <w:p w:rsidR="002D28C5" w:rsidRDefault="002D28C5" w:rsidP="002D28C5">
      <w:pPr>
        <w:pStyle w:val="Sinespaciado"/>
        <w:jc w:val="both"/>
        <w:rPr>
          <w:b/>
          <w:i/>
          <w:sz w:val="20"/>
          <w:szCs w:val="20"/>
          <w:lang w:val="es-SV"/>
        </w:rPr>
      </w:pPr>
    </w:p>
    <w:p w:rsidR="002D28C5" w:rsidRPr="0097671D" w:rsidRDefault="002D28C5" w:rsidP="002D28C5">
      <w:pPr>
        <w:pStyle w:val="Sinespaciado"/>
        <w:jc w:val="both"/>
        <w:rPr>
          <w:b/>
          <w:i/>
          <w:sz w:val="20"/>
          <w:szCs w:val="20"/>
          <w:u w:val="single"/>
          <w:lang w:val="es-SV"/>
        </w:rPr>
      </w:pPr>
      <w:r w:rsidRPr="0097671D">
        <w:rPr>
          <w:b/>
          <w:i/>
          <w:sz w:val="20"/>
          <w:szCs w:val="20"/>
          <w:u w:val="single"/>
          <w:lang w:val="es-SV"/>
        </w:rPr>
        <w:t xml:space="preserve">Enfermedad de Crohn pediátrica </w:t>
      </w:r>
    </w:p>
    <w:p w:rsidR="002D28C5" w:rsidRDefault="002D28C5" w:rsidP="002D28C5">
      <w:pPr>
        <w:pStyle w:val="Sinespaciado"/>
        <w:jc w:val="both"/>
        <w:rPr>
          <w:b/>
          <w:i/>
          <w:sz w:val="20"/>
          <w:szCs w:val="20"/>
          <w:lang w:val="es-SV"/>
        </w:rPr>
      </w:pPr>
      <w:r w:rsidRPr="00162D43">
        <w:rPr>
          <w:b/>
          <w:i/>
          <w:sz w:val="20"/>
          <w:szCs w:val="20"/>
          <w:lang w:val="es-SV"/>
        </w:rPr>
        <w:t xml:space="preserve">Adalimumab está indicado para el tratamiento de la enfermedad de Crohn activa de moderada a grave en pacientes pediátricos (a partir de los 6 años de edad) que han presentado una respuesta insuficiente al tratamiento convencional incluyendo tratamiento nutricional primario y un corticoesteroide y/o un inmunomodulador, o que son intolerantes o tienen contraindicados dichos tratamientos. </w:t>
      </w:r>
    </w:p>
    <w:p w:rsidR="002D28C5" w:rsidRDefault="002D28C5" w:rsidP="002D28C5">
      <w:pPr>
        <w:pStyle w:val="Sinespaciado"/>
        <w:jc w:val="both"/>
        <w:rPr>
          <w:b/>
          <w:i/>
          <w:sz w:val="20"/>
          <w:szCs w:val="20"/>
          <w:lang w:val="es-SV"/>
        </w:rPr>
      </w:pPr>
    </w:p>
    <w:p w:rsidR="002D28C5" w:rsidRPr="0097671D" w:rsidRDefault="002D28C5" w:rsidP="002D28C5">
      <w:pPr>
        <w:pStyle w:val="Sinespaciado"/>
        <w:jc w:val="both"/>
        <w:rPr>
          <w:b/>
          <w:i/>
          <w:sz w:val="20"/>
          <w:szCs w:val="20"/>
          <w:u w:val="single"/>
          <w:lang w:val="es-SV"/>
        </w:rPr>
      </w:pPr>
      <w:r w:rsidRPr="0097671D">
        <w:rPr>
          <w:b/>
          <w:i/>
          <w:sz w:val="20"/>
          <w:szCs w:val="20"/>
          <w:u w:val="single"/>
          <w:lang w:val="es-SV"/>
        </w:rPr>
        <w:t xml:space="preserve">Colitis ulcerosa </w:t>
      </w:r>
    </w:p>
    <w:p w:rsidR="002D28C5" w:rsidRDefault="002D28C5" w:rsidP="002D28C5">
      <w:pPr>
        <w:pStyle w:val="Sinespaciado"/>
        <w:jc w:val="both"/>
        <w:rPr>
          <w:b/>
          <w:i/>
          <w:sz w:val="20"/>
          <w:szCs w:val="20"/>
          <w:lang w:val="es-SV"/>
        </w:rPr>
      </w:pPr>
      <w:r w:rsidRPr="00162D43">
        <w:rPr>
          <w:b/>
          <w:i/>
          <w:sz w:val="20"/>
          <w:szCs w:val="20"/>
          <w:lang w:val="es-SV"/>
        </w:rPr>
        <w:t>Adalimumab está indicado en el tratamiento de la colitis ulcerosa activa, de moderada a grave, en pacientes adultos que han presentado una respuesta inadecuada al tratamiento convencional, incluidos corticosteroides y 6</w:t>
      </w:r>
      <w:r w:rsidR="00EA3032">
        <w:rPr>
          <w:b/>
          <w:i/>
          <w:sz w:val="20"/>
          <w:szCs w:val="20"/>
          <w:lang w:val="es-SV"/>
        </w:rPr>
        <w:t>-</w:t>
      </w:r>
      <w:r w:rsidRPr="00162D43">
        <w:rPr>
          <w:b/>
          <w:i/>
          <w:sz w:val="20"/>
          <w:szCs w:val="20"/>
          <w:lang w:val="es-SV"/>
        </w:rPr>
        <w:t>mercaptopurina (6</w:t>
      </w:r>
      <w:r w:rsidR="00EA3032">
        <w:rPr>
          <w:b/>
          <w:i/>
          <w:sz w:val="20"/>
          <w:szCs w:val="20"/>
          <w:lang w:val="es-SV"/>
        </w:rPr>
        <w:t>-</w:t>
      </w:r>
      <w:r w:rsidRPr="00162D43">
        <w:rPr>
          <w:b/>
          <w:i/>
          <w:sz w:val="20"/>
          <w:szCs w:val="20"/>
          <w:lang w:val="es-SV"/>
        </w:rPr>
        <w:t xml:space="preserve">MP) o azatioprina (AZA), o que presentan intolerancia o contraindicaciones médicas a dichos tratamientos. </w:t>
      </w:r>
    </w:p>
    <w:p w:rsidR="002D28C5" w:rsidRDefault="002D28C5" w:rsidP="002D28C5">
      <w:pPr>
        <w:pStyle w:val="Sinespaciado"/>
        <w:jc w:val="both"/>
        <w:rPr>
          <w:b/>
          <w:i/>
          <w:sz w:val="20"/>
          <w:szCs w:val="20"/>
          <w:lang w:val="es-SV"/>
        </w:rPr>
      </w:pPr>
    </w:p>
    <w:p w:rsidR="002D28C5" w:rsidRDefault="002D28C5" w:rsidP="002D28C5">
      <w:pPr>
        <w:pStyle w:val="Sinespaciado"/>
        <w:jc w:val="both"/>
        <w:rPr>
          <w:b/>
          <w:i/>
          <w:sz w:val="20"/>
          <w:szCs w:val="20"/>
          <w:lang w:val="es-SV"/>
        </w:rPr>
      </w:pPr>
      <w:r w:rsidRPr="0097671D">
        <w:rPr>
          <w:b/>
          <w:i/>
          <w:sz w:val="20"/>
          <w:szCs w:val="20"/>
          <w:u w:val="single"/>
          <w:lang w:val="es-SV"/>
        </w:rPr>
        <w:t xml:space="preserve">Uveítis </w:t>
      </w:r>
    </w:p>
    <w:p w:rsidR="002D28C5" w:rsidRDefault="002D28C5" w:rsidP="002D28C5">
      <w:pPr>
        <w:pStyle w:val="Sinespaciado"/>
        <w:jc w:val="both"/>
        <w:rPr>
          <w:b/>
          <w:i/>
          <w:sz w:val="20"/>
          <w:szCs w:val="20"/>
          <w:lang w:val="es-SV"/>
        </w:rPr>
      </w:pPr>
      <w:r w:rsidRPr="00162D43">
        <w:rPr>
          <w:b/>
          <w:i/>
          <w:sz w:val="20"/>
          <w:szCs w:val="20"/>
          <w:lang w:val="es-SV"/>
        </w:rPr>
        <w:t xml:space="preserve">Adalimumab está indicado en el tratamiento de la uveítis no infecciosa intermedia y posterior y panuveítis en pacientes adultos que han presentado una respuesta inadecuada a corticoesteroides, que necesiten disminuir su tratamiento con corticoesteroides, o en aquellos en los que el tratamiento con corticoesteroides sea inapropiado. </w:t>
      </w:r>
    </w:p>
    <w:p w:rsidR="002D28C5" w:rsidRDefault="002D28C5" w:rsidP="002D28C5">
      <w:pPr>
        <w:pStyle w:val="Sinespaciado"/>
        <w:jc w:val="both"/>
        <w:rPr>
          <w:b/>
          <w:i/>
          <w:sz w:val="20"/>
          <w:szCs w:val="20"/>
          <w:lang w:val="es-SV"/>
        </w:rPr>
      </w:pPr>
    </w:p>
    <w:p w:rsidR="002D28C5" w:rsidRDefault="002D28C5" w:rsidP="002D28C5">
      <w:pPr>
        <w:pStyle w:val="Sinespaciado"/>
        <w:jc w:val="both"/>
        <w:rPr>
          <w:b/>
          <w:i/>
          <w:sz w:val="20"/>
          <w:szCs w:val="20"/>
          <w:lang w:val="es-SV"/>
        </w:rPr>
      </w:pPr>
      <w:r w:rsidRPr="0097671D">
        <w:rPr>
          <w:b/>
          <w:i/>
          <w:sz w:val="20"/>
          <w:szCs w:val="20"/>
          <w:u w:val="single"/>
          <w:lang w:val="es-SV"/>
        </w:rPr>
        <w:t>Uveítis pediátrica</w:t>
      </w:r>
      <w:r w:rsidRPr="00162D43">
        <w:rPr>
          <w:b/>
          <w:i/>
          <w:sz w:val="20"/>
          <w:szCs w:val="20"/>
          <w:lang w:val="es-SV"/>
        </w:rPr>
        <w:t xml:space="preserve"> </w:t>
      </w:r>
    </w:p>
    <w:p w:rsidR="002D28C5" w:rsidRDefault="002D28C5" w:rsidP="002D28C5">
      <w:pPr>
        <w:pStyle w:val="Sinespaciado"/>
        <w:jc w:val="both"/>
        <w:rPr>
          <w:b/>
          <w:i/>
          <w:sz w:val="20"/>
          <w:szCs w:val="20"/>
          <w:lang w:val="es-SV"/>
        </w:rPr>
      </w:pPr>
      <w:r w:rsidRPr="00162D43">
        <w:rPr>
          <w:b/>
          <w:i/>
          <w:sz w:val="20"/>
          <w:szCs w:val="20"/>
          <w:lang w:val="es-SV"/>
        </w:rPr>
        <w:t>Adalimumab está indicado para el tratamiento de la uveítis pediátrica anterior crónica no infecciosa en pacientes desde los 2 años de edad que han tenido una respuesta inadecuada o son intolerantes a la terapia convencional, o en los que la terapia convencional no es adecuada.</w:t>
      </w:r>
    </w:p>
    <w:p w:rsidR="00BD0A2D" w:rsidRDefault="00BD0A2D" w:rsidP="002D28C5">
      <w:pPr>
        <w:pStyle w:val="Sinespaciado"/>
        <w:jc w:val="both"/>
        <w:rPr>
          <w:b/>
          <w:i/>
          <w:sz w:val="20"/>
          <w:szCs w:val="20"/>
          <w:lang w:val="es-SV"/>
        </w:rPr>
      </w:pPr>
    </w:p>
    <w:p w:rsidR="00BD0A2D" w:rsidRPr="00BD0A2D" w:rsidRDefault="00BD0A2D" w:rsidP="00BD0A2D">
      <w:pPr>
        <w:pStyle w:val="Sinespaciado"/>
        <w:jc w:val="both"/>
        <w:rPr>
          <w:b/>
          <w:i/>
          <w:sz w:val="20"/>
          <w:szCs w:val="20"/>
          <w:u w:val="single"/>
          <w:lang w:val="es-SV"/>
        </w:rPr>
      </w:pPr>
      <w:r w:rsidRPr="00BD0A2D">
        <w:rPr>
          <w:b/>
          <w:i/>
          <w:sz w:val="20"/>
          <w:szCs w:val="20"/>
          <w:u w:val="single"/>
          <w:lang w:val="es-SV"/>
        </w:rPr>
        <w:t>Presentaciones registradas</w:t>
      </w:r>
    </w:p>
    <w:p w:rsidR="00BD0A2D" w:rsidRPr="00BD0A2D" w:rsidRDefault="00BD0A2D" w:rsidP="00BD0A2D">
      <w:pPr>
        <w:pStyle w:val="Sinespaciado"/>
        <w:numPr>
          <w:ilvl w:val="0"/>
          <w:numId w:val="17"/>
        </w:numPr>
        <w:jc w:val="both"/>
        <w:rPr>
          <w:b/>
          <w:i/>
          <w:sz w:val="20"/>
          <w:szCs w:val="20"/>
          <w:lang w:val="es-SV"/>
        </w:rPr>
      </w:pPr>
      <w:r w:rsidRPr="00BD0A2D">
        <w:rPr>
          <w:b/>
          <w:i/>
          <w:sz w:val="20"/>
          <w:szCs w:val="20"/>
          <w:lang w:val="es-SV"/>
        </w:rPr>
        <w:t>CAJA X 1 JERINGA PRECARGADA DE VIDRIO INCOLORO X 0.8 mL + TAPÓN DEL ÉMBOLO GOMA DE BROMOBUTILO, RECUBIERTO.</w:t>
      </w:r>
      <w:r w:rsidR="004A3F87" w:rsidRPr="004A3F87">
        <w:rPr>
          <w:b/>
          <w:i/>
          <w:sz w:val="20"/>
          <w:szCs w:val="20"/>
          <w:lang w:val="es-SV"/>
        </w:rPr>
        <w:t xml:space="preserve"> </w:t>
      </w:r>
      <w:r w:rsidR="004A3F87" w:rsidRPr="00BD0A2D">
        <w:rPr>
          <w:b/>
          <w:i/>
          <w:sz w:val="20"/>
          <w:szCs w:val="20"/>
          <w:lang w:val="es-SV"/>
        </w:rPr>
        <w:t>(MUESTRA MÉDICA)</w:t>
      </w:r>
    </w:p>
    <w:p w:rsidR="00BD0A2D" w:rsidRPr="00BD0A2D" w:rsidRDefault="00BD0A2D" w:rsidP="00BD0A2D">
      <w:pPr>
        <w:pStyle w:val="Sinespaciado"/>
        <w:numPr>
          <w:ilvl w:val="0"/>
          <w:numId w:val="17"/>
        </w:numPr>
        <w:jc w:val="both"/>
        <w:rPr>
          <w:b/>
          <w:i/>
          <w:sz w:val="20"/>
          <w:szCs w:val="20"/>
          <w:lang w:val="es-SV"/>
        </w:rPr>
      </w:pPr>
      <w:r w:rsidRPr="00BD0A2D">
        <w:rPr>
          <w:b/>
          <w:i/>
          <w:sz w:val="20"/>
          <w:szCs w:val="20"/>
          <w:lang w:val="es-SV"/>
        </w:rPr>
        <w:t>CAJA X 1 JERINGA PRECARGADA DE VIDRIO INCOLORO X 0.8 mL + TAPÓN DEL ÉMBOLO GOMA DE BROMOBUTILO, RECUBIERTO.</w:t>
      </w:r>
      <w:r w:rsidR="004A3F87" w:rsidRPr="004A3F87">
        <w:rPr>
          <w:b/>
          <w:i/>
          <w:sz w:val="20"/>
          <w:szCs w:val="20"/>
          <w:lang w:val="es-SV"/>
        </w:rPr>
        <w:t xml:space="preserve"> </w:t>
      </w:r>
      <w:r w:rsidR="004A3F87" w:rsidRPr="00BD0A2D">
        <w:rPr>
          <w:b/>
          <w:i/>
          <w:sz w:val="20"/>
          <w:szCs w:val="20"/>
          <w:lang w:val="es-SV"/>
        </w:rPr>
        <w:t>(PRESENTACIÓN COMERCIAL)</w:t>
      </w:r>
    </w:p>
    <w:p w:rsidR="00BD0A2D" w:rsidRDefault="00BD0A2D" w:rsidP="00BD0A2D">
      <w:pPr>
        <w:pStyle w:val="Sinespaciado"/>
        <w:numPr>
          <w:ilvl w:val="0"/>
          <w:numId w:val="17"/>
        </w:numPr>
        <w:jc w:val="both"/>
        <w:rPr>
          <w:b/>
          <w:i/>
          <w:sz w:val="20"/>
          <w:szCs w:val="20"/>
          <w:lang w:val="es-SV"/>
        </w:rPr>
      </w:pPr>
      <w:r w:rsidRPr="00BD0A2D">
        <w:rPr>
          <w:b/>
          <w:i/>
          <w:sz w:val="20"/>
          <w:szCs w:val="20"/>
          <w:lang w:val="es-SV"/>
        </w:rPr>
        <w:t>CAJA X 2 JERINGAS PRECARGADAS DE VIDRIO INCOLORO X 0.8 mL + TAPÓN DEL ÉMBOLO GOMA DE BROMOBUTILO, RECUBIERTO.</w:t>
      </w:r>
      <w:r w:rsidR="004A3F87">
        <w:rPr>
          <w:b/>
          <w:i/>
          <w:sz w:val="20"/>
          <w:szCs w:val="20"/>
          <w:lang w:val="es-SV"/>
        </w:rPr>
        <w:t xml:space="preserve"> </w:t>
      </w:r>
      <w:r w:rsidR="004A3F87" w:rsidRPr="00BD0A2D">
        <w:rPr>
          <w:b/>
          <w:i/>
          <w:sz w:val="20"/>
          <w:szCs w:val="20"/>
          <w:lang w:val="es-SV"/>
        </w:rPr>
        <w:t>(PRESENTACIÓN COMERCIAL)</w:t>
      </w:r>
    </w:p>
    <w:p w:rsidR="00325536" w:rsidRPr="00162D43" w:rsidRDefault="00325536" w:rsidP="00325536">
      <w:pPr>
        <w:pStyle w:val="Sinespaciado"/>
        <w:jc w:val="both"/>
        <w:rPr>
          <w:b/>
          <w:i/>
          <w:sz w:val="20"/>
          <w:szCs w:val="20"/>
          <w:lang w:val="es-SV"/>
        </w:rPr>
      </w:pPr>
      <w:r>
        <w:rPr>
          <w:b/>
          <w:i/>
          <w:sz w:val="20"/>
          <w:szCs w:val="20"/>
          <w:lang w:val="es-SV"/>
        </w:rPr>
        <w:t xml:space="preserve">Cabe mencionar que la información antes descrita la puede obtener en el siguiente link: </w:t>
      </w:r>
      <w:hyperlink r:id="rId10" w:history="1">
        <w:r w:rsidRPr="00937407">
          <w:rPr>
            <w:rStyle w:val="Hipervnculo"/>
            <w:b/>
            <w:i/>
            <w:sz w:val="20"/>
            <w:szCs w:val="20"/>
            <w:lang w:val="es-SV"/>
          </w:rPr>
          <w:t>https://www.medicamentos.gob.sv/index.php/es/servicios-m/en-linea/expediente-electronico</w:t>
        </w:r>
      </w:hyperlink>
      <w:r>
        <w:rPr>
          <w:b/>
          <w:i/>
          <w:sz w:val="20"/>
          <w:szCs w:val="20"/>
          <w:lang w:val="es-SV"/>
        </w:rPr>
        <w:t xml:space="preserve">  </w:t>
      </w:r>
    </w:p>
    <w:p w:rsidR="002D28C5" w:rsidRPr="00F45859" w:rsidRDefault="002D28C5" w:rsidP="002D28C5">
      <w:pPr>
        <w:pStyle w:val="Sinespaciado"/>
        <w:jc w:val="both"/>
        <w:rPr>
          <w:b/>
          <w:i/>
          <w:sz w:val="20"/>
          <w:szCs w:val="20"/>
          <w:lang w:val="es-SV"/>
        </w:rPr>
      </w:pPr>
      <w:r w:rsidRPr="00F45859">
        <w:rPr>
          <w:b/>
          <w:i/>
          <w:sz w:val="20"/>
          <w:szCs w:val="20"/>
          <w:lang w:val="es-SV"/>
        </w:rPr>
        <w:t>””””””””””””””””””””””””””””””””””””””””””””””””””””””””””””””””””””””””””””””””””””””””””””””””””””””””””””</w:t>
      </w:r>
    </w:p>
    <w:p w:rsidR="00990914" w:rsidRPr="00CA7F42" w:rsidRDefault="00990914" w:rsidP="00FB5FCB">
      <w:pPr>
        <w:pStyle w:val="Sinespaciado"/>
        <w:tabs>
          <w:tab w:val="center" w:pos="4702"/>
          <w:tab w:val="left" w:pos="6840"/>
        </w:tabs>
      </w:pPr>
    </w:p>
    <w:sectPr w:rsidR="00990914" w:rsidRPr="00CA7F42" w:rsidSect="00051AE3">
      <w:headerReference w:type="default" r:id="rId11"/>
      <w:footerReference w:type="default" r:id="rId12"/>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3" name="Imagen 3"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AF"/>
    <w:multiLevelType w:val="hybridMultilevel"/>
    <w:tmpl w:val="5FA0D260"/>
    <w:lvl w:ilvl="0" w:tplc="C7A800F0">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3E20930"/>
    <w:multiLevelType w:val="hybridMultilevel"/>
    <w:tmpl w:val="48D0AC6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2"/>
  </w:num>
  <w:num w:numId="5">
    <w:abstractNumId w:val="14"/>
  </w:num>
  <w:num w:numId="6">
    <w:abstractNumId w:val="13"/>
  </w:num>
  <w:num w:numId="7">
    <w:abstractNumId w:val="16"/>
  </w:num>
  <w:num w:numId="8">
    <w:abstractNumId w:val="7"/>
  </w:num>
  <w:num w:numId="9">
    <w:abstractNumId w:val="8"/>
  </w:num>
  <w:num w:numId="10">
    <w:abstractNumId w:val="4"/>
  </w:num>
  <w:num w:numId="11">
    <w:abstractNumId w:val="12"/>
  </w:num>
  <w:num w:numId="12">
    <w:abstractNumId w:val="3"/>
  </w:num>
  <w:num w:numId="13">
    <w:abstractNumId w:val="6"/>
  </w:num>
  <w:num w:numId="14">
    <w:abstractNumId w:val="1"/>
  </w:num>
  <w:num w:numId="15">
    <w:abstractNumId w:val="5"/>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2479B"/>
    <w:rsid w:val="00051AE3"/>
    <w:rsid w:val="000578A1"/>
    <w:rsid w:val="000E12A5"/>
    <w:rsid w:val="00162D43"/>
    <w:rsid w:val="001F3FDF"/>
    <w:rsid w:val="0023277C"/>
    <w:rsid w:val="0024071F"/>
    <w:rsid w:val="00244D7D"/>
    <w:rsid w:val="00272251"/>
    <w:rsid w:val="002B4E7D"/>
    <w:rsid w:val="002D28C5"/>
    <w:rsid w:val="002E4FF6"/>
    <w:rsid w:val="00325536"/>
    <w:rsid w:val="003751FC"/>
    <w:rsid w:val="0038059B"/>
    <w:rsid w:val="003A7E82"/>
    <w:rsid w:val="004347A6"/>
    <w:rsid w:val="004522A7"/>
    <w:rsid w:val="004A3F87"/>
    <w:rsid w:val="004A6F38"/>
    <w:rsid w:val="00542A08"/>
    <w:rsid w:val="00560A0A"/>
    <w:rsid w:val="005923F9"/>
    <w:rsid w:val="005A0D02"/>
    <w:rsid w:val="00604C63"/>
    <w:rsid w:val="0061583A"/>
    <w:rsid w:val="00615B91"/>
    <w:rsid w:val="006A02A5"/>
    <w:rsid w:val="006A5F12"/>
    <w:rsid w:val="0071797E"/>
    <w:rsid w:val="0073670F"/>
    <w:rsid w:val="00740A9A"/>
    <w:rsid w:val="00744356"/>
    <w:rsid w:val="007452FB"/>
    <w:rsid w:val="007F6026"/>
    <w:rsid w:val="00810386"/>
    <w:rsid w:val="0089518B"/>
    <w:rsid w:val="008A3DB7"/>
    <w:rsid w:val="00905359"/>
    <w:rsid w:val="00910A2C"/>
    <w:rsid w:val="00936E45"/>
    <w:rsid w:val="0097671D"/>
    <w:rsid w:val="00990914"/>
    <w:rsid w:val="00A3429D"/>
    <w:rsid w:val="00AA4700"/>
    <w:rsid w:val="00AC3A26"/>
    <w:rsid w:val="00B91896"/>
    <w:rsid w:val="00BC31EF"/>
    <w:rsid w:val="00BD0A2D"/>
    <w:rsid w:val="00BF3DE8"/>
    <w:rsid w:val="00C13488"/>
    <w:rsid w:val="00C57C4A"/>
    <w:rsid w:val="00C7422B"/>
    <w:rsid w:val="00CA7F42"/>
    <w:rsid w:val="00CB4262"/>
    <w:rsid w:val="00CB434A"/>
    <w:rsid w:val="00CF2B41"/>
    <w:rsid w:val="00D62971"/>
    <w:rsid w:val="00D95243"/>
    <w:rsid w:val="00DD1F79"/>
    <w:rsid w:val="00E840F5"/>
    <w:rsid w:val="00EA3032"/>
    <w:rsid w:val="00EB71F1"/>
    <w:rsid w:val="00F04B74"/>
    <w:rsid w:val="00F06BE7"/>
    <w:rsid w:val="00F225A1"/>
    <w:rsid w:val="00F301FD"/>
    <w:rsid w:val="00F45859"/>
    <w:rsid w:val="00F666C8"/>
    <w:rsid w:val="00F6757B"/>
    <w:rsid w:val="00F91FD1"/>
    <w:rsid w:val="00FB5FC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F225A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76003717">
      <w:bodyDiv w:val="1"/>
      <w:marLeft w:val="0"/>
      <w:marRight w:val="0"/>
      <w:marTop w:val="0"/>
      <w:marBottom w:val="0"/>
      <w:divBdr>
        <w:top w:val="none" w:sz="0" w:space="0" w:color="auto"/>
        <w:left w:val="none" w:sz="0" w:space="0" w:color="auto"/>
        <w:bottom w:val="none" w:sz="0" w:space="0" w:color="auto"/>
        <w:right w:val="none" w:sz="0" w:space="0" w:color="auto"/>
      </w:divBdr>
    </w:div>
    <w:div w:id="770659622">
      <w:bodyDiv w:val="1"/>
      <w:marLeft w:val="0"/>
      <w:marRight w:val="0"/>
      <w:marTop w:val="0"/>
      <w:marBottom w:val="0"/>
      <w:divBdr>
        <w:top w:val="none" w:sz="0" w:space="0" w:color="auto"/>
        <w:left w:val="none" w:sz="0" w:space="0" w:color="auto"/>
        <w:bottom w:val="none" w:sz="0" w:space="0" w:color="auto"/>
        <w:right w:val="none" w:sz="0" w:space="0" w:color="auto"/>
      </w:divBdr>
    </w:div>
    <w:div w:id="849758540">
      <w:bodyDiv w:val="1"/>
      <w:marLeft w:val="0"/>
      <w:marRight w:val="0"/>
      <w:marTop w:val="0"/>
      <w:marBottom w:val="0"/>
      <w:divBdr>
        <w:top w:val="none" w:sz="0" w:space="0" w:color="auto"/>
        <w:left w:val="none" w:sz="0" w:space="0" w:color="auto"/>
        <w:bottom w:val="none" w:sz="0" w:space="0" w:color="auto"/>
        <w:right w:val="none" w:sz="0" w:space="0" w:color="auto"/>
      </w:divBdr>
    </w:div>
    <w:div w:id="1378162341">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edicamentos.gob.sv/index.php/es/servicios-m/en-linea/expediente-electronico" TargetMode="External"/><Relationship Id="rId4" Type="http://schemas.openxmlformats.org/officeDocument/2006/relationships/settings" Target="settings.xml"/><Relationship Id="rId9" Type="http://schemas.openxmlformats.org/officeDocument/2006/relationships/hyperlink" Target="https://www.medicamentos.gob.sv/index.php/es/servicios-m/en-linea/expediente-electroni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480AD-A940-4CD6-B34E-38C849BF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1934</Words>
  <Characters>10637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5</cp:revision>
  <cp:lastPrinted>2020-10-08T18:20:00Z</cp:lastPrinted>
  <dcterms:created xsi:type="dcterms:W3CDTF">2021-04-22T20:54:00Z</dcterms:created>
  <dcterms:modified xsi:type="dcterms:W3CDTF">2021-04-23T16:25:00Z</dcterms:modified>
</cp:coreProperties>
</file>