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E3" w:rsidRPr="00F4150B" w:rsidRDefault="00051AE3" w:rsidP="00051AE3">
      <w:pPr>
        <w:pStyle w:val="Sinespaciado"/>
        <w:jc w:val="right"/>
        <w:rPr>
          <w:sz w:val="20"/>
          <w:szCs w:val="20"/>
          <w:lang w:val="es-SV"/>
        </w:rPr>
      </w:pPr>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w:t>
      </w:r>
      <w:r w:rsidR="00A267F5">
        <w:rPr>
          <w:sz w:val="20"/>
          <w:szCs w:val="20"/>
          <w:lang w:val="es-SV"/>
        </w:rPr>
        <w:t>6</w:t>
      </w:r>
      <w:r w:rsidR="00682556">
        <w:rPr>
          <w:sz w:val="20"/>
          <w:szCs w:val="20"/>
          <w:lang w:val="es-SV"/>
        </w:rPr>
        <w:t>7</w:t>
      </w:r>
    </w:p>
    <w:p w:rsidR="00051AE3" w:rsidRDefault="00051AE3" w:rsidP="00051AE3">
      <w:pPr>
        <w:pStyle w:val="Sinespaciado"/>
        <w:jc w:val="center"/>
        <w:rPr>
          <w:b/>
          <w:sz w:val="20"/>
          <w:szCs w:val="20"/>
          <w:lang w:val="es-SV"/>
        </w:rPr>
      </w:pPr>
    </w:p>
    <w:p w:rsidR="00051AE3" w:rsidRPr="00F4150B" w:rsidRDefault="00051AE3" w:rsidP="00051AE3">
      <w:pPr>
        <w:pStyle w:val="Sinespaciado"/>
        <w:jc w:val="center"/>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074BFD" w:rsidRPr="00074BFD">
        <w:rPr>
          <w:sz w:val="20"/>
          <w:szCs w:val="20"/>
          <w:lang w:val="es-SV"/>
        </w:rPr>
        <w:t xml:space="preserve">catorce </w:t>
      </w:r>
      <w:r w:rsidRPr="00074BFD">
        <w:rPr>
          <w:sz w:val="20"/>
          <w:szCs w:val="20"/>
          <w:lang w:val="es-SV"/>
        </w:rPr>
        <w:t xml:space="preserve">horas del día </w:t>
      </w:r>
      <w:r w:rsidR="00595449" w:rsidRPr="00074BFD">
        <w:rPr>
          <w:sz w:val="20"/>
          <w:szCs w:val="20"/>
          <w:lang w:val="es-SV"/>
        </w:rPr>
        <w:t>veinti</w:t>
      </w:r>
      <w:r w:rsidR="00682556">
        <w:rPr>
          <w:sz w:val="20"/>
          <w:szCs w:val="20"/>
          <w:lang w:val="es-SV"/>
        </w:rPr>
        <w:t>si</w:t>
      </w:r>
      <w:r w:rsidR="00074BFD">
        <w:rPr>
          <w:sz w:val="20"/>
          <w:szCs w:val="20"/>
          <w:lang w:val="es-SV"/>
        </w:rPr>
        <w:t>ete</w:t>
      </w:r>
      <w:r w:rsidR="00595449">
        <w:rPr>
          <w:sz w:val="20"/>
          <w:szCs w:val="20"/>
          <w:lang w:val="es-SV"/>
        </w:rPr>
        <w:t xml:space="preserve"> </w:t>
      </w:r>
      <w:r w:rsidR="008623F9">
        <w:rPr>
          <w:sz w:val="20"/>
          <w:szCs w:val="20"/>
          <w:lang w:val="es-SV"/>
        </w:rPr>
        <w:t xml:space="preserve">de </w:t>
      </w:r>
      <w:r w:rsidR="00A267F5">
        <w:rPr>
          <w:sz w:val="20"/>
          <w:szCs w:val="20"/>
          <w:lang w:val="es-SV"/>
        </w:rPr>
        <w:t xml:space="preserve">agosto </w:t>
      </w:r>
      <w:r w:rsidRPr="00F4150B">
        <w:rPr>
          <w:sz w:val="20"/>
          <w:szCs w:val="20"/>
          <w:lang w:val="es-SV"/>
        </w:rPr>
        <w:t>de dos mil veinte.</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8E1EB1">
        <w:rPr>
          <w:sz w:val="20"/>
          <w:szCs w:val="20"/>
          <w:lang w:val="es-SV"/>
        </w:rPr>
        <w:t>catorce</w:t>
      </w:r>
      <w:r w:rsidR="008D6E6F">
        <w:rPr>
          <w:sz w:val="20"/>
          <w:szCs w:val="20"/>
          <w:lang w:val="es-SV"/>
        </w:rPr>
        <w:t xml:space="preserve"> </w:t>
      </w:r>
      <w:r w:rsidRPr="00F4150B">
        <w:rPr>
          <w:sz w:val="20"/>
          <w:szCs w:val="20"/>
          <w:lang w:val="es-SV"/>
        </w:rPr>
        <w:t>horas</w:t>
      </w:r>
      <w:r>
        <w:rPr>
          <w:sz w:val="20"/>
          <w:szCs w:val="20"/>
          <w:lang w:val="es-SV"/>
        </w:rPr>
        <w:t xml:space="preserve"> </w:t>
      </w:r>
      <w:r w:rsidR="00954D15">
        <w:rPr>
          <w:sz w:val="20"/>
          <w:szCs w:val="20"/>
          <w:lang w:val="es-SV"/>
        </w:rPr>
        <w:t xml:space="preserve">y </w:t>
      </w:r>
      <w:r w:rsidR="008E1EB1">
        <w:rPr>
          <w:sz w:val="20"/>
          <w:szCs w:val="20"/>
          <w:lang w:val="es-SV"/>
        </w:rPr>
        <w:t xml:space="preserve">treinta y un </w:t>
      </w:r>
      <w:r w:rsidR="00954D15">
        <w:rPr>
          <w:sz w:val="20"/>
          <w:szCs w:val="20"/>
          <w:lang w:val="es-SV"/>
        </w:rPr>
        <w:t xml:space="preserve">minutos </w:t>
      </w:r>
      <w:r w:rsidRPr="00F4150B">
        <w:rPr>
          <w:sz w:val="20"/>
          <w:szCs w:val="20"/>
          <w:lang w:val="es-SV"/>
        </w:rPr>
        <w:t xml:space="preserve">del día </w:t>
      </w:r>
      <w:r w:rsidR="008D6E6F">
        <w:rPr>
          <w:sz w:val="20"/>
          <w:szCs w:val="20"/>
          <w:lang w:val="es-SV"/>
        </w:rPr>
        <w:t>veinti</w:t>
      </w:r>
      <w:r w:rsidR="008E1EB1">
        <w:rPr>
          <w:sz w:val="20"/>
          <w:szCs w:val="20"/>
          <w:lang w:val="es-SV"/>
        </w:rPr>
        <w:t>cuatro</w:t>
      </w:r>
      <w:r w:rsidR="008D6E6F">
        <w:rPr>
          <w:sz w:val="20"/>
          <w:szCs w:val="20"/>
          <w:lang w:val="es-SV"/>
        </w:rPr>
        <w:t xml:space="preserve"> </w:t>
      </w:r>
      <w:r w:rsidR="00D03445">
        <w:rPr>
          <w:sz w:val="20"/>
          <w:szCs w:val="20"/>
          <w:lang w:val="es-SV"/>
        </w:rPr>
        <w:t>de</w:t>
      </w:r>
      <w:r w:rsidR="008D6E6F">
        <w:rPr>
          <w:sz w:val="20"/>
          <w:szCs w:val="20"/>
          <w:lang w:val="es-SV"/>
        </w:rPr>
        <w:t xml:space="preserve"> julio de</w:t>
      </w:r>
      <w:r w:rsidR="00D03445">
        <w:rPr>
          <w:sz w:val="20"/>
          <w:szCs w:val="20"/>
          <w:lang w:val="es-SV"/>
        </w:rPr>
        <w:t xml:space="preserve">l </w:t>
      </w:r>
      <w:r>
        <w:rPr>
          <w:sz w:val="20"/>
          <w:szCs w:val="20"/>
          <w:lang w:val="es-SV"/>
        </w:rPr>
        <w:t>presente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8D6E6F">
        <w:rPr>
          <w:sz w:val="20"/>
          <w:szCs w:val="20"/>
          <w:lang w:val="es-SV"/>
        </w:rPr>
        <w:t>6</w:t>
      </w:r>
      <w:r w:rsidR="00074BFD">
        <w:rPr>
          <w:sz w:val="20"/>
          <w:szCs w:val="20"/>
          <w:lang w:val="es-SV"/>
        </w:rPr>
        <w:t>7</w:t>
      </w:r>
      <w:r w:rsidRPr="00F4150B">
        <w:rPr>
          <w:sz w:val="20"/>
          <w:szCs w:val="20"/>
          <w:lang w:val="es-SV"/>
        </w:rPr>
        <w:t xml:space="preserve">, mediante la cual requiere se le entregue la siguiente información: </w:t>
      </w:r>
    </w:p>
    <w:p w:rsidR="00682556" w:rsidRDefault="000B0A18" w:rsidP="00682556">
      <w:pPr>
        <w:pStyle w:val="Prrafodelista"/>
        <w:numPr>
          <w:ilvl w:val="0"/>
          <w:numId w:val="15"/>
        </w:numPr>
        <w:spacing w:before="100" w:beforeAutospacing="1" w:after="100" w:afterAutospacing="1" w:line="240" w:lineRule="auto"/>
        <w:jc w:val="both"/>
        <w:rPr>
          <w:rFonts w:eastAsia="Times New Roman"/>
          <w:b/>
          <w:i/>
          <w:sz w:val="20"/>
          <w:szCs w:val="20"/>
        </w:rPr>
      </w:pPr>
      <w:r>
        <w:rPr>
          <w:rFonts w:eastAsia="Times New Roman"/>
          <w:b/>
          <w:i/>
          <w:sz w:val="20"/>
          <w:szCs w:val="20"/>
        </w:rPr>
        <w:t xml:space="preserve"> </w:t>
      </w:r>
      <w:r w:rsidR="00682556">
        <w:rPr>
          <w:rFonts w:eastAsia="Times New Roman"/>
          <w:b/>
          <w:i/>
          <w:sz w:val="20"/>
          <w:szCs w:val="20"/>
        </w:rPr>
        <w:t>“Una copia del listado de empresas o titulares de empresas a los que la Dirección Nacional de Medicamentos ha brindado la autorización especial para importar y comercializar pruebas PCR, pruebas de anticuerpo IGG e IGM y cualquier otra relacionada a la detección del Covid-19, tal como establece el artículo 1 del decreto 688 que contiene las “Disposiciones especiales y transitorias aplicables a la importación, fabricación y comercialización de productos sanitarios necesarios para combatir la pandemia por Covid-19”, entre el 1 de enero y el 1 de agosto de 2020.</w:t>
      </w:r>
    </w:p>
    <w:p w:rsidR="00682556" w:rsidRDefault="00682556" w:rsidP="00682556">
      <w:pPr>
        <w:pStyle w:val="Prrafodelista"/>
        <w:numPr>
          <w:ilvl w:val="0"/>
          <w:numId w:val="15"/>
        </w:numPr>
        <w:spacing w:before="100" w:beforeAutospacing="1" w:after="100" w:afterAutospacing="1" w:line="240" w:lineRule="auto"/>
        <w:jc w:val="both"/>
        <w:rPr>
          <w:rFonts w:eastAsia="Times New Roman"/>
          <w:b/>
          <w:i/>
          <w:sz w:val="20"/>
          <w:szCs w:val="20"/>
        </w:rPr>
      </w:pPr>
      <w:r>
        <w:rPr>
          <w:rFonts w:eastAsia="Times New Roman"/>
          <w:b/>
          <w:i/>
          <w:sz w:val="20"/>
          <w:szCs w:val="20"/>
        </w:rPr>
        <w:t>Una copia del listado de personas naturales o jurídicas a los que la Dirección Nacional de Medicamentos ha brindado la autorización especial para importar y comercializar pruebas PCR, pruebas de anticuerpo IGG e IGM y cualquier otra relacionada a la detección del Covid-19, tal como establece el artículo 1 del decreto 688 que contiene las “Disposiciones especiales y transitorias aplicables a la importación, fabricación y comercialización de productos sanitarios necesarios para combatir la pandemia por Covid-19”, entre el 1 de enero y el 1 de agosto de 2020.</w:t>
      </w:r>
    </w:p>
    <w:p w:rsidR="00682556" w:rsidRDefault="00682556" w:rsidP="00682556">
      <w:pPr>
        <w:pStyle w:val="Prrafodelista"/>
        <w:numPr>
          <w:ilvl w:val="0"/>
          <w:numId w:val="15"/>
        </w:numPr>
        <w:spacing w:before="100" w:beforeAutospacing="1" w:after="100" w:afterAutospacing="1" w:line="240" w:lineRule="auto"/>
        <w:jc w:val="both"/>
        <w:rPr>
          <w:rFonts w:eastAsia="Times New Roman"/>
          <w:b/>
          <w:i/>
          <w:sz w:val="20"/>
          <w:szCs w:val="20"/>
        </w:rPr>
      </w:pPr>
      <w:r>
        <w:rPr>
          <w:rFonts w:eastAsia="Times New Roman"/>
          <w:b/>
          <w:i/>
          <w:sz w:val="20"/>
          <w:szCs w:val="20"/>
        </w:rPr>
        <w:t>Un listado de las pruebas PCR, pruebas de anticuerpo IGG e IGM y cualquier otra relacionada a la detección del Covid-19 que estén aprobadas por la Dirección Nacional de Medicamentos para su uso a nivel nacional y que estén catalogadas por la OMS como nivel IV, hasta el 13 de agosto de 2020.</w:t>
      </w:r>
    </w:p>
    <w:p w:rsidR="00682556" w:rsidRDefault="00682556" w:rsidP="00682556">
      <w:pPr>
        <w:pStyle w:val="Prrafodelista"/>
        <w:numPr>
          <w:ilvl w:val="0"/>
          <w:numId w:val="15"/>
        </w:numPr>
        <w:spacing w:before="100" w:beforeAutospacing="1" w:after="100" w:afterAutospacing="1" w:line="240" w:lineRule="auto"/>
        <w:jc w:val="both"/>
        <w:rPr>
          <w:rFonts w:eastAsia="Times New Roman"/>
          <w:b/>
          <w:i/>
          <w:sz w:val="20"/>
          <w:szCs w:val="20"/>
        </w:rPr>
      </w:pPr>
      <w:r>
        <w:rPr>
          <w:rFonts w:eastAsia="Times New Roman"/>
          <w:b/>
          <w:i/>
          <w:sz w:val="20"/>
          <w:szCs w:val="20"/>
        </w:rPr>
        <w:t xml:space="preserve">Un listado de los laboratorios que han sido autorizados por la Dirección Nacional de Medicamentos para fabricación y comercialización de alcohol gel, soluciones alcohólicas </w:t>
      </w:r>
      <w:proofErr w:type="spellStart"/>
      <w:r>
        <w:rPr>
          <w:rFonts w:eastAsia="Times New Roman"/>
          <w:b/>
          <w:i/>
          <w:sz w:val="20"/>
          <w:szCs w:val="20"/>
        </w:rPr>
        <w:t>higienizantes</w:t>
      </w:r>
      <w:proofErr w:type="spellEnd"/>
      <w:r>
        <w:rPr>
          <w:rFonts w:eastAsia="Times New Roman"/>
          <w:b/>
          <w:i/>
          <w:sz w:val="20"/>
          <w:szCs w:val="20"/>
        </w:rPr>
        <w:t xml:space="preserve"> y cualquier otro medicamento o producto para combatir la pandemia por Covid-19, entre el 1 de septiembre de 2019 y el 13 de agosto de 2020.</w:t>
      </w:r>
    </w:p>
    <w:p w:rsidR="0097429D" w:rsidRPr="008E1EB1" w:rsidRDefault="00682556" w:rsidP="00682556">
      <w:pPr>
        <w:numPr>
          <w:ilvl w:val="0"/>
          <w:numId w:val="15"/>
        </w:numPr>
        <w:spacing w:before="100" w:beforeAutospacing="1" w:after="100" w:afterAutospacing="1" w:line="240" w:lineRule="auto"/>
        <w:jc w:val="both"/>
        <w:rPr>
          <w:rFonts w:eastAsia="Times New Roman"/>
          <w:b/>
          <w:i/>
          <w:sz w:val="20"/>
          <w:szCs w:val="20"/>
        </w:rPr>
      </w:pPr>
      <w:r>
        <w:rPr>
          <w:rFonts w:eastAsia="Times New Roman"/>
          <w:b/>
          <w:i/>
          <w:sz w:val="20"/>
          <w:szCs w:val="20"/>
        </w:rPr>
        <w:t>Una copia del listado de importadores debidamente inscritos ante la Dirección Nacional de Medicamentos entre el 1 de enero de 2019 y el 13 de agosto de 2020</w:t>
      </w:r>
      <w:r w:rsidR="008E1EB1" w:rsidRPr="008E1EB1">
        <w:rPr>
          <w:rFonts w:eastAsia="Times New Roman"/>
          <w:b/>
          <w:i/>
          <w:sz w:val="20"/>
          <w:szCs w:val="20"/>
        </w:rPr>
        <w:t>.</w:t>
      </w:r>
      <w:r w:rsidR="0097429D" w:rsidRPr="008E1EB1">
        <w:rPr>
          <w:rFonts w:eastAsia="Times New Roman"/>
          <w:b/>
          <w:bCs/>
          <w:i/>
          <w:iCs/>
          <w:sz w:val="20"/>
          <w:szCs w:val="20"/>
        </w:rPr>
        <w:t xml:space="preserve">” </w:t>
      </w:r>
    </w:p>
    <w:p w:rsidR="00051AE3"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D03445" w:rsidRPr="00D03445" w:rsidRDefault="00D03445" w:rsidP="00D03445">
      <w:pPr>
        <w:pStyle w:val="Sinespaciado"/>
        <w:numPr>
          <w:ilvl w:val="0"/>
          <w:numId w:val="11"/>
        </w:numPr>
        <w:ind w:left="709" w:hanging="425"/>
        <w:jc w:val="both"/>
        <w:rPr>
          <w:sz w:val="20"/>
          <w:szCs w:val="20"/>
          <w:lang w:val="es-SV"/>
        </w:rPr>
      </w:pPr>
      <w:r w:rsidRPr="00D03445">
        <w:rPr>
          <w:sz w:val="20"/>
          <w:szCs w:val="20"/>
          <w:lang w:val="es-SV"/>
        </w:rPr>
        <w:lastRenderedPageBreak/>
        <w:t xml:space="preserve">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la </w:t>
      </w:r>
      <w:r w:rsidR="00706564">
        <w:rPr>
          <w:sz w:val="20"/>
          <w:szCs w:val="20"/>
          <w:lang w:val="es-SV"/>
        </w:rPr>
        <w:t>DNM</w:t>
      </w:r>
      <w:r w:rsidRPr="00B077C3">
        <w:rPr>
          <w:sz w:val="20"/>
          <w:szCs w:val="20"/>
          <w:lang w:val="es-ES"/>
        </w:rPr>
        <w:t xml:space="preserve">. </w:t>
      </w:r>
    </w:p>
    <w:p w:rsidR="00051AE3" w:rsidRDefault="00051AE3" w:rsidP="00051AE3">
      <w:pPr>
        <w:pStyle w:val="Sinespaciado"/>
        <w:ind w:left="709"/>
        <w:jc w:val="both"/>
        <w:rPr>
          <w:sz w:val="20"/>
          <w:szCs w:val="20"/>
          <w:lang w:val="es-SV"/>
        </w:rPr>
      </w:pPr>
    </w:p>
    <w:p w:rsidR="00FF40D4" w:rsidRDefault="00051AE3" w:rsidP="00FF40D4">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w:t>
      </w:r>
      <w:r w:rsidR="00706564">
        <w:rPr>
          <w:sz w:val="20"/>
          <w:szCs w:val="20"/>
          <w:lang w:val="es-SV"/>
        </w:rPr>
        <w:t xml:space="preserve">como </w:t>
      </w:r>
      <w:r w:rsidR="00706564" w:rsidRPr="00F4150B">
        <w:rPr>
          <w:sz w:val="20"/>
          <w:szCs w:val="20"/>
          <w:lang w:val="es-SV"/>
        </w:rPr>
        <w:t>atribución</w:t>
      </w:r>
      <w:r w:rsidRPr="00F4150B">
        <w:rPr>
          <w:sz w:val="20"/>
          <w:szCs w:val="20"/>
          <w:lang w:val="es-SV"/>
        </w:rPr>
        <w:t xml:space="preserve">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r w:rsidR="00FF40D4">
        <w:rPr>
          <w:sz w:val="20"/>
          <w:szCs w:val="20"/>
          <w:lang w:val="es-SV"/>
        </w:rPr>
        <w:t>, en relación</w:t>
      </w:r>
      <w:r w:rsidR="00FF40D4" w:rsidRPr="00FF40D4">
        <w:rPr>
          <w:sz w:val="20"/>
          <w:szCs w:val="20"/>
          <w:lang w:val="es-SV"/>
        </w:rPr>
        <w:t xml:space="preserve"> </w:t>
      </w:r>
      <w:r w:rsidR="00FF40D4">
        <w:rPr>
          <w:sz w:val="20"/>
          <w:szCs w:val="20"/>
          <w:lang w:val="es-SV"/>
        </w:rPr>
        <w:t>a</w:t>
      </w:r>
      <w:r w:rsidR="00FF40D4" w:rsidRPr="000E7F00">
        <w:rPr>
          <w:sz w:val="20"/>
          <w:szCs w:val="20"/>
          <w:lang w:val="es-SV"/>
        </w:rPr>
        <w:t xml:space="preserve">l art. 71 LAIP </w:t>
      </w:r>
      <w:r w:rsidR="00FF40D4">
        <w:rPr>
          <w:sz w:val="20"/>
          <w:szCs w:val="20"/>
          <w:lang w:val="es-SV"/>
        </w:rPr>
        <w:t xml:space="preserve">que determina el plazo máximo de respuesta </w:t>
      </w:r>
      <w:r w:rsidR="00FF40D4" w:rsidRPr="000E7F00">
        <w:rPr>
          <w:sz w:val="20"/>
          <w:szCs w:val="20"/>
          <w:lang w:val="es-SV"/>
        </w:rPr>
        <w:t>por la complejidad de la información</w:t>
      </w:r>
      <w:r w:rsidR="00FF40D4">
        <w:rPr>
          <w:sz w:val="20"/>
          <w:szCs w:val="20"/>
          <w:lang w:val="es-SV"/>
        </w:rPr>
        <w:t xml:space="preserve">, </w:t>
      </w:r>
      <w:r w:rsidR="00FF40D4" w:rsidRPr="000E7F00">
        <w:rPr>
          <w:sz w:val="20"/>
          <w:szCs w:val="20"/>
          <w:lang w:val="es-SV"/>
        </w:rPr>
        <w:t xml:space="preserve"> </w:t>
      </w:r>
      <w:r w:rsidR="00FF40D4">
        <w:rPr>
          <w:sz w:val="20"/>
          <w:szCs w:val="20"/>
          <w:lang w:val="es-SV"/>
        </w:rPr>
        <w:t xml:space="preserve">pudiendo </w:t>
      </w:r>
      <w:r w:rsidR="00FF40D4" w:rsidRPr="000E7F00">
        <w:rPr>
          <w:sz w:val="20"/>
          <w:szCs w:val="20"/>
          <w:lang w:val="es-SV"/>
        </w:rPr>
        <w:t>disponer de un plazo adicional de cinco días hábiles</w:t>
      </w:r>
      <w:r w:rsidR="00B8787E">
        <w:rPr>
          <w:sz w:val="20"/>
          <w:szCs w:val="20"/>
          <w:lang w:val="es-SV"/>
        </w:rPr>
        <w:t xml:space="preserve">. </w:t>
      </w:r>
    </w:p>
    <w:p w:rsidR="00B8787E" w:rsidRDefault="00B8787E" w:rsidP="00B8787E">
      <w:pPr>
        <w:pStyle w:val="Sinespaciado"/>
        <w:ind w:left="709"/>
        <w:jc w:val="both"/>
        <w:rPr>
          <w:sz w:val="20"/>
          <w:szCs w:val="20"/>
          <w:lang w:val="es-SV"/>
        </w:rPr>
      </w:pPr>
    </w:p>
    <w:p w:rsidR="00B8787E" w:rsidRPr="000E7F00" w:rsidRDefault="00B8787E" w:rsidP="00FF40D4">
      <w:pPr>
        <w:pStyle w:val="Sinespaciado"/>
        <w:numPr>
          <w:ilvl w:val="0"/>
          <w:numId w:val="11"/>
        </w:numPr>
        <w:ind w:left="709" w:hanging="425"/>
        <w:jc w:val="both"/>
        <w:rPr>
          <w:sz w:val="20"/>
          <w:szCs w:val="20"/>
          <w:lang w:val="es-SV"/>
        </w:rPr>
      </w:pPr>
      <w:r w:rsidRPr="00B8787E">
        <w:rPr>
          <w:sz w:val="20"/>
          <w:szCs w:val="20"/>
          <w:lang w:val="es-SV"/>
        </w:rPr>
        <w:t xml:space="preserve">De acuerdo a lo establecido en el artículo 66, inciso tercero de la LAIP si </w:t>
      </w:r>
      <w:r>
        <w:rPr>
          <w:sz w:val="20"/>
          <w:szCs w:val="20"/>
          <w:lang w:val="es-ES_tradnl"/>
        </w:rPr>
        <w:t>los detalles proporcionados por el solicitante no bastasen para localizar la información pública o son erróneos, el Oficial de Información podrá requerir, por una vez y dentro de los tres días hábiles siguientes a la presentación de la solicitud, que indique otros elementos o corrija los datos. Este requerimiento interrumpirá el plazo de entrega de la información</w:t>
      </w:r>
    </w:p>
    <w:p w:rsidR="00426A3A" w:rsidRDefault="00426A3A" w:rsidP="00426A3A">
      <w:pPr>
        <w:pStyle w:val="Sinespaciado"/>
        <w:ind w:left="709"/>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CB1651"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C80F23">
        <w:rPr>
          <w:sz w:val="20"/>
          <w:szCs w:val="20"/>
          <w:lang w:val="es-SV"/>
        </w:rPr>
        <w:t>6</w:t>
      </w:r>
      <w:r w:rsidR="00B8787E">
        <w:rPr>
          <w:sz w:val="20"/>
          <w:szCs w:val="20"/>
          <w:lang w:val="es-SV"/>
        </w:rPr>
        <w:t>7</w:t>
      </w:r>
      <w:r w:rsidRPr="00F4150B">
        <w:rPr>
          <w:sz w:val="20"/>
          <w:szCs w:val="20"/>
          <w:lang w:val="es-SV"/>
        </w:rPr>
        <w:t>, a</w:t>
      </w:r>
      <w:r w:rsidR="0097429D">
        <w:rPr>
          <w:sz w:val="20"/>
          <w:szCs w:val="20"/>
          <w:lang w:val="es-SV"/>
        </w:rPr>
        <w:t xml:space="preserve"> </w:t>
      </w:r>
      <w:r w:rsidRPr="00F4150B">
        <w:rPr>
          <w:sz w:val="20"/>
          <w:szCs w:val="20"/>
          <w:lang w:val="es-SV"/>
        </w:rPr>
        <w:t>l</w:t>
      </w:r>
      <w:r w:rsidR="0097429D">
        <w:rPr>
          <w:sz w:val="20"/>
          <w:szCs w:val="20"/>
          <w:lang w:val="es-SV"/>
        </w:rPr>
        <w:t>a</w:t>
      </w:r>
      <w:r w:rsidRPr="00F4150B">
        <w:rPr>
          <w:sz w:val="20"/>
          <w:szCs w:val="20"/>
          <w:lang w:val="es-SV"/>
        </w:rPr>
        <w:t xml:space="preserve"> </w:t>
      </w:r>
      <w:r w:rsidR="0097429D">
        <w:rPr>
          <w:sz w:val="20"/>
          <w:szCs w:val="20"/>
          <w:lang w:val="es-SV"/>
        </w:rPr>
        <w:t>Unidad de</w:t>
      </w:r>
      <w:r w:rsidR="0038004E">
        <w:rPr>
          <w:sz w:val="20"/>
          <w:szCs w:val="20"/>
          <w:lang w:val="es-SV"/>
        </w:rPr>
        <w:t xml:space="preserve"> Registro de Establecimientos y Poderes, Unidad de</w:t>
      </w:r>
      <w:r w:rsidR="0097429D">
        <w:rPr>
          <w:sz w:val="20"/>
          <w:szCs w:val="20"/>
          <w:lang w:val="es-SV"/>
        </w:rPr>
        <w:t xml:space="preserve"> Importaciones, Exportaciones y Donaciones de Medicamentos </w:t>
      </w:r>
      <w:r w:rsidR="0038004E">
        <w:rPr>
          <w:sz w:val="20"/>
          <w:szCs w:val="20"/>
          <w:lang w:val="es-SV"/>
        </w:rPr>
        <w:t>y</w:t>
      </w:r>
      <w:r w:rsidR="0038004E" w:rsidRPr="0038004E">
        <w:rPr>
          <w:sz w:val="20"/>
          <w:szCs w:val="20"/>
          <w:lang w:val="es-SV"/>
        </w:rPr>
        <w:t xml:space="preserve"> al área de Registro de Dispositivos Médicos, Cosméticos e Higiénicos de esta Dirección</w:t>
      </w:r>
      <w:r w:rsidRPr="00F4150B">
        <w:rPr>
          <w:sz w:val="20"/>
          <w:szCs w:val="20"/>
          <w:lang w:val="es-SV"/>
        </w:rPr>
        <w:t>, la</w:t>
      </w:r>
      <w:r w:rsidR="0038004E">
        <w:rPr>
          <w:sz w:val="20"/>
          <w:szCs w:val="20"/>
          <w:lang w:val="es-SV"/>
        </w:rPr>
        <w:t>s</w:t>
      </w:r>
      <w:r w:rsidRPr="00F4150B">
        <w:rPr>
          <w:sz w:val="20"/>
          <w:szCs w:val="20"/>
          <w:lang w:val="es-SV"/>
        </w:rPr>
        <w:t xml:space="preserve"> cual</w:t>
      </w:r>
      <w:r w:rsidR="0038004E">
        <w:rPr>
          <w:sz w:val="20"/>
          <w:szCs w:val="20"/>
          <w:lang w:val="es-SV"/>
        </w:rPr>
        <w:t>es</w:t>
      </w:r>
      <w:r w:rsidRPr="00F4150B">
        <w:rPr>
          <w:sz w:val="20"/>
          <w:szCs w:val="20"/>
          <w:lang w:val="es-SV"/>
        </w:rPr>
        <w:t xml:space="preserve"> </w:t>
      </w:r>
      <w:r w:rsidR="00CB1651">
        <w:rPr>
          <w:sz w:val="20"/>
          <w:szCs w:val="20"/>
          <w:lang w:val="es-SV"/>
        </w:rPr>
        <w:t>remiti</w:t>
      </w:r>
      <w:r w:rsidR="0038004E">
        <w:rPr>
          <w:sz w:val="20"/>
          <w:szCs w:val="20"/>
          <w:lang w:val="es-SV"/>
        </w:rPr>
        <w:t>eron</w:t>
      </w:r>
      <w:r>
        <w:rPr>
          <w:sz w:val="20"/>
          <w:szCs w:val="20"/>
          <w:lang w:val="es-SV"/>
        </w:rPr>
        <w:t xml:space="preserve"> la información solicitada</w:t>
      </w:r>
      <w:r w:rsidR="004739F1">
        <w:rPr>
          <w:sz w:val="20"/>
          <w:szCs w:val="20"/>
          <w:lang w:val="es-SV"/>
        </w:rPr>
        <w:t xml:space="preserve">, </w:t>
      </w:r>
      <w:r w:rsidR="00074BFD">
        <w:rPr>
          <w:sz w:val="20"/>
          <w:szCs w:val="20"/>
          <w:lang w:val="es-SV"/>
        </w:rPr>
        <w:t xml:space="preserve">manifestando: </w:t>
      </w:r>
      <w:r w:rsidR="00CB1651">
        <w:rPr>
          <w:sz w:val="20"/>
          <w:szCs w:val="20"/>
          <w:lang w:val="es-SV"/>
        </w:rPr>
        <w:t xml:space="preserve"> </w:t>
      </w:r>
    </w:p>
    <w:p w:rsidR="001838AF" w:rsidRDefault="001838AF" w:rsidP="00051AE3">
      <w:pPr>
        <w:pStyle w:val="Sinespaciado"/>
        <w:jc w:val="both"/>
        <w:rPr>
          <w:sz w:val="20"/>
          <w:szCs w:val="20"/>
          <w:lang w:val="es-SV"/>
        </w:rPr>
      </w:pPr>
    </w:p>
    <w:p w:rsidR="009D0654" w:rsidRDefault="003F7FBD" w:rsidP="003F7FBD">
      <w:pPr>
        <w:spacing w:after="0" w:line="240" w:lineRule="auto"/>
        <w:jc w:val="both"/>
        <w:rPr>
          <w:b/>
          <w:i/>
          <w:sz w:val="20"/>
          <w:szCs w:val="20"/>
        </w:rPr>
      </w:pPr>
      <w:r w:rsidRPr="003F7FBD">
        <w:rPr>
          <w:b/>
          <w:i/>
          <w:sz w:val="20"/>
          <w:szCs w:val="20"/>
        </w:rPr>
        <w:t>“””””””“”””</w:t>
      </w:r>
      <w:r>
        <w:rPr>
          <w:b/>
          <w:i/>
          <w:sz w:val="20"/>
          <w:szCs w:val="20"/>
        </w:rPr>
        <w:t>”</w:t>
      </w:r>
      <w:r w:rsidRPr="003F7FBD">
        <w:rPr>
          <w:b/>
          <w:i/>
          <w:sz w:val="20"/>
          <w:szCs w:val="20"/>
        </w:rPr>
        <w:t>””””””””””””””””””””””””””””””””””””””””””””””””””””””””””””””””””””””””””””””””””””””””””””””””</w:t>
      </w:r>
    </w:p>
    <w:p w:rsidR="00074BFD" w:rsidRPr="0017086F" w:rsidRDefault="00074BFD" w:rsidP="00E24585">
      <w:pPr>
        <w:spacing w:after="0" w:line="240" w:lineRule="auto"/>
        <w:jc w:val="both"/>
        <w:rPr>
          <w:b/>
          <w:i/>
          <w:sz w:val="20"/>
          <w:szCs w:val="20"/>
          <w:u w:val="single"/>
        </w:rPr>
      </w:pPr>
      <w:r w:rsidRPr="0017086F">
        <w:rPr>
          <w:b/>
          <w:i/>
          <w:sz w:val="20"/>
          <w:szCs w:val="20"/>
          <w:u w:val="single"/>
        </w:rPr>
        <w:t xml:space="preserve">En relación al requerimiento 1 y 2: </w:t>
      </w:r>
    </w:p>
    <w:p w:rsidR="00074BFD" w:rsidRDefault="00074BFD" w:rsidP="00E24585">
      <w:pPr>
        <w:spacing w:after="0" w:line="240" w:lineRule="auto"/>
        <w:jc w:val="both"/>
        <w:rPr>
          <w:b/>
          <w:i/>
          <w:sz w:val="20"/>
          <w:szCs w:val="20"/>
        </w:rPr>
      </w:pPr>
      <w:r>
        <w:rPr>
          <w:b/>
          <w:i/>
          <w:sz w:val="20"/>
          <w:szCs w:val="20"/>
        </w:rPr>
        <w:t>Que se han verificado los registros de permisos especiales de importación que esta unidad ha emitido en el periodo del 1 de enero al 1 de agosto del 2020 pudiendo constatar que no se han otorgado permisos especiales de importación y comercialización de los productos pruebas PCR, Pruebas de anticuerpos IGG e IGM y cualquier otra relacionada a la detección del COVID-19 a empresas o titulares de empresas, personas naturales o jurídicas</w:t>
      </w:r>
      <w:r w:rsidR="008B7567">
        <w:rPr>
          <w:b/>
          <w:i/>
          <w:sz w:val="20"/>
          <w:szCs w:val="20"/>
        </w:rPr>
        <w:t xml:space="preserve"> </w:t>
      </w:r>
      <w:r w:rsidR="008B7567" w:rsidRPr="008B7567">
        <w:rPr>
          <w:b/>
          <w:i/>
          <w:sz w:val="20"/>
          <w:szCs w:val="20"/>
        </w:rPr>
        <w:t xml:space="preserve"> de conformidad al Decreto 688 “Disposiciones especiales y transitorias aplicables a la importación, fabricación y comercialización de productos sanitarios necesarios para combatir la pandemia por Covid-19”, debido a que no es una normativa vigente</w:t>
      </w:r>
    </w:p>
    <w:p w:rsidR="00074BFD" w:rsidRPr="0017086F" w:rsidRDefault="00074BFD" w:rsidP="00E24585">
      <w:pPr>
        <w:spacing w:after="0" w:line="240" w:lineRule="auto"/>
        <w:jc w:val="both"/>
        <w:rPr>
          <w:b/>
          <w:i/>
          <w:sz w:val="20"/>
          <w:szCs w:val="20"/>
          <w:u w:val="single"/>
        </w:rPr>
      </w:pPr>
      <w:r w:rsidRPr="0017086F">
        <w:rPr>
          <w:b/>
          <w:i/>
          <w:sz w:val="20"/>
          <w:szCs w:val="20"/>
          <w:u w:val="single"/>
        </w:rPr>
        <w:t xml:space="preserve">En relación al requerimiento 3: </w:t>
      </w:r>
    </w:p>
    <w:p w:rsidR="00074BFD" w:rsidRDefault="00074BFD" w:rsidP="00E24585">
      <w:pPr>
        <w:spacing w:after="0" w:line="240" w:lineRule="auto"/>
        <w:jc w:val="both"/>
        <w:rPr>
          <w:b/>
          <w:i/>
          <w:sz w:val="20"/>
          <w:szCs w:val="20"/>
        </w:rPr>
      </w:pPr>
      <w:r>
        <w:rPr>
          <w:b/>
          <w:i/>
          <w:sz w:val="20"/>
          <w:szCs w:val="20"/>
        </w:rPr>
        <w:t xml:space="preserve">La DNM no ha otorgado registro sanitario </w:t>
      </w:r>
      <w:r w:rsidR="008B7567">
        <w:rPr>
          <w:b/>
          <w:i/>
          <w:sz w:val="20"/>
          <w:szCs w:val="20"/>
        </w:rPr>
        <w:t xml:space="preserve">a ninguna prueba </w:t>
      </w:r>
      <w:r>
        <w:rPr>
          <w:b/>
          <w:i/>
          <w:sz w:val="20"/>
          <w:szCs w:val="20"/>
        </w:rPr>
        <w:t xml:space="preserve">PCR, prueba de anticuerpo IGG e IGM y cualquier otra relacionada a la detección del COVID-19. </w:t>
      </w:r>
    </w:p>
    <w:p w:rsidR="00074BFD" w:rsidRPr="0017086F" w:rsidRDefault="00074BFD" w:rsidP="00E24585">
      <w:pPr>
        <w:spacing w:after="0" w:line="240" w:lineRule="auto"/>
        <w:jc w:val="both"/>
        <w:rPr>
          <w:b/>
          <w:i/>
          <w:sz w:val="20"/>
          <w:szCs w:val="20"/>
          <w:u w:val="single"/>
        </w:rPr>
      </w:pPr>
      <w:r w:rsidRPr="0017086F">
        <w:rPr>
          <w:b/>
          <w:i/>
          <w:sz w:val="20"/>
          <w:szCs w:val="20"/>
          <w:u w:val="single"/>
        </w:rPr>
        <w:t>En relación al requerimiento</w:t>
      </w:r>
      <w:r w:rsidR="0017086F">
        <w:rPr>
          <w:b/>
          <w:i/>
          <w:sz w:val="20"/>
          <w:szCs w:val="20"/>
          <w:u w:val="single"/>
        </w:rPr>
        <w:t xml:space="preserve"> 4</w:t>
      </w:r>
      <w:r w:rsidRPr="0017086F">
        <w:rPr>
          <w:b/>
          <w:i/>
          <w:sz w:val="20"/>
          <w:szCs w:val="20"/>
          <w:u w:val="single"/>
        </w:rPr>
        <w:t xml:space="preserve">: </w:t>
      </w:r>
    </w:p>
    <w:p w:rsidR="0017086F" w:rsidRPr="0017086F" w:rsidRDefault="0017086F" w:rsidP="0017086F">
      <w:pPr>
        <w:spacing w:after="0" w:line="240" w:lineRule="auto"/>
        <w:jc w:val="both"/>
        <w:rPr>
          <w:b/>
          <w:i/>
          <w:sz w:val="20"/>
          <w:szCs w:val="20"/>
        </w:rPr>
      </w:pPr>
      <w:r w:rsidRPr="0017086F">
        <w:rPr>
          <w:b/>
          <w:i/>
          <w:sz w:val="20"/>
          <w:szCs w:val="20"/>
        </w:rPr>
        <w:t xml:space="preserve">Previo a emitir respuesta se aclara que entre el periodo de uno de septiembre del año 2019 al 23 de marzo del 2020 </w:t>
      </w:r>
      <w:proofErr w:type="gramStart"/>
      <w:r w:rsidRPr="0017086F">
        <w:rPr>
          <w:b/>
          <w:i/>
          <w:sz w:val="20"/>
          <w:szCs w:val="20"/>
        </w:rPr>
        <w:t>no</w:t>
      </w:r>
      <w:proofErr w:type="gramEnd"/>
      <w:r w:rsidRPr="0017086F">
        <w:rPr>
          <w:b/>
          <w:i/>
          <w:sz w:val="20"/>
          <w:szCs w:val="20"/>
        </w:rPr>
        <w:t xml:space="preserve"> se ha autorizado un laboratorio para fabricar y comercializar para combatir la pandemia por COVID-19 de los mencionados productos y ni de cualquier otro medicamento o producto. </w:t>
      </w:r>
    </w:p>
    <w:p w:rsidR="0017086F" w:rsidRPr="0017086F" w:rsidRDefault="0017086F" w:rsidP="0017086F">
      <w:pPr>
        <w:spacing w:after="0" w:line="240" w:lineRule="auto"/>
        <w:jc w:val="both"/>
        <w:rPr>
          <w:b/>
          <w:i/>
          <w:sz w:val="20"/>
          <w:szCs w:val="20"/>
        </w:rPr>
      </w:pPr>
      <w:r w:rsidRPr="0017086F">
        <w:rPr>
          <w:b/>
          <w:i/>
          <w:sz w:val="20"/>
          <w:szCs w:val="20"/>
        </w:rPr>
        <w:t xml:space="preserve">Si se autorizado laboratorios para combatir la pandemia del COVID-19, pero, solo en la fabricación de Alcohol Gel e </w:t>
      </w:r>
      <w:proofErr w:type="spellStart"/>
      <w:r w:rsidRPr="0017086F">
        <w:rPr>
          <w:b/>
          <w:i/>
          <w:sz w:val="20"/>
          <w:szCs w:val="20"/>
        </w:rPr>
        <w:t>Hidro</w:t>
      </w:r>
      <w:proofErr w:type="spellEnd"/>
      <w:r w:rsidRPr="0017086F">
        <w:rPr>
          <w:b/>
          <w:i/>
          <w:sz w:val="20"/>
          <w:szCs w:val="20"/>
        </w:rPr>
        <w:t xml:space="preserve"> gel (que cae en el tema de soluciones alcohólicas </w:t>
      </w:r>
      <w:proofErr w:type="spellStart"/>
      <w:r w:rsidRPr="0017086F">
        <w:rPr>
          <w:b/>
          <w:i/>
          <w:sz w:val="20"/>
          <w:szCs w:val="20"/>
        </w:rPr>
        <w:t>higienizantes</w:t>
      </w:r>
      <w:proofErr w:type="spellEnd"/>
      <w:r w:rsidRPr="0017086F">
        <w:rPr>
          <w:b/>
          <w:i/>
          <w:sz w:val="20"/>
          <w:szCs w:val="20"/>
        </w:rPr>
        <w:t xml:space="preserve">), pero para el período entre el 24 de marzo del 2020 al 15 de junio del 2020. </w:t>
      </w:r>
    </w:p>
    <w:p w:rsidR="0017086F" w:rsidRPr="0017086F" w:rsidRDefault="0017086F" w:rsidP="0017086F">
      <w:pPr>
        <w:spacing w:after="0" w:line="240" w:lineRule="auto"/>
        <w:jc w:val="both"/>
        <w:rPr>
          <w:b/>
          <w:i/>
          <w:sz w:val="20"/>
          <w:szCs w:val="20"/>
        </w:rPr>
      </w:pPr>
      <w:r w:rsidRPr="0017086F">
        <w:rPr>
          <w:b/>
          <w:i/>
          <w:sz w:val="20"/>
          <w:szCs w:val="20"/>
        </w:rPr>
        <w:t>Después del 15 de junio no se ha emitido autorización alguna en relación a lo solicitado en acceso a información.</w:t>
      </w:r>
    </w:p>
    <w:p w:rsidR="0017086F" w:rsidRPr="0017086F" w:rsidRDefault="0017086F" w:rsidP="0017086F">
      <w:pPr>
        <w:spacing w:after="0" w:line="240" w:lineRule="auto"/>
        <w:jc w:val="both"/>
        <w:rPr>
          <w:b/>
          <w:i/>
          <w:sz w:val="20"/>
          <w:szCs w:val="20"/>
        </w:rPr>
      </w:pPr>
      <w:r w:rsidRPr="0017086F">
        <w:rPr>
          <w:b/>
          <w:i/>
          <w:sz w:val="20"/>
          <w:szCs w:val="20"/>
        </w:rPr>
        <w:t xml:space="preserve">De ahí, que el listado de laboratorios autorizados para la fabricación de Alcohol Gel e </w:t>
      </w:r>
      <w:proofErr w:type="spellStart"/>
      <w:r w:rsidRPr="0017086F">
        <w:rPr>
          <w:b/>
          <w:i/>
          <w:sz w:val="20"/>
          <w:szCs w:val="20"/>
        </w:rPr>
        <w:t>Hidro</w:t>
      </w:r>
      <w:proofErr w:type="spellEnd"/>
      <w:r w:rsidRPr="0017086F">
        <w:rPr>
          <w:b/>
          <w:i/>
          <w:sz w:val="20"/>
          <w:szCs w:val="20"/>
        </w:rPr>
        <w:t xml:space="preserve"> gel (que cae en el tema de soluciones alcohólicas </w:t>
      </w:r>
      <w:proofErr w:type="spellStart"/>
      <w:r w:rsidRPr="0017086F">
        <w:rPr>
          <w:b/>
          <w:i/>
          <w:sz w:val="20"/>
          <w:szCs w:val="20"/>
        </w:rPr>
        <w:t>higienizantes</w:t>
      </w:r>
      <w:proofErr w:type="spellEnd"/>
      <w:r w:rsidRPr="0017086F">
        <w:rPr>
          <w:b/>
          <w:i/>
          <w:sz w:val="20"/>
          <w:szCs w:val="20"/>
        </w:rPr>
        <w:t>) para combatir la pandemia del COVID-19, son:</w:t>
      </w:r>
    </w:p>
    <w:p w:rsidR="0017086F" w:rsidRPr="0017086F" w:rsidRDefault="0017086F" w:rsidP="0017086F">
      <w:pPr>
        <w:spacing w:after="0" w:line="240" w:lineRule="auto"/>
        <w:jc w:val="both"/>
        <w:rPr>
          <w:b/>
          <w:i/>
          <w:sz w:val="20"/>
          <w:szCs w:val="20"/>
        </w:rPr>
      </w:pPr>
      <w:r w:rsidRPr="0017086F">
        <w:rPr>
          <w:b/>
          <w:i/>
          <w:sz w:val="20"/>
          <w:szCs w:val="20"/>
        </w:rPr>
        <w:t>1.</w:t>
      </w:r>
      <w:r w:rsidRPr="0017086F">
        <w:rPr>
          <w:b/>
          <w:i/>
          <w:sz w:val="20"/>
          <w:szCs w:val="20"/>
        </w:rPr>
        <w:tab/>
        <w:t>LABORATORIO DE PRODUCTOS COSMETICOS E HIGIENICOS CHERRY, S.A.</w:t>
      </w:r>
    </w:p>
    <w:p w:rsidR="0017086F" w:rsidRPr="0017086F" w:rsidRDefault="0017086F" w:rsidP="0017086F">
      <w:pPr>
        <w:spacing w:after="0" w:line="240" w:lineRule="auto"/>
        <w:jc w:val="both"/>
        <w:rPr>
          <w:b/>
          <w:i/>
          <w:sz w:val="20"/>
          <w:szCs w:val="20"/>
        </w:rPr>
      </w:pPr>
      <w:r w:rsidRPr="0017086F">
        <w:rPr>
          <w:b/>
          <w:i/>
          <w:sz w:val="20"/>
          <w:szCs w:val="20"/>
        </w:rPr>
        <w:t>2.</w:t>
      </w:r>
      <w:r w:rsidRPr="0017086F">
        <w:rPr>
          <w:b/>
          <w:i/>
          <w:sz w:val="20"/>
          <w:szCs w:val="20"/>
        </w:rPr>
        <w:tab/>
        <w:t>LABORATORIO FARMACEUTICO BUTTER-PHARMA.</w:t>
      </w:r>
    </w:p>
    <w:p w:rsidR="0017086F" w:rsidRPr="0017086F" w:rsidRDefault="0017086F" w:rsidP="0017086F">
      <w:pPr>
        <w:spacing w:after="0" w:line="240" w:lineRule="auto"/>
        <w:jc w:val="both"/>
        <w:rPr>
          <w:b/>
          <w:i/>
          <w:sz w:val="20"/>
          <w:szCs w:val="20"/>
        </w:rPr>
      </w:pPr>
      <w:r w:rsidRPr="0017086F">
        <w:rPr>
          <w:b/>
          <w:i/>
          <w:sz w:val="20"/>
          <w:szCs w:val="20"/>
        </w:rPr>
        <w:t>3.</w:t>
      </w:r>
      <w:r w:rsidRPr="0017086F">
        <w:rPr>
          <w:b/>
          <w:i/>
          <w:sz w:val="20"/>
          <w:szCs w:val="20"/>
        </w:rPr>
        <w:tab/>
        <w:t>LABORATORIOS CAROSA, S.A. DE C.V.</w:t>
      </w:r>
    </w:p>
    <w:p w:rsidR="0017086F" w:rsidRPr="0017086F" w:rsidRDefault="0017086F" w:rsidP="0017086F">
      <w:pPr>
        <w:spacing w:after="0" w:line="240" w:lineRule="auto"/>
        <w:jc w:val="both"/>
        <w:rPr>
          <w:b/>
          <w:i/>
          <w:sz w:val="20"/>
          <w:szCs w:val="20"/>
        </w:rPr>
      </w:pPr>
      <w:r w:rsidRPr="0017086F">
        <w:rPr>
          <w:b/>
          <w:i/>
          <w:sz w:val="20"/>
          <w:szCs w:val="20"/>
        </w:rPr>
        <w:t>4.</w:t>
      </w:r>
      <w:r w:rsidRPr="0017086F">
        <w:rPr>
          <w:b/>
          <w:i/>
          <w:sz w:val="20"/>
          <w:szCs w:val="20"/>
        </w:rPr>
        <w:tab/>
        <w:t>LABORATORIO DE PRODUCTOS HIGIENICOS IREX DE EL SALVADOR, S.A. DE C.V.</w:t>
      </w:r>
    </w:p>
    <w:p w:rsidR="0017086F" w:rsidRPr="0017086F" w:rsidRDefault="0017086F" w:rsidP="0017086F">
      <w:pPr>
        <w:spacing w:after="0" w:line="240" w:lineRule="auto"/>
        <w:jc w:val="both"/>
        <w:rPr>
          <w:b/>
          <w:i/>
          <w:sz w:val="20"/>
          <w:szCs w:val="20"/>
        </w:rPr>
      </w:pPr>
      <w:r w:rsidRPr="0017086F">
        <w:rPr>
          <w:b/>
          <w:i/>
          <w:sz w:val="20"/>
          <w:szCs w:val="20"/>
        </w:rPr>
        <w:t>5.</w:t>
      </w:r>
      <w:r w:rsidRPr="0017086F">
        <w:rPr>
          <w:b/>
          <w:i/>
          <w:sz w:val="20"/>
          <w:szCs w:val="20"/>
        </w:rPr>
        <w:tab/>
        <w:t>LABORATORIOS AQUA.</w:t>
      </w:r>
    </w:p>
    <w:p w:rsidR="0017086F" w:rsidRPr="0017086F" w:rsidRDefault="0017086F" w:rsidP="0017086F">
      <w:pPr>
        <w:spacing w:after="0" w:line="240" w:lineRule="auto"/>
        <w:jc w:val="both"/>
        <w:rPr>
          <w:b/>
          <w:i/>
          <w:sz w:val="20"/>
          <w:szCs w:val="20"/>
        </w:rPr>
      </w:pPr>
      <w:r w:rsidRPr="0017086F">
        <w:rPr>
          <w:b/>
          <w:i/>
          <w:sz w:val="20"/>
          <w:szCs w:val="20"/>
        </w:rPr>
        <w:t>6.</w:t>
      </w:r>
      <w:r w:rsidRPr="0017086F">
        <w:rPr>
          <w:b/>
          <w:i/>
          <w:sz w:val="20"/>
          <w:szCs w:val="20"/>
        </w:rPr>
        <w:tab/>
        <w:t>LABORATORIOS HIFAR.</w:t>
      </w:r>
    </w:p>
    <w:p w:rsidR="0017086F" w:rsidRPr="0017086F" w:rsidRDefault="0017086F" w:rsidP="0017086F">
      <w:pPr>
        <w:spacing w:after="0" w:line="240" w:lineRule="auto"/>
        <w:jc w:val="both"/>
        <w:rPr>
          <w:b/>
          <w:i/>
          <w:sz w:val="20"/>
          <w:szCs w:val="20"/>
        </w:rPr>
      </w:pPr>
      <w:r w:rsidRPr="0017086F">
        <w:rPr>
          <w:b/>
          <w:i/>
          <w:sz w:val="20"/>
          <w:szCs w:val="20"/>
        </w:rPr>
        <w:t>7.</w:t>
      </w:r>
      <w:r w:rsidRPr="0017086F">
        <w:rPr>
          <w:b/>
          <w:i/>
          <w:sz w:val="20"/>
          <w:szCs w:val="20"/>
        </w:rPr>
        <w:tab/>
        <w:t>LABORATORIOS HEALTHCO.</w:t>
      </w:r>
    </w:p>
    <w:p w:rsidR="0017086F" w:rsidRPr="0017086F" w:rsidRDefault="0017086F" w:rsidP="0017086F">
      <w:pPr>
        <w:spacing w:after="0" w:line="240" w:lineRule="auto"/>
        <w:jc w:val="both"/>
        <w:rPr>
          <w:b/>
          <w:i/>
          <w:sz w:val="20"/>
          <w:szCs w:val="20"/>
        </w:rPr>
      </w:pPr>
      <w:r w:rsidRPr="0017086F">
        <w:rPr>
          <w:b/>
          <w:i/>
          <w:sz w:val="20"/>
          <w:szCs w:val="20"/>
        </w:rPr>
        <w:t>8.</w:t>
      </w:r>
      <w:r w:rsidRPr="0017086F">
        <w:rPr>
          <w:b/>
          <w:i/>
          <w:sz w:val="20"/>
          <w:szCs w:val="20"/>
        </w:rPr>
        <w:tab/>
        <w:t>LABORATORIO DE PRODUCTOS COSMETICOS Y AFINES ICC LABORATORIES.</w:t>
      </w:r>
    </w:p>
    <w:p w:rsidR="0017086F" w:rsidRPr="0017086F" w:rsidRDefault="0017086F" w:rsidP="0017086F">
      <w:pPr>
        <w:spacing w:after="0" w:line="240" w:lineRule="auto"/>
        <w:jc w:val="both"/>
        <w:rPr>
          <w:b/>
          <w:i/>
          <w:sz w:val="20"/>
          <w:szCs w:val="20"/>
        </w:rPr>
      </w:pPr>
      <w:r w:rsidRPr="0017086F">
        <w:rPr>
          <w:b/>
          <w:i/>
          <w:sz w:val="20"/>
          <w:szCs w:val="20"/>
        </w:rPr>
        <w:t>9.</w:t>
      </w:r>
      <w:r w:rsidRPr="0017086F">
        <w:rPr>
          <w:b/>
          <w:i/>
          <w:sz w:val="20"/>
          <w:szCs w:val="20"/>
        </w:rPr>
        <w:tab/>
        <w:t>LABORATORIOS COFASA.</w:t>
      </w:r>
    </w:p>
    <w:p w:rsidR="00074BFD" w:rsidRDefault="0017086F" w:rsidP="0017086F">
      <w:pPr>
        <w:spacing w:after="0" w:line="240" w:lineRule="auto"/>
        <w:jc w:val="both"/>
        <w:rPr>
          <w:b/>
          <w:i/>
          <w:sz w:val="20"/>
          <w:szCs w:val="20"/>
        </w:rPr>
      </w:pPr>
      <w:r w:rsidRPr="0017086F">
        <w:rPr>
          <w:b/>
          <w:i/>
          <w:sz w:val="20"/>
          <w:szCs w:val="20"/>
        </w:rPr>
        <w:t>10.</w:t>
      </w:r>
      <w:r w:rsidRPr="0017086F">
        <w:rPr>
          <w:b/>
          <w:i/>
          <w:sz w:val="20"/>
          <w:szCs w:val="20"/>
        </w:rPr>
        <w:tab/>
        <w:t>LABORATORIO FARMACEUTICO SOLARIS, S.A. DE C.V.</w:t>
      </w:r>
    </w:p>
    <w:p w:rsidR="0017086F" w:rsidRPr="00706564" w:rsidRDefault="0017086F" w:rsidP="0017086F">
      <w:pPr>
        <w:spacing w:after="0" w:line="240" w:lineRule="auto"/>
        <w:jc w:val="both"/>
        <w:rPr>
          <w:b/>
          <w:i/>
          <w:sz w:val="20"/>
          <w:szCs w:val="20"/>
          <w:u w:val="single"/>
        </w:rPr>
      </w:pPr>
      <w:r w:rsidRPr="00706564">
        <w:rPr>
          <w:b/>
          <w:i/>
          <w:sz w:val="20"/>
          <w:szCs w:val="20"/>
          <w:u w:val="single"/>
        </w:rPr>
        <w:t xml:space="preserve">En relación al requerimiento 5: </w:t>
      </w:r>
    </w:p>
    <w:p w:rsidR="00E24585" w:rsidRDefault="0017086F" w:rsidP="00E24585">
      <w:pPr>
        <w:spacing w:after="0" w:line="240" w:lineRule="auto"/>
        <w:jc w:val="both"/>
        <w:rPr>
          <w:b/>
          <w:i/>
          <w:sz w:val="20"/>
          <w:szCs w:val="20"/>
        </w:rPr>
      </w:pPr>
      <w:r>
        <w:rPr>
          <w:b/>
          <w:i/>
          <w:sz w:val="20"/>
          <w:szCs w:val="20"/>
        </w:rPr>
        <w:t xml:space="preserve">ANEXO DENOMINADO: </w:t>
      </w:r>
      <w:r w:rsidR="00706564" w:rsidRPr="00706564">
        <w:rPr>
          <w:b/>
          <w:i/>
          <w:sz w:val="20"/>
          <w:szCs w:val="20"/>
        </w:rPr>
        <w:t>DIGITALIZACION SAIP_2020_0</w:t>
      </w:r>
      <w:r w:rsidR="00706564">
        <w:rPr>
          <w:b/>
          <w:i/>
          <w:sz w:val="20"/>
          <w:szCs w:val="20"/>
        </w:rPr>
        <w:t xml:space="preserve">67 (5) Respuesta Requerimiento </w:t>
      </w:r>
    </w:p>
    <w:p w:rsidR="003F7FBD" w:rsidRDefault="003F7FBD" w:rsidP="003F7FBD">
      <w:pPr>
        <w:spacing w:after="0" w:line="240" w:lineRule="auto"/>
        <w:jc w:val="both"/>
        <w:rPr>
          <w:b/>
          <w:i/>
          <w:sz w:val="20"/>
          <w:szCs w:val="20"/>
        </w:rPr>
      </w:pPr>
      <w:r w:rsidRPr="003F7FBD">
        <w:rPr>
          <w:b/>
          <w:i/>
          <w:sz w:val="20"/>
          <w:szCs w:val="20"/>
        </w:rPr>
        <w:t>“””””””“”””</w:t>
      </w:r>
      <w:r>
        <w:rPr>
          <w:b/>
          <w:i/>
          <w:sz w:val="20"/>
          <w:szCs w:val="20"/>
        </w:rPr>
        <w:t>”</w:t>
      </w:r>
      <w:r w:rsidRPr="003F7FBD">
        <w:rPr>
          <w:b/>
          <w:i/>
          <w:sz w:val="20"/>
          <w:szCs w:val="20"/>
        </w:rPr>
        <w:t>””””””””””””””””””””””””””””””””””””””””””””””””””””””””””””””””””””””””””””””””””””””””””””””””</w:t>
      </w:r>
    </w:p>
    <w:p w:rsidR="003F7FBD" w:rsidRDefault="003F7FBD" w:rsidP="00361A6F">
      <w:pPr>
        <w:pStyle w:val="Prrafodelista"/>
        <w:spacing w:after="0" w:line="240" w:lineRule="auto"/>
        <w:ind w:hanging="294"/>
        <w:contextualSpacing w:val="0"/>
        <w:jc w:val="both"/>
        <w:rPr>
          <w:b/>
          <w:i/>
          <w:sz w:val="20"/>
          <w:szCs w:val="20"/>
        </w:rPr>
        <w:sectPr w:rsidR="003F7FBD" w:rsidSect="003F7FBD">
          <w:headerReference w:type="default" r:id="rId8"/>
          <w:footerReference w:type="default" r:id="rId9"/>
          <w:type w:val="continuous"/>
          <w:pgSz w:w="12240" w:h="15840"/>
          <w:pgMar w:top="2694" w:right="1418" w:bottom="2410" w:left="1418" w:header="284" w:footer="709" w:gutter="0"/>
          <w:cols w:space="78"/>
          <w:docGrid w:linePitch="360"/>
        </w:sectPr>
      </w:pPr>
    </w:p>
    <w:p w:rsidR="009D0654" w:rsidRPr="00A869E4" w:rsidRDefault="009D0654" w:rsidP="00361A6F">
      <w:pPr>
        <w:pStyle w:val="Prrafodelista"/>
        <w:spacing w:after="0" w:line="240" w:lineRule="auto"/>
        <w:ind w:hanging="294"/>
        <w:contextualSpacing w:val="0"/>
        <w:jc w:val="both"/>
        <w:rPr>
          <w:b/>
          <w:i/>
          <w:sz w:val="20"/>
          <w:szCs w:val="20"/>
        </w:rPr>
      </w:pPr>
    </w:p>
    <w:p w:rsidR="009D0654" w:rsidRDefault="009D0654" w:rsidP="00361A6F">
      <w:pPr>
        <w:pStyle w:val="Sinespaciado"/>
        <w:ind w:hanging="294"/>
        <w:jc w:val="both"/>
        <w:rPr>
          <w:sz w:val="20"/>
          <w:szCs w:val="20"/>
          <w:lang w:val="es-SV"/>
        </w:rPr>
        <w:sectPr w:rsidR="009D0654" w:rsidSect="009D0654">
          <w:type w:val="continuous"/>
          <w:pgSz w:w="12240" w:h="15840"/>
          <w:pgMar w:top="2694" w:right="1418" w:bottom="2410" w:left="1418" w:header="284" w:footer="709" w:gutter="0"/>
          <w:cols w:num="7" w:space="78"/>
          <w:docGrid w:linePitch="360"/>
        </w:sectPr>
      </w:pPr>
    </w:p>
    <w:p w:rsidR="00051AE3" w:rsidRPr="00F4150B" w:rsidRDefault="00051AE3" w:rsidP="00051AE3">
      <w:pPr>
        <w:pStyle w:val="Sinespaciado"/>
        <w:jc w:val="both"/>
        <w:rPr>
          <w:sz w:val="20"/>
          <w:szCs w:val="20"/>
          <w:lang w:val="es-SV"/>
        </w:rPr>
      </w:pPr>
      <w:r w:rsidRPr="00F4150B">
        <w:rPr>
          <w:sz w:val="20"/>
          <w:szCs w:val="20"/>
          <w:lang w:val="es-SV"/>
        </w:rPr>
        <w:lastRenderedPageBreak/>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574C2B"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Pr>
          <w:rFonts w:eastAsia="Arial Unicode MS" w:cs="Arial Unicode MS"/>
          <w:b/>
          <w:sz w:val="20"/>
          <w:szCs w:val="20"/>
        </w:rPr>
        <w:lastRenderedPageBreak/>
        <w:t xml:space="preserve"> </w:t>
      </w:r>
      <w:r w:rsidR="00051AE3" w:rsidRPr="00803DBC">
        <w:rPr>
          <w:rFonts w:eastAsia="Arial Unicode MS" w:cs="Arial Unicode MS"/>
          <w:b/>
          <w:sz w:val="20"/>
          <w:szCs w:val="20"/>
        </w:rPr>
        <w:t>CONCÉDASE</w:t>
      </w:r>
      <w:r w:rsidR="00051AE3" w:rsidRPr="00803DBC">
        <w:rPr>
          <w:rFonts w:eastAsia="Arial Unicode MS" w:cs="Arial Unicode MS"/>
          <w:sz w:val="20"/>
          <w:szCs w:val="20"/>
        </w:rPr>
        <w:t xml:space="preserve"> acceso a información solicitada</w:t>
      </w:r>
      <w:r w:rsidR="00051AE3">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 xml:space="preserve">en </w:t>
      </w:r>
      <w:r w:rsidR="00A869E4">
        <w:rPr>
          <w:rFonts w:eastAsia="Arial Unicode MS" w:cs="Arial Unicode MS"/>
          <w:sz w:val="20"/>
          <w:szCs w:val="20"/>
        </w:rPr>
        <w:t>archivo digital</w:t>
      </w:r>
      <w:r w:rsidR="00706564">
        <w:rPr>
          <w:rFonts w:eastAsia="Arial Unicode MS" w:cs="Arial Unicode MS"/>
          <w:sz w:val="20"/>
          <w:szCs w:val="20"/>
        </w:rPr>
        <w:t xml:space="preserve"> y anexo relacionado</w:t>
      </w:r>
      <w:r>
        <w:rPr>
          <w:rFonts w:eastAsia="Arial Unicode MS" w:cs="Arial Unicode MS"/>
          <w:sz w:val="20"/>
          <w:szCs w:val="20"/>
        </w:rPr>
        <w:t>,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bookmarkStart w:id="0" w:name="_GoBack"/>
      <w:bookmarkEnd w:id="0"/>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center"/>
        <w:rPr>
          <w:noProof/>
          <w:lang w:eastAsia="es-SV"/>
        </w:rPr>
      </w:pPr>
      <w:r>
        <w:rPr>
          <w:noProof/>
          <w:lang w:eastAsia="es-SV"/>
        </w:rPr>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990914" w:rsidRPr="00CA7F42" w:rsidRDefault="00051AE3" w:rsidP="00706564">
      <w:pPr>
        <w:pStyle w:val="Sinespaciado"/>
        <w:jc w:val="center"/>
      </w:pPr>
      <w:r w:rsidRPr="004B4F9B">
        <w:rPr>
          <w:sz w:val="20"/>
          <w:szCs w:val="20"/>
          <w:lang w:val="es-SV"/>
        </w:rPr>
        <w:t>Oficial de Información</w:t>
      </w:r>
    </w:p>
    <w:sectPr w:rsidR="00990914" w:rsidRPr="00CA7F42" w:rsidSect="009D0654">
      <w:type w:val="continuous"/>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7" name="Imagen 7"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E4A6307"/>
    <w:multiLevelType w:val="hybridMultilevel"/>
    <w:tmpl w:val="97DA13F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EF604BE"/>
    <w:multiLevelType w:val="hybridMultilevel"/>
    <w:tmpl w:val="53427F5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6324E0C"/>
    <w:multiLevelType w:val="hybridMultilevel"/>
    <w:tmpl w:val="F29ABBE4"/>
    <w:lvl w:ilvl="0" w:tplc="583C5C9A">
      <w:numFmt w:val="bullet"/>
      <w:lvlText w:val="-"/>
      <w:lvlJc w:val="left"/>
      <w:pPr>
        <w:ind w:left="720" w:hanging="360"/>
      </w:pPr>
      <w:rPr>
        <w:rFonts w:ascii="Calibri" w:eastAsia="Calibri" w:hAnsi="Calibri"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1"/>
  </w:num>
  <w:num w:numId="5">
    <w:abstractNumId w:val="16"/>
  </w:num>
  <w:num w:numId="6">
    <w:abstractNumId w:val="15"/>
  </w:num>
  <w:num w:numId="7">
    <w:abstractNumId w:val="17"/>
  </w:num>
  <w:num w:numId="8">
    <w:abstractNumId w:val="6"/>
  </w:num>
  <w:num w:numId="9">
    <w:abstractNumId w:val="8"/>
  </w:num>
  <w:num w:numId="10">
    <w:abstractNumId w:val="3"/>
  </w:num>
  <w:num w:numId="11">
    <w:abstractNumId w:val="14"/>
  </w:num>
  <w:num w:numId="12">
    <w:abstractNumId w:val="2"/>
  </w:num>
  <w:num w:numId="13">
    <w:abstractNumId w:val="5"/>
  </w:num>
  <w:num w:numId="14">
    <w:abstractNumId w:val="0"/>
  </w:num>
  <w:num w:numId="15">
    <w:abstractNumId w:val="11"/>
  </w:num>
  <w:num w:numId="16">
    <w:abstractNumId w:val="13"/>
  </w:num>
  <w:num w:numId="17">
    <w:abstractNumId w:val="11"/>
  </w:num>
  <w:num w:numId="18">
    <w:abstractNumId w:val="4"/>
  </w:num>
  <w:num w:numId="19">
    <w:abstractNumId w:val="1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AE3"/>
    <w:rsid w:val="000578A1"/>
    <w:rsid w:val="00074BFD"/>
    <w:rsid w:val="000B0A18"/>
    <w:rsid w:val="000B31E0"/>
    <w:rsid w:val="000E7F00"/>
    <w:rsid w:val="0013361E"/>
    <w:rsid w:val="0017086F"/>
    <w:rsid w:val="001838AF"/>
    <w:rsid w:val="001F3FDF"/>
    <w:rsid w:val="002044C2"/>
    <w:rsid w:val="0024071F"/>
    <w:rsid w:val="00244D7D"/>
    <w:rsid w:val="00272251"/>
    <w:rsid w:val="00361A6F"/>
    <w:rsid w:val="0038004E"/>
    <w:rsid w:val="0038059B"/>
    <w:rsid w:val="003A7E82"/>
    <w:rsid w:val="003F7FBD"/>
    <w:rsid w:val="0040772F"/>
    <w:rsid w:val="00426A3A"/>
    <w:rsid w:val="004522A7"/>
    <w:rsid w:val="004600A7"/>
    <w:rsid w:val="004739F1"/>
    <w:rsid w:val="00485338"/>
    <w:rsid w:val="004B5C66"/>
    <w:rsid w:val="00560A0A"/>
    <w:rsid w:val="00574C2B"/>
    <w:rsid w:val="005923F9"/>
    <w:rsid w:val="00595449"/>
    <w:rsid w:val="00637672"/>
    <w:rsid w:val="00682556"/>
    <w:rsid w:val="006A02A5"/>
    <w:rsid w:val="00706564"/>
    <w:rsid w:val="0073670F"/>
    <w:rsid w:val="007452FB"/>
    <w:rsid w:val="007F6026"/>
    <w:rsid w:val="00810386"/>
    <w:rsid w:val="00814B71"/>
    <w:rsid w:val="008623F9"/>
    <w:rsid w:val="0089518B"/>
    <w:rsid w:val="008A4C08"/>
    <w:rsid w:val="008B7567"/>
    <w:rsid w:val="008D4076"/>
    <w:rsid w:val="008D6E6F"/>
    <w:rsid w:val="008E1EB1"/>
    <w:rsid w:val="00905359"/>
    <w:rsid w:val="00910A2C"/>
    <w:rsid w:val="00936E45"/>
    <w:rsid w:val="00954D15"/>
    <w:rsid w:val="00967864"/>
    <w:rsid w:val="0097429D"/>
    <w:rsid w:val="00990914"/>
    <w:rsid w:val="009D0654"/>
    <w:rsid w:val="009E2332"/>
    <w:rsid w:val="00A267F5"/>
    <w:rsid w:val="00A869E4"/>
    <w:rsid w:val="00AB6E19"/>
    <w:rsid w:val="00B8787E"/>
    <w:rsid w:val="00B90923"/>
    <w:rsid w:val="00B91896"/>
    <w:rsid w:val="00BA1FFB"/>
    <w:rsid w:val="00BF3DE8"/>
    <w:rsid w:val="00C13488"/>
    <w:rsid w:val="00C704BC"/>
    <w:rsid w:val="00C7422B"/>
    <w:rsid w:val="00C80F23"/>
    <w:rsid w:val="00C949E7"/>
    <w:rsid w:val="00CA7F42"/>
    <w:rsid w:val="00CB0454"/>
    <w:rsid w:val="00CB1651"/>
    <w:rsid w:val="00CB4262"/>
    <w:rsid w:val="00CB434A"/>
    <w:rsid w:val="00CD3987"/>
    <w:rsid w:val="00D03445"/>
    <w:rsid w:val="00D1094F"/>
    <w:rsid w:val="00D1313B"/>
    <w:rsid w:val="00D95243"/>
    <w:rsid w:val="00DB7265"/>
    <w:rsid w:val="00E21594"/>
    <w:rsid w:val="00E24585"/>
    <w:rsid w:val="00ED1E4D"/>
    <w:rsid w:val="00F04B74"/>
    <w:rsid w:val="00F301FD"/>
    <w:rsid w:val="00F666C8"/>
    <w:rsid w:val="00F91FD1"/>
    <w:rsid w:val="00FB7C8B"/>
    <w:rsid w:val="00FE29F3"/>
    <w:rsid w:val="00FF40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 w:type="paragraph" w:customStyle="1" w:styleId="gmail-msolistparagraph">
    <w:name w:val="gmail-msolistparagraph"/>
    <w:basedOn w:val="Normal"/>
    <w:rsid w:val="0013361E"/>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88964081">
      <w:bodyDiv w:val="1"/>
      <w:marLeft w:val="0"/>
      <w:marRight w:val="0"/>
      <w:marTop w:val="0"/>
      <w:marBottom w:val="0"/>
      <w:divBdr>
        <w:top w:val="none" w:sz="0" w:space="0" w:color="auto"/>
        <w:left w:val="none" w:sz="0" w:space="0" w:color="auto"/>
        <w:bottom w:val="none" w:sz="0" w:space="0" w:color="auto"/>
        <w:right w:val="none" w:sz="0" w:space="0" w:color="auto"/>
      </w:divBdr>
    </w:div>
    <w:div w:id="296111104">
      <w:bodyDiv w:val="1"/>
      <w:marLeft w:val="0"/>
      <w:marRight w:val="0"/>
      <w:marTop w:val="0"/>
      <w:marBottom w:val="0"/>
      <w:divBdr>
        <w:top w:val="none" w:sz="0" w:space="0" w:color="auto"/>
        <w:left w:val="none" w:sz="0" w:space="0" w:color="auto"/>
        <w:bottom w:val="none" w:sz="0" w:space="0" w:color="auto"/>
        <w:right w:val="none" w:sz="0" w:space="0" w:color="auto"/>
      </w:divBdr>
    </w:div>
    <w:div w:id="312179643">
      <w:bodyDiv w:val="1"/>
      <w:marLeft w:val="0"/>
      <w:marRight w:val="0"/>
      <w:marTop w:val="0"/>
      <w:marBottom w:val="0"/>
      <w:divBdr>
        <w:top w:val="none" w:sz="0" w:space="0" w:color="auto"/>
        <w:left w:val="none" w:sz="0" w:space="0" w:color="auto"/>
        <w:bottom w:val="none" w:sz="0" w:space="0" w:color="auto"/>
        <w:right w:val="none" w:sz="0" w:space="0" w:color="auto"/>
      </w:divBdr>
    </w:div>
    <w:div w:id="514464745">
      <w:bodyDiv w:val="1"/>
      <w:marLeft w:val="0"/>
      <w:marRight w:val="0"/>
      <w:marTop w:val="0"/>
      <w:marBottom w:val="0"/>
      <w:divBdr>
        <w:top w:val="none" w:sz="0" w:space="0" w:color="auto"/>
        <w:left w:val="none" w:sz="0" w:space="0" w:color="auto"/>
        <w:bottom w:val="none" w:sz="0" w:space="0" w:color="auto"/>
        <w:right w:val="none" w:sz="0" w:space="0" w:color="auto"/>
      </w:divBdr>
    </w:div>
    <w:div w:id="666596599">
      <w:bodyDiv w:val="1"/>
      <w:marLeft w:val="0"/>
      <w:marRight w:val="0"/>
      <w:marTop w:val="0"/>
      <w:marBottom w:val="0"/>
      <w:divBdr>
        <w:top w:val="none" w:sz="0" w:space="0" w:color="auto"/>
        <w:left w:val="none" w:sz="0" w:space="0" w:color="auto"/>
        <w:bottom w:val="none" w:sz="0" w:space="0" w:color="auto"/>
        <w:right w:val="none" w:sz="0" w:space="0" w:color="auto"/>
      </w:divBdr>
    </w:div>
    <w:div w:id="705838746">
      <w:bodyDiv w:val="1"/>
      <w:marLeft w:val="0"/>
      <w:marRight w:val="0"/>
      <w:marTop w:val="0"/>
      <w:marBottom w:val="0"/>
      <w:divBdr>
        <w:top w:val="none" w:sz="0" w:space="0" w:color="auto"/>
        <w:left w:val="none" w:sz="0" w:space="0" w:color="auto"/>
        <w:bottom w:val="none" w:sz="0" w:space="0" w:color="auto"/>
        <w:right w:val="none" w:sz="0" w:space="0" w:color="auto"/>
      </w:divBdr>
    </w:div>
    <w:div w:id="1339891957">
      <w:bodyDiv w:val="1"/>
      <w:marLeft w:val="0"/>
      <w:marRight w:val="0"/>
      <w:marTop w:val="0"/>
      <w:marBottom w:val="0"/>
      <w:divBdr>
        <w:top w:val="none" w:sz="0" w:space="0" w:color="auto"/>
        <w:left w:val="none" w:sz="0" w:space="0" w:color="auto"/>
        <w:bottom w:val="none" w:sz="0" w:space="0" w:color="auto"/>
        <w:right w:val="none" w:sz="0" w:space="0" w:color="auto"/>
      </w:divBdr>
    </w:div>
    <w:div w:id="1414085331">
      <w:bodyDiv w:val="1"/>
      <w:marLeft w:val="0"/>
      <w:marRight w:val="0"/>
      <w:marTop w:val="0"/>
      <w:marBottom w:val="0"/>
      <w:divBdr>
        <w:top w:val="none" w:sz="0" w:space="0" w:color="auto"/>
        <w:left w:val="none" w:sz="0" w:space="0" w:color="auto"/>
        <w:bottom w:val="none" w:sz="0" w:space="0" w:color="auto"/>
        <w:right w:val="none" w:sz="0" w:space="0" w:color="auto"/>
      </w:divBdr>
    </w:div>
    <w:div w:id="1516650241">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 w:id="1608661925">
      <w:bodyDiv w:val="1"/>
      <w:marLeft w:val="0"/>
      <w:marRight w:val="0"/>
      <w:marTop w:val="0"/>
      <w:marBottom w:val="0"/>
      <w:divBdr>
        <w:top w:val="none" w:sz="0" w:space="0" w:color="auto"/>
        <w:left w:val="none" w:sz="0" w:space="0" w:color="auto"/>
        <w:bottom w:val="none" w:sz="0" w:space="0" w:color="auto"/>
        <w:right w:val="none" w:sz="0" w:space="0" w:color="auto"/>
      </w:divBdr>
    </w:div>
    <w:div w:id="1767917537">
      <w:bodyDiv w:val="1"/>
      <w:marLeft w:val="0"/>
      <w:marRight w:val="0"/>
      <w:marTop w:val="0"/>
      <w:marBottom w:val="0"/>
      <w:divBdr>
        <w:top w:val="none" w:sz="0" w:space="0" w:color="auto"/>
        <w:left w:val="none" w:sz="0" w:space="0" w:color="auto"/>
        <w:bottom w:val="none" w:sz="0" w:space="0" w:color="auto"/>
        <w:right w:val="none" w:sz="0" w:space="0" w:color="auto"/>
      </w:divBdr>
    </w:div>
    <w:div w:id="1920672715">
      <w:bodyDiv w:val="1"/>
      <w:marLeft w:val="0"/>
      <w:marRight w:val="0"/>
      <w:marTop w:val="0"/>
      <w:marBottom w:val="0"/>
      <w:divBdr>
        <w:top w:val="none" w:sz="0" w:space="0" w:color="auto"/>
        <w:left w:val="none" w:sz="0" w:space="0" w:color="auto"/>
        <w:bottom w:val="none" w:sz="0" w:space="0" w:color="auto"/>
        <w:right w:val="none" w:sz="0" w:space="0" w:color="auto"/>
      </w:divBdr>
    </w:div>
    <w:div w:id="20698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21E7C-D4ED-4125-A59C-2F41943D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1401</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8</cp:revision>
  <cp:lastPrinted>2020-08-27T20:43:00Z</cp:lastPrinted>
  <dcterms:created xsi:type="dcterms:W3CDTF">2020-08-26T15:51:00Z</dcterms:created>
  <dcterms:modified xsi:type="dcterms:W3CDTF">2020-08-27T22:41:00Z</dcterms:modified>
</cp:coreProperties>
</file>