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2012" w:rsidRPr="00D42012" w:rsidRDefault="00D42012" w:rsidP="00D42012">
      <w:pPr>
        <w:pStyle w:val="Sinespaciado"/>
        <w:jc w:val="right"/>
        <w:rPr>
          <w:sz w:val="20"/>
          <w:szCs w:val="20"/>
          <w:lang w:val="es-SV"/>
        </w:rPr>
      </w:pPr>
      <w:r w:rsidRPr="00D42012">
        <w:rPr>
          <w:sz w:val="20"/>
          <w:szCs w:val="20"/>
          <w:lang w:val="es-SV"/>
        </w:rPr>
        <w:t>REFERENCIA: SAIP_ 20</w:t>
      </w:r>
      <w:r>
        <w:rPr>
          <w:sz w:val="20"/>
          <w:szCs w:val="20"/>
          <w:lang w:val="es-SV"/>
        </w:rPr>
        <w:t>20</w:t>
      </w:r>
      <w:r w:rsidRPr="00D42012">
        <w:rPr>
          <w:sz w:val="20"/>
          <w:szCs w:val="20"/>
          <w:lang w:val="es-SV"/>
        </w:rPr>
        <w:t>_0</w:t>
      </w:r>
      <w:r w:rsidR="008809EF">
        <w:rPr>
          <w:sz w:val="20"/>
          <w:szCs w:val="20"/>
          <w:lang w:val="es-SV"/>
        </w:rPr>
        <w:t>66</w:t>
      </w:r>
    </w:p>
    <w:p w:rsidR="00D42012" w:rsidRPr="00D42012" w:rsidRDefault="00D42012" w:rsidP="00D42012">
      <w:pPr>
        <w:pStyle w:val="Sinespaciado"/>
        <w:jc w:val="center"/>
        <w:rPr>
          <w:b/>
          <w:sz w:val="20"/>
          <w:szCs w:val="20"/>
          <w:lang w:val="es-SV"/>
        </w:rPr>
      </w:pPr>
    </w:p>
    <w:p w:rsidR="00D42012" w:rsidRPr="00D42012" w:rsidRDefault="00D42012" w:rsidP="00D42012">
      <w:pPr>
        <w:pStyle w:val="Sinespaciado"/>
        <w:jc w:val="center"/>
        <w:rPr>
          <w:b/>
          <w:sz w:val="20"/>
          <w:szCs w:val="20"/>
          <w:lang w:val="es-SV"/>
        </w:rPr>
      </w:pPr>
      <w:r w:rsidRPr="00D42012">
        <w:rPr>
          <w:b/>
          <w:sz w:val="20"/>
          <w:szCs w:val="20"/>
          <w:lang w:val="es-SV"/>
        </w:rPr>
        <w:t>RESOLUCION FINAL DE SOLICITUD DE ACCESO A LA INFORMACION PÚBLICA</w:t>
      </w:r>
    </w:p>
    <w:p w:rsidR="00D42012" w:rsidRPr="00D42012" w:rsidRDefault="00D42012" w:rsidP="00D42012">
      <w:pPr>
        <w:pStyle w:val="Sinespaciado"/>
        <w:jc w:val="center"/>
        <w:rPr>
          <w:b/>
          <w:sz w:val="20"/>
          <w:szCs w:val="20"/>
          <w:lang w:val="es-SV"/>
        </w:rPr>
      </w:pPr>
    </w:p>
    <w:p w:rsidR="00D42012" w:rsidRPr="00D42012" w:rsidRDefault="00D42012" w:rsidP="003B572B">
      <w:pPr>
        <w:pStyle w:val="Sinespaciado"/>
        <w:jc w:val="both"/>
        <w:rPr>
          <w:sz w:val="20"/>
          <w:szCs w:val="20"/>
          <w:lang w:val="es-SV"/>
        </w:rPr>
      </w:pPr>
      <w:r w:rsidRPr="00D42012">
        <w:rPr>
          <w:b/>
          <w:sz w:val="20"/>
          <w:szCs w:val="20"/>
          <w:lang w:val="es-SV"/>
        </w:rPr>
        <w:t>Unidad de Acceso a la Información Pública</w:t>
      </w:r>
      <w:r w:rsidRPr="00D42012">
        <w:rPr>
          <w:sz w:val="20"/>
          <w:szCs w:val="20"/>
          <w:lang w:val="es-SV"/>
        </w:rPr>
        <w:t xml:space="preserve">: En la ciudad de Santa Tecla, Departamento de La Libertad, a las </w:t>
      </w:r>
      <w:r w:rsidR="008809EF">
        <w:rPr>
          <w:sz w:val="20"/>
          <w:szCs w:val="20"/>
          <w:lang w:val="es-SV"/>
        </w:rPr>
        <w:t xml:space="preserve">trece </w:t>
      </w:r>
      <w:r w:rsidRPr="00D42012">
        <w:rPr>
          <w:sz w:val="20"/>
          <w:szCs w:val="20"/>
          <w:lang w:val="es-SV"/>
        </w:rPr>
        <w:t xml:space="preserve">horas </w:t>
      </w:r>
      <w:r w:rsidR="008809EF">
        <w:rPr>
          <w:sz w:val="20"/>
          <w:szCs w:val="20"/>
          <w:lang w:val="es-SV"/>
        </w:rPr>
        <w:t xml:space="preserve">y veinte minutos </w:t>
      </w:r>
      <w:r w:rsidRPr="00D42012">
        <w:rPr>
          <w:sz w:val="20"/>
          <w:szCs w:val="20"/>
          <w:lang w:val="es-SV"/>
        </w:rPr>
        <w:t xml:space="preserve">del día </w:t>
      </w:r>
      <w:r>
        <w:rPr>
          <w:sz w:val="20"/>
          <w:szCs w:val="20"/>
          <w:lang w:val="es-SV"/>
        </w:rPr>
        <w:t>veint</w:t>
      </w:r>
      <w:r w:rsidR="008809EF">
        <w:rPr>
          <w:sz w:val="20"/>
          <w:szCs w:val="20"/>
          <w:lang w:val="es-SV"/>
        </w:rPr>
        <w:t>e</w:t>
      </w:r>
      <w:r>
        <w:rPr>
          <w:sz w:val="20"/>
          <w:szCs w:val="20"/>
          <w:lang w:val="es-SV"/>
        </w:rPr>
        <w:t xml:space="preserve"> </w:t>
      </w:r>
      <w:r w:rsidRPr="00D42012">
        <w:rPr>
          <w:sz w:val="20"/>
          <w:szCs w:val="20"/>
          <w:lang w:val="es-SV"/>
        </w:rPr>
        <w:t xml:space="preserve">de </w:t>
      </w:r>
      <w:r w:rsidR="008809EF">
        <w:rPr>
          <w:sz w:val="20"/>
          <w:szCs w:val="20"/>
          <w:lang w:val="es-SV"/>
        </w:rPr>
        <w:t xml:space="preserve">agosto </w:t>
      </w:r>
      <w:r w:rsidRPr="00D42012">
        <w:rPr>
          <w:sz w:val="20"/>
          <w:szCs w:val="20"/>
          <w:lang w:val="es-SV"/>
        </w:rPr>
        <w:t xml:space="preserve">de dos mil </w:t>
      </w:r>
      <w:r>
        <w:rPr>
          <w:sz w:val="20"/>
          <w:szCs w:val="20"/>
          <w:lang w:val="es-SV"/>
        </w:rPr>
        <w:t>veinte</w:t>
      </w:r>
      <w:r w:rsidRPr="00D42012">
        <w:rPr>
          <w:sz w:val="20"/>
          <w:szCs w:val="20"/>
          <w:lang w:val="es-SV"/>
        </w:rPr>
        <w:t>.</w:t>
      </w:r>
    </w:p>
    <w:p w:rsidR="00D42012" w:rsidRPr="00D42012" w:rsidRDefault="00D42012" w:rsidP="00D42012">
      <w:pPr>
        <w:pStyle w:val="Sinespaciado"/>
        <w:jc w:val="both"/>
        <w:rPr>
          <w:sz w:val="20"/>
          <w:szCs w:val="20"/>
          <w:lang w:val="es-SV"/>
        </w:rPr>
      </w:pPr>
    </w:p>
    <w:p w:rsidR="00D42012" w:rsidRPr="00D42012" w:rsidRDefault="00D42012" w:rsidP="00D42012">
      <w:pPr>
        <w:pStyle w:val="Sinespaciado"/>
        <w:jc w:val="both"/>
        <w:rPr>
          <w:sz w:val="20"/>
          <w:szCs w:val="20"/>
          <w:lang w:val="es-SV"/>
        </w:rPr>
      </w:pPr>
      <w:r w:rsidRPr="00D42012">
        <w:rPr>
          <w:sz w:val="20"/>
          <w:szCs w:val="20"/>
          <w:lang w:val="es-SV"/>
        </w:rPr>
        <w:t xml:space="preserve">Vista y admitida la solicitud de acceso a la información pública, recibida en esta oficina a las </w:t>
      </w:r>
      <w:r w:rsidR="008809EF">
        <w:rPr>
          <w:sz w:val="20"/>
          <w:szCs w:val="20"/>
          <w:lang w:val="es-SV"/>
        </w:rPr>
        <w:t xml:space="preserve">doce </w:t>
      </w:r>
      <w:r w:rsidRPr="00D42012">
        <w:rPr>
          <w:sz w:val="20"/>
          <w:szCs w:val="20"/>
          <w:lang w:val="es-SV"/>
        </w:rPr>
        <w:t xml:space="preserve">horas y </w:t>
      </w:r>
      <w:r w:rsidR="008809EF">
        <w:rPr>
          <w:sz w:val="20"/>
          <w:szCs w:val="20"/>
          <w:lang w:val="es-SV"/>
        </w:rPr>
        <w:t>quin</w:t>
      </w:r>
      <w:r>
        <w:rPr>
          <w:sz w:val="20"/>
          <w:szCs w:val="20"/>
          <w:lang w:val="es-SV"/>
        </w:rPr>
        <w:t xml:space="preserve">ce </w:t>
      </w:r>
      <w:r w:rsidRPr="00D42012">
        <w:rPr>
          <w:sz w:val="20"/>
          <w:szCs w:val="20"/>
          <w:lang w:val="es-SV"/>
        </w:rPr>
        <w:t xml:space="preserve">minutos del día </w:t>
      </w:r>
      <w:r w:rsidR="008809EF">
        <w:rPr>
          <w:sz w:val="20"/>
          <w:szCs w:val="20"/>
          <w:lang w:val="es-SV"/>
        </w:rPr>
        <w:t xml:space="preserve">trece </w:t>
      </w:r>
      <w:r w:rsidRPr="00D42012">
        <w:rPr>
          <w:sz w:val="20"/>
          <w:szCs w:val="20"/>
          <w:lang w:val="es-SV"/>
        </w:rPr>
        <w:t>del presente mes y año; correspondiente al expediente referencia SAIP_ 20</w:t>
      </w:r>
      <w:r>
        <w:rPr>
          <w:sz w:val="20"/>
          <w:szCs w:val="20"/>
          <w:lang w:val="es-SV"/>
        </w:rPr>
        <w:t>20</w:t>
      </w:r>
      <w:r w:rsidRPr="00D42012">
        <w:rPr>
          <w:sz w:val="20"/>
          <w:szCs w:val="20"/>
          <w:lang w:val="es-SV"/>
        </w:rPr>
        <w:t>_0</w:t>
      </w:r>
      <w:r w:rsidR="008809EF">
        <w:rPr>
          <w:sz w:val="20"/>
          <w:szCs w:val="20"/>
          <w:lang w:val="es-SV"/>
        </w:rPr>
        <w:t>66</w:t>
      </w:r>
      <w:r w:rsidRPr="00D42012">
        <w:rPr>
          <w:sz w:val="20"/>
          <w:szCs w:val="20"/>
          <w:lang w:val="es-SV"/>
        </w:rPr>
        <w:t xml:space="preserve">, mediante la cual requiere se le entregue la siguiente información: </w:t>
      </w:r>
    </w:p>
    <w:p w:rsidR="00D42012" w:rsidRPr="00D42012" w:rsidRDefault="00D42012" w:rsidP="00D42012">
      <w:pPr>
        <w:pStyle w:val="Sinespaciado"/>
        <w:jc w:val="both"/>
        <w:rPr>
          <w:sz w:val="20"/>
          <w:szCs w:val="20"/>
          <w:lang w:val="es-SV"/>
        </w:rPr>
      </w:pPr>
    </w:p>
    <w:p w:rsidR="00D42012" w:rsidRPr="004025E5" w:rsidRDefault="00D42012" w:rsidP="004025E5">
      <w:pPr>
        <w:spacing w:after="0" w:line="240" w:lineRule="auto"/>
        <w:jc w:val="both"/>
        <w:rPr>
          <w:rFonts w:eastAsia="Calibri" w:cs="Times New Roman"/>
          <w:b/>
          <w:i/>
          <w:sz w:val="18"/>
          <w:szCs w:val="18"/>
        </w:rPr>
      </w:pPr>
      <w:bookmarkStart w:id="0" w:name="_GoBack"/>
      <w:bookmarkEnd w:id="0"/>
      <w:r w:rsidRPr="004025E5">
        <w:rPr>
          <w:b/>
          <w:i/>
          <w:sz w:val="20"/>
          <w:szCs w:val="20"/>
        </w:rPr>
        <w:t>“</w:t>
      </w:r>
      <w:r w:rsidRPr="004025E5">
        <w:rPr>
          <w:b/>
          <w:bCs/>
          <w:i/>
          <w:iCs/>
          <w:sz w:val="20"/>
          <w:szCs w:val="20"/>
        </w:rPr>
        <w:t>“</w:t>
      </w:r>
      <w:r w:rsidR="008809EF" w:rsidRPr="004025E5">
        <w:rPr>
          <w:rFonts w:eastAsia="Times New Roman"/>
          <w:b/>
          <w:i/>
          <w:sz w:val="20"/>
          <w:szCs w:val="20"/>
        </w:rPr>
        <w:t>Borrador de reformas a la Ley de Medicamentos que tiene por finalidad mejorar la importación, la calidad y la producción de los insumos médicos, así como la prórroga para los permisos de los laboratorios expresado por la Exdirectora Monica Ayala en fecha 31 de julio de 2020.</w:t>
      </w:r>
      <w:r w:rsidRPr="004025E5">
        <w:rPr>
          <w:b/>
          <w:i/>
          <w:sz w:val="20"/>
          <w:szCs w:val="20"/>
        </w:rPr>
        <w:t>”</w:t>
      </w:r>
    </w:p>
    <w:p w:rsidR="00D42012" w:rsidRPr="00194F47" w:rsidRDefault="00D42012" w:rsidP="00D42012">
      <w:pPr>
        <w:pStyle w:val="NormalWeb"/>
        <w:shd w:val="clear" w:color="auto" w:fill="FFFFFF"/>
        <w:spacing w:before="0" w:beforeAutospacing="0" w:after="0" w:afterAutospacing="0"/>
        <w:jc w:val="both"/>
        <w:rPr>
          <w:rFonts w:asciiTheme="minorHAnsi" w:eastAsiaTheme="minorHAnsi" w:hAnsiTheme="minorHAnsi" w:cstheme="minorBidi"/>
          <w:b/>
          <w:i/>
          <w:sz w:val="20"/>
          <w:szCs w:val="20"/>
          <w:lang w:eastAsia="en-US"/>
        </w:rPr>
      </w:pPr>
    </w:p>
    <w:p w:rsidR="00D42012" w:rsidRPr="00D42012" w:rsidRDefault="00D42012" w:rsidP="00D42012">
      <w:pPr>
        <w:pStyle w:val="Sinespaciado"/>
        <w:jc w:val="both"/>
        <w:rPr>
          <w:sz w:val="20"/>
          <w:szCs w:val="20"/>
          <w:lang w:val="es-SV"/>
        </w:rPr>
      </w:pPr>
      <w:r w:rsidRPr="00D42012">
        <w:rPr>
          <w:b/>
          <w:sz w:val="20"/>
          <w:szCs w:val="20"/>
          <w:lang w:val="es-SV"/>
        </w:rPr>
        <w:t>LA SUSCRITA OFICIAL DE INFORMACIÓN, CONSIDERANDO QUE</w:t>
      </w:r>
      <w:r w:rsidRPr="00D42012">
        <w:rPr>
          <w:sz w:val="20"/>
          <w:szCs w:val="20"/>
          <w:lang w:val="es-SV"/>
        </w:rPr>
        <w:t>:</w:t>
      </w:r>
    </w:p>
    <w:p w:rsidR="00D42012" w:rsidRPr="00D42012" w:rsidRDefault="00D42012" w:rsidP="00D42012">
      <w:pPr>
        <w:pStyle w:val="Sinespaciado"/>
        <w:jc w:val="both"/>
        <w:rPr>
          <w:sz w:val="20"/>
          <w:szCs w:val="20"/>
          <w:lang w:val="es-SV"/>
        </w:rPr>
      </w:pPr>
    </w:p>
    <w:p w:rsidR="00D42012" w:rsidRPr="00D42012" w:rsidRDefault="00D42012" w:rsidP="00D42012">
      <w:pPr>
        <w:pStyle w:val="Sinespaciado"/>
        <w:numPr>
          <w:ilvl w:val="0"/>
          <w:numId w:val="15"/>
        </w:numPr>
        <w:ind w:left="709" w:hanging="425"/>
        <w:jc w:val="both"/>
        <w:rPr>
          <w:sz w:val="20"/>
          <w:szCs w:val="20"/>
          <w:lang w:val="es-SV"/>
        </w:rPr>
      </w:pPr>
      <w:r w:rsidRPr="00D42012">
        <w:rPr>
          <w:sz w:val="20"/>
          <w:szCs w:val="20"/>
          <w:lang w:val="es-SV"/>
        </w:rPr>
        <w:t>De acuerdo a la Constitución de la República toda persona tiene derecho a dirigir sus peticiones por escrito, de manera decorosa, a las autoridades legalmente establecidas; a que se le resuelvan, y a que se le haga saber lo resuelto. Así mismo y a fin de darle cumplimiento al derecho enunciado, se crea la Ley de Acceso a la Información Pública (en adelante LAIP) la cual tiene por objeto garantizar el derecho de acceso de toda persona a la información pública, a fin de contribuir con la transparencia de las actuaciones de las instituciones del Estado.</w:t>
      </w:r>
    </w:p>
    <w:p w:rsidR="00D42012" w:rsidRPr="00D42012" w:rsidRDefault="00D42012" w:rsidP="00D42012">
      <w:pPr>
        <w:pStyle w:val="Sinespaciado"/>
        <w:ind w:left="709" w:hanging="425"/>
        <w:jc w:val="both"/>
        <w:rPr>
          <w:sz w:val="20"/>
          <w:szCs w:val="20"/>
          <w:lang w:val="es-SV"/>
        </w:rPr>
      </w:pPr>
    </w:p>
    <w:p w:rsidR="00D42012" w:rsidRPr="00D42012" w:rsidRDefault="00D42012" w:rsidP="00D42012">
      <w:pPr>
        <w:pStyle w:val="Sinespaciado"/>
        <w:numPr>
          <w:ilvl w:val="0"/>
          <w:numId w:val="15"/>
        </w:numPr>
        <w:ind w:left="709" w:hanging="425"/>
        <w:jc w:val="both"/>
        <w:rPr>
          <w:sz w:val="20"/>
          <w:szCs w:val="20"/>
          <w:lang w:val="es-SV"/>
        </w:rPr>
      </w:pPr>
      <w:r w:rsidRPr="00D42012">
        <w:rPr>
          <w:sz w:val="20"/>
          <w:szCs w:val="20"/>
          <w:lang w:val="es-SV"/>
        </w:rPr>
        <w:t>Que mediante Decreto Legislativo N°1008, de fecha 22 de febrero de 2012, publicado en el Diario Oficial N°43, tomo 394, de fecha 12 de marzo de 2012, se crea la Dirección Nacional de Medicamentos, como una entidad autónoma de derecho y de utilidad pública, de carácter técnico, de duración indefinida, con plena autonomía en el ejercicio de sus funciones, tanto en lo financiero como en lo administrativo y presupuestario; l</w:t>
      </w:r>
      <w:r w:rsidR="008809EF">
        <w:rPr>
          <w:sz w:val="20"/>
          <w:szCs w:val="20"/>
          <w:lang w:val="es-SV"/>
        </w:rPr>
        <w:t>a</w:t>
      </w:r>
      <w:r w:rsidRPr="00D42012">
        <w:rPr>
          <w:sz w:val="20"/>
          <w:szCs w:val="20"/>
          <w:lang w:val="es-SV"/>
        </w:rPr>
        <w:t xml:space="preserve"> cual será la autoridad competente para la aplicación de la Ley de Medicamentos. </w:t>
      </w:r>
    </w:p>
    <w:p w:rsidR="00D42012" w:rsidRPr="00D42012" w:rsidRDefault="00D42012" w:rsidP="00D42012">
      <w:pPr>
        <w:pStyle w:val="Sinespaciado"/>
        <w:jc w:val="both"/>
        <w:rPr>
          <w:sz w:val="20"/>
          <w:szCs w:val="20"/>
          <w:lang w:val="es-SV"/>
        </w:rPr>
      </w:pPr>
    </w:p>
    <w:p w:rsidR="003B572B" w:rsidRDefault="00D42012" w:rsidP="00AC49F6">
      <w:pPr>
        <w:pStyle w:val="Sinespaciado"/>
        <w:numPr>
          <w:ilvl w:val="0"/>
          <w:numId w:val="15"/>
        </w:numPr>
        <w:ind w:left="709" w:hanging="425"/>
        <w:jc w:val="both"/>
        <w:rPr>
          <w:sz w:val="20"/>
          <w:szCs w:val="20"/>
          <w:lang w:val="es-SV"/>
        </w:rPr>
      </w:pPr>
      <w:r w:rsidRPr="003B572B">
        <w:rPr>
          <w:sz w:val="20"/>
          <w:szCs w:val="20"/>
          <w:lang w:val="es-SV"/>
        </w:rPr>
        <w:t>Con base a las atribuciones que establece la LAIP en su artículo 50 literales d) i) y j), son atribuciones del Oficial de Información realizar los trámites necesarios para la localización y entrega de la información solicitada por los particulares, resolver por escrito y notificar la resolución en el plazo al peticionario sobre las solicitudes de información que se sometan a su conocimiento.</w:t>
      </w:r>
      <w:r w:rsidR="003B572B">
        <w:rPr>
          <w:sz w:val="20"/>
          <w:szCs w:val="20"/>
          <w:lang w:val="es-SV"/>
        </w:rPr>
        <w:t xml:space="preserve"> </w:t>
      </w:r>
    </w:p>
    <w:p w:rsidR="008809EF" w:rsidRPr="008809EF" w:rsidRDefault="008809EF" w:rsidP="008809EF">
      <w:pPr>
        <w:pStyle w:val="Sinespaciado"/>
        <w:ind w:left="709"/>
        <w:jc w:val="both"/>
        <w:rPr>
          <w:sz w:val="20"/>
          <w:szCs w:val="20"/>
          <w:lang w:val="es-SV"/>
        </w:rPr>
      </w:pPr>
    </w:p>
    <w:p w:rsidR="003B572B" w:rsidRDefault="003B572B" w:rsidP="00AC49F6">
      <w:pPr>
        <w:pStyle w:val="Sinespaciado"/>
        <w:numPr>
          <w:ilvl w:val="0"/>
          <w:numId w:val="15"/>
        </w:numPr>
        <w:ind w:left="709" w:hanging="425"/>
        <w:jc w:val="both"/>
        <w:rPr>
          <w:sz w:val="20"/>
          <w:szCs w:val="20"/>
          <w:lang w:val="es-SV"/>
        </w:rPr>
      </w:pPr>
      <w:r>
        <w:rPr>
          <w:rFonts w:eastAsia="Times New Roman" w:cstheme="minorHAnsi"/>
          <w:noProof/>
          <w:sz w:val="20"/>
          <w:szCs w:val="20"/>
          <w:lang w:val="es-ES" w:eastAsia="es-SV"/>
        </w:rPr>
        <w:t xml:space="preserve">El </w:t>
      </w:r>
      <w:r w:rsidR="00D42012" w:rsidRPr="003B572B">
        <w:rPr>
          <w:sz w:val="20"/>
          <w:szCs w:val="20"/>
          <w:lang w:val="es-SV"/>
        </w:rPr>
        <w:t>artículo 70</w:t>
      </w:r>
      <w:r>
        <w:rPr>
          <w:sz w:val="20"/>
          <w:szCs w:val="20"/>
          <w:lang w:val="es-SV"/>
        </w:rPr>
        <w:t xml:space="preserve"> LAIP</w:t>
      </w:r>
      <w:r w:rsidR="00D42012" w:rsidRPr="003B572B">
        <w:rPr>
          <w:sz w:val="20"/>
          <w:szCs w:val="20"/>
          <w:lang w:val="es-SV"/>
        </w:rPr>
        <w:t>, establece que el Oficial de Información transmitirá la solicitud a la unidad administrativa que tenga o pueda poseer la información, con objeto de que ésta la localice, verifique su clasificación y, en su caso, le comunique la manera en que se encuentra disponible</w:t>
      </w:r>
      <w:r>
        <w:rPr>
          <w:sz w:val="20"/>
          <w:szCs w:val="20"/>
          <w:lang w:val="es-SV"/>
        </w:rPr>
        <w:t xml:space="preserve">. </w:t>
      </w:r>
    </w:p>
    <w:p w:rsidR="004025E5" w:rsidRDefault="004025E5" w:rsidP="003B572B">
      <w:pPr>
        <w:pStyle w:val="Sinespaciado"/>
        <w:jc w:val="both"/>
        <w:rPr>
          <w:sz w:val="20"/>
          <w:szCs w:val="20"/>
          <w:lang w:val="es-SV"/>
        </w:rPr>
      </w:pPr>
    </w:p>
    <w:p w:rsidR="00D42012" w:rsidRDefault="003B572B" w:rsidP="003B572B">
      <w:pPr>
        <w:pStyle w:val="Sinespaciado"/>
        <w:jc w:val="both"/>
        <w:rPr>
          <w:sz w:val="20"/>
          <w:szCs w:val="20"/>
          <w:lang w:val="es-SV"/>
        </w:rPr>
      </w:pPr>
      <w:r>
        <w:rPr>
          <w:sz w:val="20"/>
          <w:szCs w:val="20"/>
          <w:lang w:val="es-SV"/>
        </w:rPr>
        <w:t xml:space="preserve">Con base a lo anterior, </w:t>
      </w:r>
      <w:r w:rsidR="00D42012" w:rsidRPr="003B572B">
        <w:rPr>
          <w:sz w:val="20"/>
          <w:szCs w:val="20"/>
          <w:lang w:val="es-SV"/>
        </w:rPr>
        <w:t>se transmitió el requerimiento realizado en SAIP_ 20</w:t>
      </w:r>
      <w:r>
        <w:rPr>
          <w:sz w:val="20"/>
          <w:szCs w:val="20"/>
          <w:lang w:val="es-SV"/>
        </w:rPr>
        <w:t>20</w:t>
      </w:r>
      <w:r w:rsidR="00D42012" w:rsidRPr="003B572B">
        <w:rPr>
          <w:sz w:val="20"/>
          <w:szCs w:val="20"/>
          <w:lang w:val="es-SV"/>
        </w:rPr>
        <w:t>_0</w:t>
      </w:r>
      <w:r w:rsidR="008809EF">
        <w:rPr>
          <w:sz w:val="20"/>
          <w:szCs w:val="20"/>
          <w:lang w:val="es-SV"/>
        </w:rPr>
        <w:t>66</w:t>
      </w:r>
      <w:r w:rsidR="00D42012" w:rsidRPr="003B572B">
        <w:rPr>
          <w:sz w:val="20"/>
          <w:szCs w:val="20"/>
          <w:lang w:val="es-SV"/>
        </w:rPr>
        <w:t xml:space="preserve">, a la </w:t>
      </w:r>
      <w:r w:rsidR="008809EF">
        <w:rPr>
          <w:sz w:val="20"/>
          <w:szCs w:val="20"/>
          <w:lang w:val="es-SV"/>
        </w:rPr>
        <w:t xml:space="preserve">Unidad Jurídica </w:t>
      </w:r>
      <w:r w:rsidR="00D42012" w:rsidRPr="003B572B">
        <w:rPr>
          <w:sz w:val="20"/>
          <w:szCs w:val="20"/>
          <w:lang w:val="es-SV"/>
        </w:rPr>
        <w:t xml:space="preserve">de esta Dirección, la cual </w:t>
      </w:r>
      <w:r w:rsidR="008809EF">
        <w:rPr>
          <w:sz w:val="20"/>
          <w:szCs w:val="20"/>
          <w:lang w:val="es-SV"/>
        </w:rPr>
        <w:t>remitió</w:t>
      </w:r>
      <w:r>
        <w:rPr>
          <w:sz w:val="20"/>
          <w:szCs w:val="20"/>
          <w:lang w:val="es-SV"/>
        </w:rPr>
        <w:t xml:space="preserve"> </w:t>
      </w:r>
      <w:r w:rsidR="008809EF">
        <w:rPr>
          <w:sz w:val="20"/>
          <w:szCs w:val="20"/>
          <w:lang w:val="es-SV"/>
        </w:rPr>
        <w:t xml:space="preserve">respuesta en donde manifiesta: </w:t>
      </w:r>
    </w:p>
    <w:p w:rsidR="008809EF" w:rsidRDefault="008809EF" w:rsidP="003B572B">
      <w:pPr>
        <w:pStyle w:val="Sinespaciado"/>
        <w:jc w:val="both"/>
        <w:rPr>
          <w:sz w:val="20"/>
          <w:szCs w:val="20"/>
          <w:lang w:val="es-SV"/>
        </w:rPr>
      </w:pPr>
    </w:p>
    <w:p w:rsidR="008809EF" w:rsidRDefault="008809EF" w:rsidP="003B572B">
      <w:pPr>
        <w:pStyle w:val="Sinespaciado"/>
        <w:jc w:val="both"/>
        <w:rPr>
          <w:b/>
          <w:i/>
          <w:sz w:val="20"/>
          <w:szCs w:val="20"/>
          <w:lang w:val="es-SV"/>
        </w:rPr>
      </w:pPr>
      <w:r w:rsidRPr="008809EF">
        <w:rPr>
          <w:b/>
          <w:i/>
          <w:sz w:val="20"/>
          <w:szCs w:val="20"/>
          <w:lang w:val="es-SV"/>
        </w:rPr>
        <w:t>””””””””””””””””””””””””””””””””””””””””””””””””””””””””””””””””””””””””””””””””””””””””””””””””””””””””””””</w:t>
      </w:r>
    </w:p>
    <w:p w:rsidR="008809EF" w:rsidRPr="008809EF" w:rsidRDefault="008809EF" w:rsidP="008809EF">
      <w:pPr>
        <w:pStyle w:val="Sinespaciado"/>
        <w:jc w:val="both"/>
        <w:rPr>
          <w:b/>
          <w:i/>
          <w:sz w:val="20"/>
          <w:szCs w:val="20"/>
          <w:lang w:val="es-ES"/>
        </w:rPr>
      </w:pPr>
      <w:r w:rsidRPr="008809EF">
        <w:rPr>
          <w:b/>
          <w:i/>
          <w:sz w:val="20"/>
          <w:szCs w:val="20"/>
          <w:lang w:val="es-ES"/>
        </w:rPr>
        <w:t>1.</w:t>
      </w:r>
      <w:r>
        <w:rPr>
          <w:b/>
          <w:i/>
          <w:sz w:val="20"/>
          <w:szCs w:val="20"/>
          <w:lang w:val="es-ES"/>
        </w:rPr>
        <w:t xml:space="preserve"> </w:t>
      </w:r>
      <w:r w:rsidRPr="008809EF">
        <w:rPr>
          <w:b/>
          <w:i/>
          <w:sz w:val="20"/>
          <w:szCs w:val="20"/>
          <w:lang w:val="es-ES"/>
        </w:rPr>
        <w:t>Se ha determinado que el solicitante está haciendo alusión a las declaraciones proporcionadas por la entonces Directora Nacional, en entrevista matutina en un programa de radio.</w:t>
      </w:r>
    </w:p>
    <w:p w:rsidR="008809EF" w:rsidRDefault="008809EF" w:rsidP="008809EF">
      <w:pPr>
        <w:pStyle w:val="Sinespaciado"/>
        <w:jc w:val="both"/>
        <w:rPr>
          <w:b/>
          <w:i/>
          <w:sz w:val="20"/>
          <w:szCs w:val="20"/>
          <w:lang w:val="es-ES"/>
        </w:rPr>
      </w:pPr>
    </w:p>
    <w:p w:rsidR="008809EF" w:rsidRPr="008809EF" w:rsidRDefault="008809EF" w:rsidP="008809EF">
      <w:pPr>
        <w:pStyle w:val="Sinespaciado"/>
        <w:jc w:val="both"/>
        <w:rPr>
          <w:b/>
          <w:i/>
          <w:sz w:val="20"/>
          <w:szCs w:val="20"/>
          <w:lang w:val="es-ES"/>
        </w:rPr>
      </w:pPr>
      <w:r w:rsidRPr="008809EF">
        <w:rPr>
          <w:b/>
          <w:i/>
          <w:sz w:val="20"/>
          <w:szCs w:val="20"/>
          <w:lang w:val="es-ES"/>
        </w:rPr>
        <w:t>2.</w:t>
      </w:r>
      <w:r>
        <w:rPr>
          <w:b/>
          <w:i/>
          <w:sz w:val="20"/>
          <w:szCs w:val="20"/>
          <w:lang w:val="es-ES"/>
        </w:rPr>
        <w:t xml:space="preserve"> </w:t>
      </w:r>
      <w:r w:rsidRPr="008809EF">
        <w:rPr>
          <w:b/>
          <w:i/>
          <w:sz w:val="20"/>
          <w:szCs w:val="20"/>
          <w:lang w:val="es-ES"/>
        </w:rPr>
        <w:t xml:space="preserve">Con respecto al “borrador de reformas a la Ley de Medicamentos que tiene por finalidad mejorar la importación, la calidad y producción de los insumos médicos”,  que solicita, se ha realizado búsqueda en los archivos de esta Dirección, así como en las diferentes Unidades que la componen y se ha determinado que dicho borrador no existe. Asimismo, al escuchar el audio para conocer el contexto de lo solicitado a fin de satisfacer la solicitud del </w:t>
      </w:r>
      <w:proofErr w:type="spellStart"/>
      <w:r w:rsidRPr="008809EF">
        <w:rPr>
          <w:b/>
          <w:i/>
          <w:sz w:val="20"/>
          <w:szCs w:val="20"/>
          <w:lang w:val="es-ES"/>
        </w:rPr>
        <w:t>peticionante</w:t>
      </w:r>
      <w:proofErr w:type="spellEnd"/>
      <w:r w:rsidRPr="008809EF">
        <w:rPr>
          <w:b/>
          <w:i/>
          <w:sz w:val="20"/>
          <w:szCs w:val="20"/>
          <w:lang w:val="es-ES"/>
        </w:rPr>
        <w:t xml:space="preserve"> bajo los parámetros de la Ley de Acceso a la Información Pública y de los lineamientos del Instituto de Acceso a la Información, se advierte que la Directora Nacional de ese momento únicamente hace alusión a la “necesidad de reforma de la Ley de Medicamentos”, más no a la elaboración de un borrador como tal; y es que cabe señalar además que la creación y desarrollo del mismo, escapa a las atribuciones de esta Entidad.</w:t>
      </w:r>
    </w:p>
    <w:p w:rsidR="008809EF" w:rsidRDefault="008809EF" w:rsidP="008809EF">
      <w:pPr>
        <w:pStyle w:val="Sinespaciado"/>
        <w:jc w:val="both"/>
        <w:rPr>
          <w:b/>
          <w:i/>
          <w:sz w:val="20"/>
          <w:szCs w:val="20"/>
          <w:lang w:val="es-ES"/>
        </w:rPr>
      </w:pPr>
    </w:p>
    <w:p w:rsidR="008809EF" w:rsidRDefault="008809EF" w:rsidP="008809EF">
      <w:pPr>
        <w:pStyle w:val="Sinespaciado"/>
        <w:jc w:val="both"/>
        <w:rPr>
          <w:b/>
          <w:i/>
          <w:sz w:val="20"/>
          <w:szCs w:val="20"/>
          <w:lang w:val="es-ES"/>
        </w:rPr>
      </w:pPr>
      <w:r w:rsidRPr="008809EF">
        <w:rPr>
          <w:b/>
          <w:i/>
          <w:sz w:val="20"/>
          <w:szCs w:val="20"/>
          <w:lang w:val="es-ES"/>
        </w:rPr>
        <w:t>3</w:t>
      </w:r>
      <w:r>
        <w:rPr>
          <w:b/>
          <w:i/>
          <w:sz w:val="20"/>
          <w:szCs w:val="20"/>
          <w:lang w:val="es-ES"/>
        </w:rPr>
        <w:t xml:space="preserve">. </w:t>
      </w:r>
      <w:r w:rsidRPr="008809EF">
        <w:rPr>
          <w:b/>
          <w:i/>
          <w:sz w:val="20"/>
          <w:szCs w:val="20"/>
          <w:lang w:val="es-ES"/>
        </w:rPr>
        <w:t>En referencia a “la prórroga para los permisos de los laboratorios expresado por la Exdirectora Mónica Ayala”, también se informa que siguiendo lo expuesto en tal ocasión por la funcionaria, se ha determinado que a lo que ella  hizo referencia, es a un proyecto de Decreto Legislativo que contemplaba el tema de prórroga para los permisos de laboratorio y en el que la Dirección Nacional de Medicamentos colaboró para su propuesta; pero el  contenido e información sobre el mismo ya no dependen de esta instancia, sino que, al igual que en el primer supuesto, se escapa de las atribuciones de la Institución, y por lo tanto, es una información que la DNM no posee y no puede proporcionar.</w:t>
      </w:r>
    </w:p>
    <w:p w:rsidR="008809EF" w:rsidRDefault="008809EF" w:rsidP="008809EF">
      <w:pPr>
        <w:pStyle w:val="Sinespaciado"/>
        <w:jc w:val="both"/>
        <w:rPr>
          <w:b/>
          <w:i/>
          <w:sz w:val="20"/>
          <w:szCs w:val="20"/>
          <w:lang w:val="es-SV"/>
        </w:rPr>
      </w:pPr>
      <w:r w:rsidRPr="008809EF">
        <w:rPr>
          <w:b/>
          <w:i/>
          <w:sz w:val="20"/>
          <w:szCs w:val="20"/>
          <w:lang w:val="es-SV"/>
        </w:rPr>
        <w:t>””””””””””””””””””””””””””””””””””””””””””””””””””””””””””””””””””””””””””””””””””””””””””””””””””””””””””””</w:t>
      </w:r>
    </w:p>
    <w:p w:rsidR="00F06CE0" w:rsidRDefault="00F06CE0" w:rsidP="00F06CE0">
      <w:pPr>
        <w:pStyle w:val="Sinespaciado"/>
        <w:jc w:val="both"/>
        <w:rPr>
          <w:b/>
          <w:i/>
          <w:sz w:val="20"/>
          <w:szCs w:val="20"/>
          <w:lang w:val="es-SV"/>
        </w:rPr>
      </w:pPr>
    </w:p>
    <w:p w:rsidR="00F06CE0" w:rsidRPr="00F06CE0" w:rsidRDefault="00F06CE0" w:rsidP="00F06CE0">
      <w:pPr>
        <w:pStyle w:val="Sinespaciado"/>
        <w:jc w:val="both"/>
        <w:rPr>
          <w:sz w:val="20"/>
          <w:szCs w:val="20"/>
          <w:lang w:val="es-SV"/>
        </w:rPr>
      </w:pPr>
      <w:r w:rsidRPr="00F06CE0">
        <w:rPr>
          <w:sz w:val="20"/>
          <w:szCs w:val="20"/>
          <w:lang w:val="es-SV"/>
        </w:rPr>
        <w:t>Ante lo manifestado por la referida unidad y de conformidad al art. 73 LAIP, esta oficina analizó el caso y verifico las competencias de esta Dirección con base a lo establecido en la Ley de Medicamentos, no identificando otra unidad organizativa en donde localizar la información solicitada. Con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4 de la Ley de Acceso a la Información Pública por el cual, la información en poder de los entes obligados es pública y su difusión es irrestricta, salvo las excepciones expresamente establecidas en la Ley.</w:t>
      </w:r>
    </w:p>
    <w:p w:rsidR="00F06CE0" w:rsidRPr="00F06CE0" w:rsidRDefault="00F06CE0" w:rsidP="00F06CE0">
      <w:pPr>
        <w:pStyle w:val="Sinespaciado"/>
        <w:jc w:val="both"/>
        <w:rPr>
          <w:b/>
          <w:sz w:val="20"/>
          <w:szCs w:val="20"/>
          <w:lang w:val="es-SV"/>
        </w:rPr>
      </w:pPr>
    </w:p>
    <w:p w:rsidR="00D42012" w:rsidRPr="00D42012" w:rsidRDefault="00D42012" w:rsidP="00D42012">
      <w:pPr>
        <w:pStyle w:val="Sinespaciado"/>
        <w:jc w:val="both"/>
        <w:rPr>
          <w:sz w:val="20"/>
          <w:szCs w:val="20"/>
          <w:lang w:val="es-SV"/>
        </w:rPr>
      </w:pPr>
      <w:r w:rsidRPr="00D42012">
        <w:rPr>
          <w:b/>
          <w:sz w:val="20"/>
          <w:szCs w:val="20"/>
          <w:lang w:val="es-SV"/>
        </w:rPr>
        <w:t>POR TANTO:</w:t>
      </w:r>
      <w:r w:rsidRPr="00D42012">
        <w:rPr>
          <w:sz w:val="20"/>
          <w:szCs w:val="20"/>
          <w:lang w:val="es-SV"/>
        </w:rPr>
        <w:t xml:space="preserve"> En razón de lo antes expuesto y con base a lo estipulado en el artículo 18 de la Constitución de la República de El Salvador, en relación con los artículos 66</w:t>
      </w:r>
      <w:r w:rsidR="00F06CE0">
        <w:rPr>
          <w:sz w:val="20"/>
          <w:szCs w:val="20"/>
          <w:lang w:val="es-SV"/>
        </w:rPr>
        <w:t xml:space="preserve"> y 73</w:t>
      </w:r>
      <w:r w:rsidRPr="00D42012">
        <w:rPr>
          <w:sz w:val="20"/>
          <w:szCs w:val="20"/>
          <w:lang w:val="es-SV"/>
        </w:rPr>
        <w:t xml:space="preserve"> relacionado con los artículos 55 y 56 de su Reglamento, esta Oficina </w:t>
      </w:r>
      <w:r w:rsidRPr="00D42012">
        <w:rPr>
          <w:b/>
          <w:sz w:val="20"/>
          <w:szCs w:val="20"/>
          <w:lang w:val="es-SV"/>
        </w:rPr>
        <w:t>RESUELVE:</w:t>
      </w:r>
      <w:r w:rsidRPr="00D42012">
        <w:rPr>
          <w:sz w:val="20"/>
          <w:szCs w:val="20"/>
          <w:lang w:val="es-SV"/>
        </w:rPr>
        <w:t xml:space="preserve"> </w:t>
      </w:r>
    </w:p>
    <w:p w:rsidR="00D42012" w:rsidRPr="00D42012" w:rsidRDefault="00D42012" w:rsidP="00D42012">
      <w:pPr>
        <w:pStyle w:val="Sinespaciado"/>
        <w:jc w:val="both"/>
        <w:rPr>
          <w:sz w:val="20"/>
          <w:szCs w:val="20"/>
          <w:lang w:val="es-SV"/>
        </w:rPr>
      </w:pPr>
    </w:p>
    <w:p w:rsidR="00F06CE0" w:rsidRDefault="00F06CE0" w:rsidP="00F06CE0">
      <w:pPr>
        <w:pStyle w:val="Prrafodelista"/>
        <w:numPr>
          <w:ilvl w:val="0"/>
          <w:numId w:val="17"/>
        </w:numPr>
        <w:spacing w:after="0" w:line="240" w:lineRule="auto"/>
        <w:ind w:left="426" w:hanging="284"/>
        <w:jc w:val="both"/>
        <w:rPr>
          <w:rFonts w:eastAsia="Arial Unicode MS" w:cs="Arial Unicode MS"/>
          <w:noProof/>
          <w:sz w:val="20"/>
          <w:szCs w:val="20"/>
          <w:lang w:eastAsia="es-SV"/>
        </w:rPr>
      </w:pPr>
      <w:r>
        <w:rPr>
          <w:rFonts w:eastAsia="Arial Unicode MS" w:cs="Arial Unicode MS"/>
          <w:b/>
          <w:sz w:val="20"/>
          <w:szCs w:val="20"/>
        </w:rPr>
        <w:t xml:space="preserve">CONFIRMASE </w:t>
      </w:r>
      <w:r>
        <w:rPr>
          <w:rFonts w:eastAsia="Arial Unicode MS" w:cs="Arial Unicode MS"/>
          <w:sz w:val="20"/>
          <w:szCs w:val="20"/>
        </w:rPr>
        <w:t xml:space="preserve">la inexistencia de la información solicitada en la Unidad </w:t>
      </w:r>
      <w:r>
        <w:rPr>
          <w:rFonts w:eastAsia="Arial Unicode MS" w:cs="Arial Unicode MS"/>
          <w:sz w:val="20"/>
          <w:szCs w:val="20"/>
        </w:rPr>
        <w:t xml:space="preserve">Jurídica </w:t>
      </w:r>
      <w:r>
        <w:rPr>
          <w:rFonts w:eastAsia="Arial Unicode MS" w:cs="Arial Unicode MS"/>
          <w:sz w:val="20"/>
          <w:szCs w:val="20"/>
        </w:rPr>
        <w:t>u otra unidad organizativa de la Dirección Nacional de Medicamentos.</w:t>
      </w:r>
    </w:p>
    <w:p w:rsidR="00D42012" w:rsidRPr="003E1B01" w:rsidRDefault="00D42012" w:rsidP="00D42012">
      <w:pPr>
        <w:pStyle w:val="Prrafodelista"/>
        <w:ind w:left="426"/>
        <w:rPr>
          <w:rFonts w:eastAsia="Arial Unicode MS" w:cs="Arial Unicode MS"/>
          <w:noProof/>
          <w:sz w:val="20"/>
          <w:szCs w:val="20"/>
          <w:lang w:eastAsia="es-SV"/>
        </w:rPr>
      </w:pPr>
    </w:p>
    <w:p w:rsidR="00D42012" w:rsidRPr="00576299" w:rsidRDefault="00D42012" w:rsidP="00D42012">
      <w:pPr>
        <w:pStyle w:val="Prrafodelista"/>
        <w:numPr>
          <w:ilvl w:val="0"/>
          <w:numId w:val="16"/>
        </w:numPr>
        <w:spacing w:after="0" w:line="240" w:lineRule="auto"/>
        <w:ind w:left="426" w:hanging="284"/>
        <w:jc w:val="both"/>
        <w:rPr>
          <w:sz w:val="20"/>
          <w:szCs w:val="20"/>
        </w:rPr>
      </w:pPr>
      <w:r w:rsidRPr="00576299">
        <w:rPr>
          <w:rFonts w:eastAsia="Arial Unicode MS" w:cs="Arial Unicode MS"/>
          <w:b/>
          <w:noProof/>
          <w:sz w:val="20"/>
          <w:szCs w:val="20"/>
          <w:lang w:eastAsia="es-SV"/>
        </w:rPr>
        <w:t>NOTIFÍQUESE</w:t>
      </w:r>
      <w:r w:rsidRPr="00576299">
        <w:rPr>
          <w:rFonts w:eastAsia="Arial Unicode MS" w:cs="Arial Unicode MS"/>
          <w:noProof/>
          <w:sz w:val="20"/>
          <w:szCs w:val="20"/>
          <w:lang w:eastAsia="es-SV"/>
        </w:rPr>
        <w:t xml:space="preserve"> la presente resolución al correo electrónico </w:t>
      </w:r>
      <w:r w:rsidRPr="00576299">
        <w:rPr>
          <w:rFonts w:eastAsia="Arial Unicode MS" w:cs="Arial Unicode MS"/>
          <w:sz w:val="20"/>
          <w:szCs w:val="20"/>
        </w:rPr>
        <w:t xml:space="preserve">señalado </w:t>
      </w:r>
      <w:r w:rsidRPr="00576299">
        <w:rPr>
          <w:rFonts w:eastAsia="Arial Unicode MS" w:cs="Arial Unicode MS"/>
          <w:noProof/>
          <w:sz w:val="20"/>
          <w:szCs w:val="20"/>
          <w:lang w:eastAsia="es-SV"/>
        </w:rPr>
        <w:t xml:space="preserve">y déjese constancia en el expediente respectivo de la notificación. </w:t>
      </w:r>
    </w:p>
    <w:p w:rsidR="00D42012" w:rsidRPr="00576299" w:rsidRDefault="00D42012" w:rsidP="00D42012">
      <w:pPr>
        <w:pStyle w:val="Prrafodelista"/>
        <w:rPr>
          <w:rFonts w:eastAsia="Arial Unicode MS" w:cs="Arial Unicode MS"/>
          <w:b/>
          <w:noProof/>
          <w:sz w:val="20"/>
          <w:szCs w:val="20"/>
          <w:lang w:eastAsia="es-SV"/>
        </w:rPr>
      </w:pPr>
    </w:p>
    <w:p w:rsidR="00D42012" w:rsidRPr="004025E5" w:rsidRDefault="00D42012" w:rsidP="009D1EB9">
      <w:pPr>
        <w:pStyle w:val="Prrafodelista"/>
        <w:numPr>
          <w:ilvl w:val="0"/>
          <w:numId w:val="16"/>
        </w:numPr>
        <w:spacing w:after="0" w:line="240" w:lineRule="auto"/>
        <w:ind w:left="426" w:hanging="284"/>
        <w:jc w:val="both"/>
        <w:rPr>
          <w:sz w:val="20"/>
          <w:szCs w:val="20"/>
        </w:rPr>
      </w:pPr>
      <w:r w:rsidRPr="00DD0C87">
        <w:rPr>
          <w:rFonts w:eastAsia="Arial Unicode MS" w:cs="Arial Unicode MS"/>
          <w:b/>
          <w:noProof/>
          <w:sz w:val="20"/>
          <w:szCs w:val="20"/>
          <w:lang w:eastAsia="es-SV"/>
        </w:rPr>
        <w:t>ARCHÍVESE</w:t>
      </w:r>
      <w:r w:rsidRPr="00DD0C87">
        <w:rPr>
          <w:rFonts w:eastAsia="Arial Unicode MS" w:cs="Arial Unicode MS"/>
          <w:noProof/>
          <w:sz w:val="20"/>
          <w:szCs w:val="20"/>
          <w:lang w:eastAsia="es-SV"/>
        </w:rPr>
        <w:t xml:space="preserve"> el presente expediente administrativo</w:t>
      </w:r>
    </w:p>
    <w:p w:rsidR="004025E5" w:rsidRPr="004025E5" w:rsidRDefault="004025E5" w:rsidP="004025E5">
      <w:pPr>
        <w:pStyle w:val="Prrafodelista"/>
        <w:rPr>
          <w:sz w:val="20"/>
          <w:szCs w:val="20"/>
        </w:rPr>
      </w:pPr>
    </w:p>
    <w:p w:rsidR="004025E5" w:rsidRPr="00DD0C87" w:rsidRDefault="004025E5" w:rsidP="004025E5">
      <w:pPr>
        <w:pStyle w:val="Prrafodelista"/>
        <w:spacing w:after="0" w:line="240" w:lineRule="auto"/>
        <w:ind w:left="426"/>
        <w:jc w:val="both"/>
        <w:rPr>
          <w:sz w:val="20"/>
          <w:szCs w:val="20"/>
        </w:rPr>
      </w:pPr>
    </w:p>
    <w:p w:rsidR="00D42012" w:rsidRPr="00D552E7" w:rsidRDefault="00D42012" w:rsidP="00D42012">
      <w:pPr>
        <w:pStyle w:val="Sinespaciado"/>
        <w:jc w:val="center"/>
        <w:rPr>
          <w:noProof/>
          <w:sz w:val="20"/>
          <w:lang w:eastAsia="es-SV"/>
        </w:rPr>
      </w:pPr>
      <w:r w:rsidRPr="00D552E7">
        <w:rPr>
          <w:noProof/>
          <w:sz w:val="20"/>
          <w:lang w:eastAsia="es-SV"/>
        </w:rPr>
        <w:t>______________________________</w:t>
      </w:r>
    </w:p>
    <w:p w:rsidR="00D42012" w:rsidRPr="00D42012" w:rsidRDefault="00D42012" w:rsidP="00D42012">
      <w:pPr>
        <w:pStyle w:val="Sinespaciado"/>
        <w:jc w:val="center"/>
        <w:rPr>
          <w:noProof/>
          <w:sz w:val="20"/>
          <w:lang w:val="es-SV" w:eastAsia="es-SV"/>
        </w:rPr>
      </w:pPr>
      <w:r w:rsidRPr="00D42012">
        <w:rPr>
          <w:noProof/>
          <w:sz w:val="20"/>
          <w:lang w:val="es-SV" w:eastAsia="es-SV"/>
        </w:rPr>
        <w:t>Licda. Daysi Concepción Orellana de Larin</w:t>
      </w:r>
    </w:p>
    <w:p w:rsidR="00990914" w:rsidRPr="00891456" w:rsidRDefault="00D42012" w:rsidP="004025E5">
      <w:pPr>
        <w:pStyle w:val="Sinespaciado"/>
        <w:jc w:val="center"/>
      </w:pPr>
      <w:r w:rsidRPr="00D552E7">
        <w:rPr>
          <w:noProof/>
          <w:sz w:val="20"/>
          <w:lang w:eastAsia="es-SV"/>
        </w:rPr>
        <w:t xml:space="preserve">Oficial de Información </w:t>
      </w:r>
    </w:p>
    <w:sectPr w:rsidR="00990914" w:rsidRPr="00891456" w:rsidSect="00A0033F">
      <w:headerReference w:type="default" r:id="rId8"/>
      <w:footerReference w:type="default" r:id="rId9"/>
      <w:pgSz w:w="12240" w:h="15840"/>
      <w:pgMar w:top="2694" w:right="1418" w:bottom="2410" w:left="1418"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0904" w:rsidRDefault="00230904" w:rsidP="0089518B">
      <w:pPr>
        <w:spacing w:after="0" w:line="240" w:lineRule="auto"/>
      </w:pPr>
      <w:r>
        <w:separator/>
      </w:r>
    </w:p>
  </w:endnote>
  <w:endnote w:type="continuationSeparator" w:id="0">
    <w:p w:rsidR="00230904" w:rsidRDefault="00230904" w:rsidP="00895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262" w:rsidRPr="00B25DBC" w:rsidRDefault="00CB4262" w:rsidP="00CB4262">
    <w:pPr>
      <w:pStyle w:val="Piedepgina"/>
      <w:tabs>
        <w:tab w:val="clear" w:pos="8838"/>
        <w:tab w:val="right" w:pos="9214"/>
        <w:tab w:val="left" w:pos="9356"/>
      </w:tabs>
      <w:ind w:right="-235"/>
      <w:jc w:val="center"/>
      <w:rPr>
        <w:rFonts w:ascii="Times New Roman" w:hAnsi="Times New Roman" w:cs="Times New Roman"/>
        <w:b/>
      </w:rPr>
    </w:pPr>
    <w:r w:rsidRPr="00B25DBC">
      <w:rPr>
        <w:rFonts w:ascii="Times New Roman" w:hAnsi="Times New Roman" w:cs="Times New Roman"/>
        <w:b/>
      </w:rPr>
      <w:t>_____________________________________</w:t>
    </w:r>
  </w:p>
  <w:p w:rsidR="00CB4262" w:rsidRDefault="00CB4262" w:rsidP="00CB4262">
    <w:pPr>
      <w:pStyle w:val="Piedepgina"/>
      <w:tabs>
        <w:tab w:val="clear" w:pos="8838"/>
        <w:tab w:val="right" w:pos="9214"/>
        <w:tab w:val="left" w:pos="9356"/>
      </w:tabs>
      <w:ind w:right="-235"/>
      <w:rPr>
        <w:rFonts w:ascii="Times New Roman" w:hAnsi="Times New Roman" w:cs="Times New Roman"/>
      </w:rPr>
    </w:pPr>
  </w:p>
  <w:p w:rsidR="00CB4262" w:rsidRPr="00B25DBC" w:rsidRDefault="00CB4262" w:rsidP="00CB4262">
    <w:pPr>
      <w:pStyle w:val="Piedepgina"/>
      <w:tabs>
        <w:tab w:val="clear" w:pos="8838"/>
        <w:tab w:val="right" w:pos="9214"/>
        <w:tab w:val="left" w:pos="9356"/>
      </w:tabs>
      <w:ind w:right="-235"/>
      <w:rPr>
        <w:rFonts w:ascii="Times New Roman" w:hAnsi="Times New Roman" w:cs="Times New Roman"/>
        <w:sz w:val="20"/>
        <w:szCs w:val="20"/>
      </w:rPr>
    </w:pPr>
    <w:r w:rsidRPr="00B25DBC">
      <w:rPr>
        <w:rFonts w:ascii="Times New Roman" w:hAnsi="Times New Roman" w:cs="Times New Roman"/>
        <w:sz w:val="20"/>
        <w:szCs w:val="20"/>
      </w:rPr>
      <w:t>Boulevard Merliot y Avenida Jayaque, Edificio DNM, Urbanización Jardines del Volcán, Santa Tecla, La Libertad</w:t>
    </w:r>
  </w:p>
  <w:p w:rsidR="00CB4262" w:rsidRPr="00B25DBC" w:rsidRDefault="00CB4262" w:rsidP="00CB4262">
    <w:pPr>
      <w:pStyle w:val="Piedepgina"/>
      <w:tabs>
        <w:tab w:val="clear" w:pos="8838"/>
        <w:tab w:val="right" w:pos="9214"/>
        <w:tab w:val="left" w:pos="9356"/>
      </w:tabs>
      <w:ind w:right="-235"/>
      <w:jc w:val="center"/>
      <w:rPr>
        <w:rFonts w:ascii="Times New Roman" w:hAnsi="Times New Roman" w:cs="Times New Roman"/>
        <w:sz w:val="20"/>
        <w:szCs w:val="20"/>
      </w:rPr>
    </w:pPr>
    <w:r w:rsidRPr="00B25DBC">
      <w:rPr>
        <w:rFonts w:ascii="Times New Roman" w:hAnsi="Times New Roman" w:cs="Times New Roman"/>
        <w:sz w:val="20"/>
        <w:szCs w:val="20"/>
      </w:rPr>
      <w:t>El Salvador, América Central.</w:t>
    </w:r>
  </w:p>
  <w:p w:rsidR="00CB4262" w:rsidRPr="00B25DBC" w:rsidRDefault="00CA7F42" w:rsidP="00CB4262">
    <w:pPr>
      <w:pStyle w:val="Piedepgina"/>
      <w:tabs>
        <w:tab w:val="clear" w:pos="8838"/>
        <w:tab w:val="right" w:pos="9214"/>
        <w:tab w:val="left" w:pos="9356"/>
      </w:tabs>
      <w:ind w:right="-235"/>
      <w:jc w:val="center"/>
      <w:rPr>
        <w:rFonts w:ascii="Times New Roman" w:hAnsi="Times New Roman" w:cs="Times New Roman"/>
        <w:sz w:val="20"/>
        <w:szCs w:val="20"/>
      </w:rPr>
    </w:pPr>
    <w:r>
      <w:rPr>
        <w:rFonts w:ascii="Times New Roman" w:hAnsi="Times New Roman" w:cs="Times New Roman"/>
        <w:sz w:val="20"/>
        <w:szCs w:val="20"/>
      </w:rPr>
      <w:t>PBX: (503) 2522-507</w:t>
    </w:r>
    <w:r w:rsidR="00CB4262" w:rsidRPr="00B25DBC">
      <w:rPr>
        <w:rFonts w:ascii="Times New Roman" w:hAnsi="Times New Roman" w:cs="Times New Roman"/>
        <w:sz w:val="20"/>
        <w:szCs w:val="20"/>
      </w:rPr>
      <w:t xml:space="preserve">0 e-mail: </w:t>
    </w:r>
    <w:r>
      <w:rPr>
        <w:rFonts w:ascii="Times New Roman" w:hAnsi="Times New Roman" w:cs="Times New Roman"/>
        <w:sz w:val="20"/>
        <w:szCs w:val="20"/>
      </w:rPr>
      <w:t>uaip@medicamentos.gob.sv</w:t>
    </w:r>
  </w:p>
  <w:p w:rsidR="001F3FDF" w:rsidRDefault="004522A7" w:rsidP="0073670F">
    <w:pPr>
      <w:pStyle w:val="Piedepgina"/>
      <w:tabs>
        <w:tab w:val="clear" w:pos="4419"/>
        <w:tab w:val="clear" w:pos="8838"/>
        <w:tab w:val="left" w:pos="5370"/>
      </w:tabs>
    </w:pPr>
    <w:r>
      <w:rPr>
        <w:noProof/>
        <w:lang w:eastAsia="es-SV"/>
      </w:rPr>
      <mc:AlternateContent>
        <mc:Choice Requires="wps">
          <w:drawing>
            <wp:anchor distT="45720" distB="45720" distL="114300" distR="114300" simplePos="0" relativeHeight="251660288" behindDoc="0" locked="0" layoutInCell="1" allowOverlap="1" wp14:anchorId="264FB284" wp14:editId="5A80480B">
              <wp:simplePos x="0" y="0"/>
              <wp:positionH relativeFrom="column">
                <wp:posOffset>4951095</wp:posOffset>
              </wp:positionH>
              <wp:positionV relativeFrom="paragraph">
                <wp:posOffset>182245</wp:posOffset>
              </wp:positionV>
              <wp:extent cx="1661795" cy="269875"/>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795" cy="269875"/>
                      </a:xfrm>
                      <a:prstGeom prst="rect">
                        <a:avLst/>
                      </a:prstGeom>
                      <a:noFill/>
                      <a:ln w="9525">
                        <a:noFill/>
                        <a:miter lim="800000"/>
                        <a:headEnd/>
                        <a:tailEnd/>
                      </a:ln>
                    </wps:spPr>
                    <wps:txbx>
                      <w:txbxContent>
                        <w:p w:rsidR="001F3FDF" w:rsidRPr="001F3FDF" w:rsidRDefault="001F3FDF" w:rsidP="001F3FDF">
                          <w:pPr>
                            <w:jc w:val="right"/>
                            <w:rPr>
                              <w:rFonts w:ascii="Times New Roman" w:hAnsi="Times New Roman" w:cs="Times New Roman"/>
                              <w:sz w:val="18"/>
                            </w:rPr>
                          </w:pPr>
                          <w:r w:rsidRPr="001F3FDF">
                            <w:rPr>
                              <w:rFonts w:ascii="Times New Roman" w:hAnsi="Times New Roman" w:cs="Times New Roman"/>
                              <w:sz w:val="18"/>
                            </w:rPr>
                            <w:t>E03-PL-01-UADC.HER15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4FB284" id="_x0000_t202" coordsize="21600,21600" o:spt="202" path="m,l,21600r21600,l21600,xe">
              <v:stroke joinstyle="miter"/>
              <v:path gradientshapeok="t" o:connecttype="rect"/>
            </v:shapetype>
            <v:shape id="Cuadro de texto 2" o:spid="_x0000_s1026" type="#_x0000_t202" style="position:absolute;margin-left:389.85pt;margin-top:14.35pt;width:130.85pt;height:21.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" filled="f" stroked="f">
              <v:textbox>
                <w:txbxContent>
                  <w:p w:rsidR="001F3FDF" w:rsidRPr="001F3FDF" w:rsidRDefault="001F3FDF" w:rsidP="001F3FDF">
                    <w:pPr>
                      <w:jc w:val="right"/>
                      <w:rPr>
                        <w:rFonts w:ascii="Times New Roman" w:hAnsi="Times New Roman" w:cs="Times New Roman"/>
                        <w:sz w:val="18"/>
                      </w:rPr>
                    </w:pPr>
                    <w:r w:rsidRPr="001F3FDF">
                      <w:rPr>
                        <w:rFonts w:ascii="Times New Roman" w:hAnsi="Times New Roman" w:cs="Times New Roman"/>
                        <w:sz w:val="18"/>
                      </w:rPr>
                      <w:t>E03-PL-01-UADC.HER15</w:t>
                    </w:r>
                  </w:p>
                </w:txbxContent>
              </v:textbox>
              <w10:wrap type="square"/>
            </v:shape>
          </w:pict>
        </mc:Fallback>
      </mc:AlternateContent>
    </w:r>
    <w:r w:rsidR="0073670F">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0904" w:rsidRDefault="00230904" w:rsidP="0089518B">
      <w:pPr>
        <w:spacing w:after="0" w:line="240" w:lineRule="auto"/>
      </w:pPr>
      <w:r>
        <w:separator/>
      </w:r>
    </w:p>
  </w:footnote>
  <w:footnote w:type="continuationSeparator" w:id="0">
    <w:p w:rsidR="00230904" w:rsidRDefault="00230904" w:rsidP="008951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518B" w:rsidRDefault="00BF3DE8" w:rsidP="00CB4262">
    <w:pPr>
      <w:pStyle w:val="Encabezado"/>
      <w:ind w:left="-709"/>
      <w:jc w:val="center"/>
    </w:pPr>
    <w:r>
      <w:rPr>
        <w:noProof/>
        <w:lang w:eastAsia="es-SV"/>
      </w:rPr>
      <w:drawing>
        <wp:anchor distT="0" distB="0" distL="114300" distR="114300" simplePos="0" relativeHeight="251662336" behindDoc="1" locked="0" layoutInCell="1" allowOverlap="1" wp14:anchorId="26A950E0" wp14:editId="48907AEA">
          <wp:simplePos x="0" y="0"/>
          <wp:positionH relativeFrom="margin">
            <wp:posOffset>-786130</wp:posOffset>
          </wp:positionH>
          <wp:positionV relativeFrom="paragraph">
            <wp:posOffset>1600835</wp:posOffset>
          </wp:positionV>
          <wp:extent cx="7657465" cy="6696075"/>
          <wp:effectExtent l="0" t="0" r="635" b="0"/>
          <wp:wrapNone/>
          <wp:docPr id="2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rotWithShape="1">
                  <a:blip r:embed="rId1" cstate="print">
                    <a:extLst>
                      <a:ext uri="{28A0092B-C50C-407E-A947-70E740481C1C}">
                        <a14:useLocalDpi xmlns:a14="http://schemas.microsoft.com/office/drawing/2010/main" val="0"/>
                      </a:ext>
                    </a:extLst>
                  </a:blip>
                  <a:srcRect t="18393" b="12051"/>
                  <a:stretch/>
                </pic:blipFill>
                <pic:spPr bwMode="auto">
                  <a:xfrm>
                    <a:off x="0" y="0"/>
                    <a:ext cx="7671775" cy="670858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B4262">
      <w:rPr>
        <w:noProof/>
        <w:lang w:eastAsia="es-SV"/>
      </w:rPr>
      <w:drawing>
        <wp:inline distT="0" distB="0" distL="0" distR="0" wp14:anchorId="5BF39B03" wp14:editId="2B8EB183">
          <wp:extent cx="6815349" cy="1333500"/>
          <wp:effectExtent l="0" t="0" r="0" b="0"/>
          <wp:docPr id="5" name="Imagen 5" descr="COMPARTIDO-MATERIAL_MEDICINA_TODOS:NUEVA DNM:encabez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OMPARTIDO-MATERIAL_MEDICINA_TODOS:NUEVA DNM:encabezado.png"/>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6911561" cy="13523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9235FA"/>
    <w:multiLevelType w:val="hybridMultilevel"/>
    <w:tmpl w:val="D382DE5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16A61880"/>
    <w:multiLevelType w:val="hybridMultilevel"/>
    <w:tmpl w:val="3D8218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8BC2901"/>
    <w:multiLevelType w:val="hybridMultilevel"/>
    <w:tmpl w:val="319A4B8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1AC65B6D"/>
    <w:multiLevelType w:val="hybridMultilevel"/>
    <w:tmpl w:val="5CDE07D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321F10D8"/>
    <w:multiLevelType w:val="hybridMultilevel"/>
    <w:tmpl w:val="F9A6FAB2"/>
    <w:lvl w:ilvl="0" w:tplc="2BE6A61C">
      <w:start w:val="1"/>
      <w:numFmt w:val="upperRoman"/>
      <w:lvlText w:val="%1)"/>
      <w:lvlJc w:val="left"/>
      <w:pPr>
        <w:ind w:left="1080" w:hanging="720"/>
      </w:pPr>
      <w:rPr>
        <w:rFonts w:ascii="Calibri" w:eastAsia="Calibri" w:hAnsi="Calibri" w:cs="Times New Roman" w:hint="default"/>
        <w:b w:val="0"/>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481E6582"/>
    <w:multiLevelType w:val="hybridMultilevel"/>
    <w:tmpl w:val="0F848C0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51E51745"/>
    <w:multiLevelType w:val="hybridMultilevel"/>
    <w:tmpl w:val="C57E16F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52901BD4"/>
    <w:multiLevelType w:val="hybridMultilevel"/>
    <w:tmpl w:val="8C7E52DE"/>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532457D7"/>
    <w:multiLevelType w:val="hybridMultilevel"/>
    <w:tmpl w:val="B0C8891A"/>
    <w:lvl w:ilvl="0" w:tplc="1DC0DA36">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
    <w:nsid w:val="555D096A"/>
    <w:multiLevelType w:val="hybridMultilevel"/>
    <w:tmpl w:val="D2663D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nsid w:val="5BEA7CB6"/>
    <w:multiLevelType w:val="hybridMultilevel"/>
    <w:tmpl w:val="366E83D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nsid w:val="67462324"/>
    <w:multiLevelType w:val="hybridMultilevel"/>
    <w:tmpl w:val="FA760F40"/>
    <w:lvl w:ilvl="0" w:tplc="F474C9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6B183B4E"/>
    <w:multiLevelType w:val="hybridMultilevel"/>
    <w:tmpl w:val="AC46960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nsid w:val="70CB7BA9"/>
    <w:multiLevelType w:val="hybridMultilevel"/>
    <w:tmpl w:val="CDAA7E5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nsid w:val="79D81C1C"/>
    <w:multiLevelType w:val="hybridMultilevel"/>
    <w:tmpl w:val="4D1E0C84"/>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5">
    <w:nsid w:val="7ADD3A07"/>
    <w:multiLevelType w:val="hybridMultilevel"/>
    <w:tmpl w:val="DC96ECC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nsid w:val="7AF26283"/>
    <w:multiLevelType w:val="hybridMultilevel"/>
    <w:tmpl w:val="70E21DE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8"/>
  </w:num>
  <w:num w:numId="2">
    <w:abstractNumId w:val="10"/>
  </w:num>
  <w:num w:numId="3">
    <w:abstractNumId w:val="9"/>
  </w:num>
  <w:num w:numId="4">
    <w:abstractNumId w:val="0"/>
  </w:num>
  <w:num w:numId="5">
    <w:abstractNumId w:val="13"/>
  </w:num>
  <w:num w:numId="6">
    <w:abstractNumId w:val="12"/>
  </w:num>
  <w:num w:numId="7">
    <w:abstractNumId w:val="15"/>
  </w:num>
  <w:num w:numId="8">
    <w:abstractNumId w:val="5"/>
  </w:num>
  <w:num w:numId="9">
    <w:abstractNumId w:val="6"/>
  </w:num>
  <w:num w:numId="10">
    <w:abstractNumId w:val="3"/>
  </w:num>
  <w:num w:numId="11">
    <w:abstractNumId w:val="2"/>
  </w:num>
  <w:num w:numId="12">
    <w:abstractNumId w:val="4"/>
  </w:num>
  <w:num w:numId="13">
    <w:abstractNumId w:val="16"/>
  </w:num>
  <w:num w:numId="14">
    <w:abstractNumId w:val="7"/>
  </w:num>
  <w:num w:numId="15">
    <w:abstractNumId w:val="11"/>
  </w:num>
  <w:num w:numId="16">
    <w:abstractNumId w:val="1"/>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B74"/>
    <w:rsid w:val="000578A1"/>
    <w:rsid w:val="0010717E"/>
    <w:rsid w:val="001431C6"/>
    <w:rsid w:val="001F3FDF"/>
    <w:rsid w:val="00230904"/>
    <w:rsid w:val="0024071F"/>
    <w:rsid w:val="00244D7D"/>
    <w:rsid w:val="00272251"/>
    <w:rsid w:val="00274E23"/>
    <w:rsid w:val="00295CDD"/>
    <w:rsid w:val="0038059B"/>
    <w:rsid w:val="003A7E82"/>
    <w:rsid w:val="003B572B"/>
    <w:rsid w:val="004025E5"/>
    <w:rsid w:val="004522A7"/>
    <w:rsid w:val="00482330"/>
    <w:rsid w:val="00560A0A"/>
    <w:rsid w:val="005923F9"/>
    <w:rsid w:val="005B1ACF"/>
    <w:rsid w:val="00624C9A"/>
    <w:rsid w:val="006504BB"/>
    <w:rsid w:val="006A02A5"/>
    <w:rsid w:val="006B0286"/>
    <w:rsid w:val="0073670F"/>
    <w:rsid w:val="007452FB"/>
    <w:rsid w:val="007F6026"/>
    <w:rsid w:val="00810386"/>
    <w:rsid w:val="0081446A"/>
    <w:rsid w:val="00827CFD"/>
    <w:rsid w:val="008809EF"/>
    <w:rsid w:val="00891456"/>
    <w:rsid w:val="0089518B"/>
    <w:rsid w:val="00902339"/>
    <w:rsid w:val="00905359"/>
    <w:rsid w:val="00910A2C"/>
    <w:rsid w:val="00936E45"/>
    <w:rsid w:val="00990914"/>
    <w:rsid w:val="00A0033F"/>
    <w:rsid w:val="00B91896"/>
    <w:rsid w:val="00BF3DE8"/>
    <w:rsid w:val="00C13488"/>
    <w:rsid w:val="00C7422B"/>
    <w:rsid w:val="00CA7F42"/>
    <w:rsid w:val="00CB4262"/>
    <w:rsid w:val="00CB434A"/>
    <w:rsid w:val="00D42012"/>
    <w:rsid w:val="00D95243"/>
    <w:rsid w:val="00DD0C87"/>
    <w:rsid w:val="00F04B74"/>
    <w:rsid w:val="00F06CE0"/>
    <w:rsid w:val="00F301FD"/>
    <w:rsid w:val="00F666C8"/>
    <w:rsid w:val="00F91FD1"/>
    <w:rsid w:val="00FB7C8B"/>
    <w:rsid w:val="00FC3EB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40DD0A9D-CDEC-45BB-A288-9B930C58C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04B7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04B74"/>
    <w:rPr>
      <w:rFonts w:ascii="Tahoma" w:hAnsi="Tahoma" w:cs="Tahoma"/>
      <w:sz w:val="16"/>
      <w:szCs w:val="16"/>
    </w:rPr>
  </w:style>
  <w:style w:type="character" w:styleId="Textoennegrita">
    <w:name w:val="Strong"/>
    <w:basedOn w:val="Fuentedeprrafopredeter"/>
    <w:uiPriority w:val="22"/>
    <w:qFormat/>
    <w:rsid w:val="00F04B74"/>
    <w:rPr>
      <w:b/>
      <w:bCs/>
    </w:rPr>
  </w:style>
  <w:style w:type="paragraph" w:customStyle="1" w:styleId="Default">
    <w:name w:val="Default"/>
    <w:rsid w:val="0089518B"/>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89518B"/>
    <w:pPr>
      <w:ind w:left="720"/>
      <w:contextualSpacing/>
    </w:pPr>
  </w:style>
  <w:style w:type="paragraph" w:styleId="Encabezado">
    <w:name w:val="header"/>
    <w:basedOn w:val="Normal"/>
    <w:link w:val="EncabezadoCar"/>
    <w:uiPriority w:val="99"/>
    <w:unhideWhenUsed/>
    <w:rsid w:val="0089518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9518B"/>
  </w:style>
  <w:style w:type="paragraph" w:styleId="Piedepgina">
    <w:name w:val="footer"/>
    <w:basedOn w:val="Normal"/>
    <w:link w:val="PiedepginaCar"/>
    <w:uiPriority w:val="99"/>
    <w:unhideWhenUsed/>
    <w:rsid w:val="0089518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9518B"/>
  </w:style>
  <w:style w:type="character" w:styleId="Hipervnculo">
    <w:name w:val="Hyperlink"/>
    <w:basedOn w:val="Fuentedeprrafopredeter"/>
    <w:uiPriority w:val="99"/>
    <w:unhideWhenUsed/>
    <w:rsid w:val="00244D7D"/>
    <w:rPr>
      <w:color w:val="0000FF" w:themeColor="hyperlink"/>
      <w:u w:val="single"/>
    </w:rPr>
  </w:style>
  <w:style w:type="table" w:styleId="Tablaconcuadrcula">
    <w:name w:val="Table Grid"/>
    <w:basedOn w:val="Tablanormal"/>
    <w:uiPriority w:val="59"/>
    <w:rsid w:val="00990914"/>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274E23"/>
    <w:pPr>
      <w:spacing w:after="0" w:line="240" w:lineRule="auto"/>
    </w:pPr>
    <w:rPr>
      <w:rFonts w:ascii="Calibri" w:eastAsia="Calibri" w:hAnsi="Calibri" w:cs="Times New Roman"/>
      <w:lang w:val="en-US"/>
    </w:rPr>
  </w:style>
  <w:style w:type="paragraph" w:styleId="NormalWeb">
    <w:name w:val="Normal (Web)"/>
    <w:basedOn w:val="Normal"/>
    <w:uiPriority w:val="99"/>
    <w:unhideWhenUsed/>
    <w:rsid w:val="00274E23"/>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84896">
      <w:bodyDiv w:val="1"/>
      <w:marLeft w:val="0"/>
      <w:marRight w:val="0"/>
      <w:marTop w:val="0"/>
      <w:marBottom w:val="0"/>
      <w:divBdr>
        <w:top w:val="none" w:sz="0" w:space="0" w:color="auto"/>
        <w:left w:val="none" w:sz="0" w:space="0" w:color="auto"/>
        <w:bottom w:val="none" w:sz="0" w:space="0" w:color="auto"/>
        <w:right w:val="none" w:sz="0" w:space="0" w:color="auto"/>
      </w:divBdr>
    </w:div>
    <w:div w:id="322315120">
      <w:bodyDiv w:val="1"/>
      <w:marLeft w:val="0"/>
      <w:marRight w:val="0"/>
      <w:marTop w:val="0"/>
      <w:marBottom w:val="0"/>
      <w:divBdr>
        <w:top w:val="none" w:sz="0" w:space="0" w:color="auto"/>
        <w:left w:val="none" w:sz="0" w:space="0" w:color="auto"/>
        <w:bottom w:val="none" w:sz="0" w:space="0" w:color="auto"/>
        <w:right w:val="none" w:sz="0" w:space="0" w:color="auto"/>
      </w:divBdr>
    </w:div>
    <w:div w:id="342974144">
      <w:bodyDiv w:val="1"/>
      <w:marLeft w:val="0"/>
      <w:marRight w:val="0"/>
      <w:marTop w:val="0"/>
      <w:marBottom w:val="0"/>
      <w:divBdr>
        <w:top w:val="none" w:sz="0" w:space="0" w:color="auto"/>
        <w:left w:val="none" w:sz="0" w:space="0" w:color="auto"/>
        <w:bottom w:val="none" w:sz="0" w:space="0" w:color="auto"/>
        <w:right w:val="none" w:sz="0" w:space="0" w:color="auto"/>
      </w:divBdr>
    </w:div>
    <w:div w:id="392628434">
      <w:bodyDiv w:val="1"/>
      <w:marLeft w:val="0"/>
      <w:marRight w:val="0"/>
      <w:marTop w:val="0"/>
      <w:marBottom w:val="0"/>
      <w:divBdr>
        <w:top w:val="none" w:sz="0" w:space="0" w:color="auto"/>
        <w:left w:val="none" w:sz="0" w:space="0" w:color="auto"/>
        <w:bottom w:val="none" w:sz="0" w:space="0" w:color="auto"/>
        <w:right w:val="none" w:sz="0" w:space="0" w:color="auto"/>
      </w:divBdr>
    </w:div>
    <w:div w:id="566188741">
      <w:bodyDiv w:val="1"/>
      <w:marLeft w:val="0"/>
      <w:marRight w:val="0"/>
      <w:marTop w:val="0"/>
      <w:marBottom w:val="0"/>
      <w:divBdr>
        <w:top w:val="none" w:sz="0" w:space="0" w:color="auto"/>
        <w:left w:val="none" w:sz="0" w:space="0" w:color="auto"/>
        <w:bottom w:val="none" w:sz="0" w:space="0" w:color="auto"/>
        <w:right w:val="none" w:sz="0" w:space="0" w:color="auto"/>
      </w:divBdr>
    </w:div>
    <w:div w:id="719549597">
      <w:bodyDiv w:val="1"/>
      <w:marLeft w:val="0"/>
      <w:marRight w:val="0"/>
      <w:marTop w:val="0"/>
      <w:marBottom w:val="0"/>
      <w:divBdr>
        <w:top w:val="none" w:sz="0" w:space="0" w:color="auto"/>
        <w:left w:val="none" w:sz="0" w:space="0" w:color="auto"/>
        <w:bottom w:val="none" w:sz="0" w:space="0" w:color="auto"/>
        <w:right w:val="none" w:sz="0" w:space="0" w:color="auto"/>
      </w:divBdr>
    </w:div>
    <w:div w:id="1338120834">
      <w:bodyDiv w:val="1"/>
      <w:marLeft w:val="0"/>
      <w:marRight w:val="0"/>
      <w:marTop w:val="0"/>
      <w:marBottom w:val="0"/>
      <w:divBdr>
        <w:top w:val="none" w:sz="0" w:space="0" w:color="auto"/>
        <w:left w:val="none" w:sz="0" w:space="0" w:color="auto"/>
        <w:bottom w:val="none" w:sz="0" w:space="0" w:color="auto"/>
        <w:right w:val="none" w:sz="0" w:space="0" w:color="auto"/>
      </w:divBdr>
    </w:div>
    <w:div w:id="1583837066">
      <w:bodyDiv w:val="1"/>
      <w:marLeft w:val="0"/>
      <w:marRight w:val="0"/>
      <w:marTop w:val="0"/>
      <w:marBottom w:val="0"/>
      <w:divBdr>
        <w:top w:val="none" w:sz="0" w:space="0" w:color="auto"/>
        <w:left w:val="none" w:sz="0" w:space="0" w:color="auto"/>
        <w:bottom w:val="none" w:sz="0" w:space="0" w:color="auto"/>
        <w:right w:val="none" w:sz="0" w:space="0" w:color="auto"/>
      </w:divBdr>
    </w:div>
    <w:div w:id="159266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cid:image005.png@01D5C615.88408400"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06F72-BDEE-420F-BE0C-59F394CE4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965</Words>
  <Characters>5311</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Roberto Rodriguez Arevalo</dc:creator>
  <cp:lastModifiedBy>Daysi Concepcion Orellana de Larin</cp:lastModifiedBy>
  <cp:revision>6</cp:revision>
  <cp:lastPrinted>2019-07-25T19:52:00Z</cp:lastPrinted>
  <dcterms:created xsi:type="dcterms:W3CDTF">2020-08-20T19:50:00Z</dcterms:created>
  <dcterms:modified xsi:type="dcterms:W3CDTF">2020-08-20T20:17:00Z</dcterms:modified>
</cp:coreProperties>
</file>