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85" w:rsidRPr="00860F03" w:rsidRDefault="00490B85" w:rsidP="00490B85">
      <w:pPr>
        <w:pStyle w:val="Sinespaciado"/>
        <w:jc w:val="right"/>
        <w:rPr>
          <w:rFonts w:asciiTheme="minorHAnsi" w:hAnsiTheme="minorHAnsi" w:cstheme="minorHAnsi"/>
          <w:lang w:val="es-SV"/>
        </w:rPr>
      </w:pPr>
      <w:r>
        <w:rPr>
          <w:rFonts w:asciiTheme="minorHAnsi" w:hAnsiTheme="minorHAnsi" w:cstheme="minorHAnsi"/>
          <w:lang w:val="es-SV"/>
        </w:rPr>
        <w:t>REFERENCIA: SAIP_</w:t>
      </w:r>
      <w:r>
        <w:rPr>
          <w:rFonts w:asciiTheme="minorHAnsi" w:hAnsiTheme="minorHAnsi" w:cstheme="minorHAnsi"/>
          <w:lang w:val="es-SV"/>
        </w:rPr>
        <w:t>2020_044</w:t>
      </w:r>
    </w:p>
    <w:p w:rsidR="00490B85" w:rsidRPr="00860F03" w:rsidRDefault="00490B85" w:rsidP="00490B85">
      <w:pPr>
        <w:pStyle w:val="Sinespaciado"/>
        <w:jc w:val="right"/>
        <w:rPr>
          <w:rFonts w:asciiTheme="minorHAnsi" w:hAnsiTheme="minorHAnsi" w:cstheme="minorHAnsi"/>
          <w:lang w:val="es-SV"/>
        </w:rPr>
      </w:pPr>
    </w:p>
    <w:p w:rsidR="00490B85" w:rsidRPr="00860F03" w:rsidRDefault="00490B85" w:rsidP="00490B85">
      <w:pPr>
        <w:pStyle w:val="Sinespaciado"/>
        <w:jc w:val="center"/>
        <w:rPr>
          <w:rFonts w:asciiTheme="minorHAnsi" w:hAnsiTheme="minorHAnsi" w:cstheme="minorHAnsi"/>
          <w:b/>
          <w:lang w:val="es-SV"/>
        </w:rPr>
      </w:pPr>
      <w:r w:rsidRPr="00860F03">
        <w:rPr>
          <w:rFonts w:asciiTheme="minorHAnsi" w:hAnsiTheme="minorHAnsi" w:cstheme="minorHAnsi"/>
          <w:b/>
          <w:lang w:val="es-SV"/>
        </w:rPr>
        <w:t>RESOLUCION FINAL DE SOLICITUD DE ACCESO A LA INFORMACION PÚBLICA</w:t>
      </w:r>
    </w:p>
    <w:p w:rsidR="00490B85" w:rsidRPr="00860F03" w:rsidRDefault="00490B85" w:rsidP="00490B85">
      <w:pPr>
        <w:pStyle w:val="Sinespaciado"/>
        <w:jc w:val="center"/>
        <w:rPr>
          <w:rFonts w:asciiTheme="minorHAnsi" w:hAnsiTheme="minorHAnsi" w:cstheme="minorHAnsi"/>
          <w:b/>
          <w:lang w:val="es-SV"/>
        </w:rPr>
      </w:pPr>
    </w:p>
    <w:p w:rsidR="00490B85" w:rsidRPr="00860F03" w:rsidRDefault="00490B85" w:rsidP="00490B85">
      <w:pPr>
        <w:pStyle w:val="Sinespaciado"/>
        <w:jc w:val="both"/>
        <w:rPr>
          <w:rFonts w:asciiTheme="minorHAnsi" w:hAnsiTheme="minorHAnsi" w:cstheme="minorHAnsi"/>
          <w:lang w:val="es-SV"/>
        </w:rPr>
      </w:pPr>
      <w:r w:rsidRPr="00860F03">
        <w:rPr>
          <w:rFonts w:asciiTheme="minorHAnsi" w:hAnsiTheme="minorHAnsi" w:cstheme="minorHAnsi"/>
          <w:b/>
          <w:lang w:val="es-SV"/>
        </w:rPr>
        <w:t>Unidad de Acceso a la Información Pública</w:t>
      </w:r>
      <w:r w:rsidRPr="00860F03">
        <w:rPr>
          <w:rFonts w:asciiTheme="minorHAnsi" w:hAnsiTheme="minorHAnsi" w:cstheme="minorHAnsi"/>
          <w:lang w:val="es-SV"/>
        </w:rPr>
        <w:t>: En la ciudad de Santa Tecla, Departamento de La Libertad, a la</w:t>
      </w:r>
      <w:r>
        <w:rPr>
          <w:rFonts w:asciiTheme="minorHAnsi" w:hAnsiTheme="minorHAnsi" w:cstheme="minorHAnsi"/>
          <w:lang w:val="es-SV"/>
        </w:rPr>
        <w:t>s nueve horas y veinticinco</w:t>
      </w:r>
      <w:r w:rsidRPr="00860F03">
        <w:rPr>
          <w:rFonts w:asciiTheme="minorHAnsi" w:hAnsiTheme="minorHAnsi" w:cstheme="minorHAnsi"/>
          <w:lang w:val="es-SV"/>
        </w:rPr>
        <w:t xml:space="preserve"> minutos del día </w:t>
      </w:r>
      <w:r>
        <w:rPr>
          <w:rFonts w:asciiTheme="minorHAnsi" w:hAnsiTheme="minorHAnsi" w:cstheme="minorHAnsi"/>
          <w:lang w:val="es-SV"/>
        </w:rPr>
        <w:t>veinticuatro</w:t>
      </w:r>
      <w:r w:rsidRPr="00860F03">
        <w:rPr>
          <w:rFonts w:asciiTheme="minorHAnsi" w:hAnsiTheme="minorHAnsi" w:cstheme="minorHAnsi"/>
          <w:lang w:val="es-SV"/>
        </w:rPr>
        <w:t xml:space="preserve"> de junio de dos mil veinte.</w:t>
      </w:r>
    </w:p>
    <w:p w:rsidR="00490B85" w:rsidRPr="00860F03" w:rsidRDefault="00490B85" w:rsidP="00490B85">
      <w:pPr>
        <w:pStyle w:val="Sinespaciado"/>
        <w:jc w:val="both"/>
        <w:rPr>
          <w:rFonts w:asciiTheme="minorHAnsi" w:hAnsiTheme="minorHAnsi" w:cstheme="minorHAnsi"/>
          <w:lang w:val="es-SV"/>
        </w:rPr>
      </w:pPr>
    </w:p>
    <w:p w:rsidR="00490B85" w:rsidRPr="00860F03" w:rsidRDefault="00490B85" w:rsidP="00490B85">
      <w:pPr>
        <w:pStyle w:val="Sinespaciado"/>
        <w:jc w:val="both"/>
        <w:rPr>
          <w:rFonts w:asciiTheme="minorHAnsi" w:hAnsiTheme="minorHAnsi" w:cstheme="minorHAnsi"/>
          <w:lang w:val="es-SV"/>
        </w:rPr>
      </w:pPr>
      <w:r w:rsidRPr="00860F03">
        <w:rPr>
          <w:rFonts w:asciiTheme="minorHAnsi" w:hAnsiTheme="minorHAnsi" w:cstheme="minorHAnsi"/>
          <w:lang w:val="es-SV"/>
        </w:rPr>
        <w:t>Vista y admitida la solicitud de acceso a la información públ</w:t>
      </w:r>
      <w:r w:rsidR="00753B84">
        <w:rPr>
          <w:rFonts w:asciiTheme="minorHAnsi" w:hAnsiTheme="minorHAnsi" w:cstheme="minorHAnsi"/>
          <w:lang w:val="es-SV"/>
        </w:rPr>
        <w:t xml:space="preserve">ica, recibida en esta oficina </w:t>
      </w:r>
      <w:r w:rsidR="00753B84" w:rsidRPr="00753B84">
        <w:rPr>
          <w:rFonts w:asciiTheme="minorHAnsi" w:hAnsiTheme="minorHAnsi" w:cstheme="minorHAnsi"/>
          <w:lang w:val="es-SV"/>
        </w:rPr>
        <w:t>el</w:t>
      </w:r>
      <w:r w:rsidRPr="00753B84">
        <w:rPr>
          <w:rFonts w:asciiTheme="minorHAnsi" w:hAnsiTheme="minorHAnsi" w:cstheme="minorHAnsi"/>
          <w:lang w:val="es-SV"/>
        </w:rPr>
        <w:t xml:space="preserve"> de </w:t>
      </w:r>
      <w:r w:rsidR="00753B84" w:rsidRPr="00753B84">
        <w:rPr>
          <w:rFonts w:asciiTheme="minorHAnsi" w:hAnsiTheme="minorHAnsi" w:cstheme="minorHAnsi"/>
          <w:lang w:val="es-SV"/>
        </w:rPr>
        <w:t xml:space="preserve">veintitrés de </w:t>
      </w:r>
      <w:r w:rsidRPr="00753B84">
        <w:rPr>
          <w:rFonts w:asciiTheme="minorHAnsi" w:hAnsiTheme="minorHAnsi" w:cstheme="minorHAnsi"/>
          <w:lang w:val="es-SV"/>
        </w:rPr>
        <w:t>marzo del presente año;</w:t>
      </w:r>
      <w:r w:rsidRPr="00860F03">
        <w:rPr>
          <w:rFonts w:asciiTheme="minorHAnsi" w:hAnsiTheme="minorHAnsi" w:cstheme="minorHAnsi"/>
          <w:lang w:val="es-SV"/>
        </w:rPr>
        <w:t xml:space="preserve"> correspondiente al expediente referencia SAIP_ 2020_</w:t>
      </w:r>
      <w:r>
        <w:rPr>
          <w:rFonts w:asciiTheme="minorHAnsi" w:hAnsiTheme="minorHAnsi" w:cstheme="minorHAnsi"/>
          <w:lang w:val="es-SV"/>
        </w:rPr>
        <w:t>0</w:t>
      </w:r>
      <w:r>
        <w:rPr>
          <w:rFonts w:asciiTheme="minorHAnsi" w:hAnsiTheme="minorHAnsi" w:cstheme="minorHAnsi"/>
          <w:lang w:val="es-SV"/>
        </w:rPr>
        <w:t>44</w:t>
      </w:r>
      <w:r w:rsidRPr="00860F03">
        <w:rPr>
          <w:rFonts w:asciiTheme="minorHAnsi" w:hAnsiTheme="minorHAnsi" w:cstheme="minorHAnsi"/>
          <w:lang w:val="es-SV"/>
        </w:rPr>
        <w:t xml:space="preserve">, mediante la cual requiere se le entregue la siguiente información: </w:t>
      </w:r>
    </w:p>
    <w:p w:rsidR="00490B85" w:rsidRPr="00860F03" w:rsidRDefault="00490B85" w:rsidP="00490B85">
      <w:pPr>
        <w:pStyle w:val="Sinespaciado"/>
        <w:jc w:val="both"/>
        <w:rPr>
          <w:rFonts w:asciiTheme="minorHAnsi" w:hAnsiTheme="minorHAnsi" w:cstheme="minorHAnsi"/>
          <w:lang w:val="es-SV"/>
        </w:rPr>
      </w:pPr>
    </w:p>
    <w:p w:rsidR="00490B85" w:rsidRPr="005610F4" w:rsidRDefault="00490B85" w:rsidP="00490B85">
      <w:pPr>
        <w:spacing w:before="100" w:beforeAutospacing="1" w:after="100" w:afterAutospacing="1"/>
        <w:jc w:val="both"/>
        <w:rPr>
          <w:rFonts w:eastAsia="Times New Roman"/>
          <w:b/>
          <w:i/>
          <w:sz w:val="20"/>
          <w:szCs w:val="20"/>
        </w:rPr>
      </w:pPr>
      <w:r w:rsidRPr="00860F03">
        <w:rPr>
          <w:rFonts w:eastAsia="Times New Roman" w:cstheme="minorHAnsi"/>
          <w:bCs/>
          <w:i/>
          <w:iCs/>
        </w:rPr>
        <w:t>“</w:t>
      </w:r>
      <w:r w:rsidRPr="005610F4">
        <w:rPr>
          <w:rFonts w:eastAsia="Times New Roman"/>
          <w:b/>
          <w:i/>
          <w:sz w:val="20"/>
          <w:szCs w:val="20"/>
        </w:rPr>
        <w:t xml:space="preserve">Resolución de autorización de funcionamiento de la empresa Proveedores Quirúrgicos Sociedad </w:t>
      </w:r>
      <w:proofErr w:type="spellStart"/>
      <w:r w:rsidRPr="005610F4">
        <w:rPr>
          <w:rFonts w:eastAsia="Times New Roman"/>
          <w:b/>
          <w:i/>
          <w:sz w:val="20"/>
          <w:szCs w:val="20"/>
        </w:rPr>
        <w:t>Anonima</w:t>
      </w:r>
      <w:proofErr w:type="spellEnd"/>
      <w:r w:rsidRPr="005610F4">
        <w:rPr>
          <w:rFonts w:eastAsia="Times New Roman"/>
          <w:b/>
          <w:i/>
          <w:sz w:val="20"/>
          <w:szCs w:val="20"/>
        </w:rPr>
        <w:t xml:space="preserve"> de Capital Variable que puede abreviarse Proveedores </w:t>
      </w:r>
      <w:proofErr w:type="spellStart"/>
      <w:r w:rsidRPr="005610F4">
        <w:rPr>
          <w:rFonts w:eastAsia="Times New Roman"/>
          <w:b/>
          <w:i/>
          <w:sz w:val="20"/>
          <w:szCs w:val="20"/>
        </w:rPr>
        <w:t>Quirrugicos</w:t>
      </w:r>
      <w:proofErr w:type="spellEnd"/>
      <w:r w:rsidRPr="005610F4">
        <w:rPr>
          <w:rFonts w:eastAsia="Times New Roman"/>
          <w:b/>
          <w:i/>
          <w:sz w:val="20"/>
          <w:szCs w:val="20"/>
        </w:rPr>
        <w:t xml:space="preserve"> S.A de C.V. ubicado en colonia San Francisco, Calle los </w:t>
      </w:r>
      <w:proofErr w:type="spellStart"/>
      <w:r w:rsidRPr="005610F4">
        <w:rPr>
          <w:rFonts w:eastAsia="Times New Roman"/>
          <w:b/>
          <w:i/>
          <w:sz w:val="20"/>
          <w:szCs w:val="20"/>
        </w:rPr>
        <w:t>BAmbues</w:t>
      </w:r>
      <w:proofErr w:type="spellEnd"/>
      <w:r w:rsidRPr="005610F4">
        <w:rPr>
          <w:rFonts w:eastAsia="Times New Roman"/>
          <w:b/>
          <w:i/>
          <w:sz w:val="20"/>
          <w:szCs w:val="20"/>
        </w:rPr>
        <w:t xml:space="preserve"> No. 12 San Salvador, Departamento de San Salvador” </w:t>
      </w:r>
    </w:p>
    <w:p w:rsidR="00490B85" w:rsidRPr="00860F03" w:rsidRDefault="00490B85" w:rsidP="00490B85">
      <w:pPr>
        <w:spacing w:after="0" w:line="240" w:lineRule="auto"/>
        <w:jc w:val="both"/>
        <w:rPr>
          <w:rFonts w:cstheme="minorHAnsi"/>
        </w:rPr>
      </w:pPr>
      <w:r w:rsidRPr="00860F03">
        <w:rPr>
          <w:rFonts w:cstheme="minorHAnsi"/>
          <w:b/>
        </w:rPr>
        <w:t>EL SUSCRITO OFICIAL DE INFORMACIÓN INTERINO, CONSIDERANDO QUE</w:t>
      </w:r>
      <w:r w:rsidRPr="00860F03">
        <w:rPr>
          <w:rFonts w:cstheme="minorHAnsi"/>
        </w:rPr>
        <w:t>:</w:t>
      </w:r>
    </w:p>
    <w:p w:rsidR="00490B85" w:rsidRPr="00860F03" w:rsidRDefault="00490B85" w:rsidP="00490B85">
      <w:pPr>
        <w:pStyle w:val="Sinespaciado"/>
        <w:jc w:val="both"/>
        <w:rPr>
          <w:rFonts w:asciiTheme="minorHAnsi" w:hAnsiTheme="minorHAnsi" w:cstheme="minorHAnsi"/>
          <w:lang w:val="es-SV"/>
        </w:rPr>
      </w:pPr>
    </w:p>
    <w:p w:rsidR="00490B85" w:rsidRPr="00860F03" w:rsidRDefault="00490B85" w:rsidP="00490B85">
      <w:pPr>
        <w:pStyle w:val="Sinespaciado"/>
        <w:numPr>
          <w:ilvl w:val="0"/>
          <w:numId w:val="3"/>
        </w:numPr>
        <w:ind w:left="709" w:hanging="425"/>
        <w:jc w:val="both"/>
        <w:rPr>
          <w:rFonts w:asciiTheme="minorHAnsi" w:hAnsiTheme="minorHAnsi" w:cstheme="minorHAnsi"/>
          <w:lang w:val="es-SV"/>
        </w:rPr>
      </w:pPr>
      <w:r w:rsidRPr="00860F03">
        <w:rPr>
          <w:rFonts w:asciiTheme="minorHAnsi" w:hAnsiTheme="minorHAnsi" w:cstheme="minorHAnsi"/>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490B85" w:rsidRPr="00860F03" w:rsidRDefault="00490B85" w:rsidP="00490B85">
      <w:pPr>
        <w:pStyle w:val="Sinespaciado"/>
        <w:ind w:left="709"/>
        <w:jc w:val="both"/>
        <w:rPr>
          <w:rFonts w:asciiTheme="minorHAnsi" w:hAnsiTheme="minorHAnsi" w:cstheme="minorHAnsi"/>
          <w:lang w:val="es-SV"/>
        </w:rPr>
      </w:pPr>
    </w:p>
    <w:p w:rsidR="00490B85" w:rsidRPr="00860F03" w:rsidRDefault="00490B85" w:rsidP="00490B85">
      <w:pPr>
        <w:pStyle w:val="Sinespaciado"/>
        <w:numPr>
          <w:ilvl w:val="0"/>
          <w:numId w:val="3"/>
        </w:numPr>
        <w:ind w:left="709" w:hanging="425"/>
        <w:jc w:val="both"/>
        <w:rPr>
          <w:rFonts w:asciiTheme="minorHAnsi" w:hAnsiTheme="minorHAnsi" w:cstheme="minorHAnsi"/>
          <w:lang w:val="es-SV"/>
        </w:rPr>
      </w:pPr>
      <w:r w:rsidRPr="00860F03">
        <w:rPr>
          <w:rFonts w:asciiTheme="minorHAnsi" w:hAnsiTheme="minorHAnsi" w:cstheme="minorHAnsi"/>
          <w:lang w:val="es-SV"/>
        </w:rPr>
        <w:t xml:space="preserve">Que mediante Decreto Legislativo N°1008, de fecha 22 de febrero de 2012, publicado en el Diario Oficial N°43, tomo 394, de fecha 12 de marzo de 2012, se crea la Dirección Nacional de Medicamentos, y </w:t>
      </w:r>
      <w:r w:rsidRPr="00860F03">
        <w:rPr>
          <w:rFonts w:asciiTheme="minorHAnsi" w:hAnsiTheme="minorHAnsi" w:cstheme="minorHAnsi"/>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860F03">
        <w:rPr>
          <w:rFonts w:asciiTheme="minorHAnsi" w:hAnsiTheme="minorHAnsi" w:cstheme="minorHAnsi"/>
          <w:lang w:val="es-SV"/>
        </w:rPr>
        <w:t xml:space="preserve">. </w:t>
      </w:r>
    </w:p>
    <w:p w:rsidR="00490B85" w:rsidRPr="00860F03" w:rsidRDefault="00490B85" w:rsidP="00490B85">
      <w:pPr>
        <w:pStyle w:val="Sinespaciado"/>
        <w:jc w:val="both"/>
        <w:rPr>
          <w:rFonts w:asciiTheme="minorHAnsi" w:hAnsiTheme="minorHAnsi" w:cstheme="minorHAnsi"/>
          <w:lang w:val="es-SV"/>
        </w:rPr>
      </w:pPr>
    </w:p>
    <w:p w:rsidR="00490B85" w:rsidRPr="00860F03" w:rsidRDefault="00490B85" w:rsidP="00490B85">
      <w:pPr>
        <w:pStyle w:val="Sinespaciado"/>
        <w:numPr>
          <w:ilvl w:val="0"/>
          <w:numId w:val="3"/>
        </w:numPr>
        <w:ind w:left="709" w:hanging="425"/>
        <w:jc w:val="both"/>
        <w:rPr>
          <w:rFonts w:asciiTheme="minorHAnsi" w:hAnsiTheme="minorHAnsi" w:cstheme="minorHAnsi"/>
          <w:lang w:val="es-SV"/>
        </w:rPr>
      </w:pPr>
      <w:r w:rsidRPr="00860F03">
        <w:rPr>
          <w:rFonts w:asciiTheme="minorHAnsi" w:hAnsiTheme="minorHAnsi" w:cstheme="minorHAnsi"/>
          <w:lang w:val="es-SV"/>
        </w:rPr>
        <w:t>El artículo 50 literales d) i) y j) de la LAIP establece dentro de las atribuciones del Oficial de Información, la de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490B85" w:rsidRPr="00860F03" w:rsidRDefault="00490B85" w:rsidP="00490B85">
      <w:pPr>
        <w:pStyle w:val="Sinespaciado"/>
        <w:ind w:left="709"/>
        <w:jc w:val="both"/>
        <w:rPr>
          <w:rFonts w:asciiTheme="minorHAnsi" w:hAnsiTheme="minorHAnsi" w:cstheme="minorHAnsi"/>
          <w:lang w:val="es-SV"/>
        </w:rPr>
      </w:pPr>
    </w:p>
    <w:p w:rsidR="00753B84" w:rsidRPr="00D03445" w:rsidRDefault="00753B84" w:rsidP="00753B84">
      <w:pPr>
        <w:pStyle w:val="Sinespaciado"/>
        <w:numPr>
          <w:ilvl w:val="0"/>
          <w:numId w:val="3"/>
        </w:numPr>
        <w:ind w:left="709" w:hanging="425"/>
        <w:jc w:val="both"/>
        <w:rPr>
          <w:sz w:val="20"/>
          <w:szCs w:val="20"/>
          <w:lang w:val="es-SV"/>
        </w:rPr>
      </w:pPr>
      <w:r w:rsidRPr="00D03445">
        <w:rPr>
          <w:sz w:val="20"/>
          <w:szCs w:val="20"/>
          <w:lang w:val="es-SV"/>
        </w:rPr>
        <w:t xml:space="preserve">El artículo 62 LAIP establece que en caso la información solicitada por la persona ya esté disponible al público (entre otros medios) en archivos por 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w:t>
      </w:r>
      <w:r w:rsidRPr="00D03445">
        <w:rPr>
          <w:sz w:val="20"/>
          <w:szCs w:val="20"/>
          <w:lang w:val="es-SV"/>
        </w:rPr>
        <w:lastRenderedPageBreak/>
        <w:t>público sin que medie solicitud de información; para el presente caso, el enlace en donde encontrara la información es el siguiente:</w:t>
      </w:r>
      <w:r w:rsidRPr="00D03445">
        <w:rPr>
          <w:sz w:val="14"/>
          <w:szCs w:val="20"/>
          <w:lang w:val="es-SV"/>
        </w:rPr>
        <w:t xml:space="preserve"> </w:t>
      </w:r>
      <w:hyperlink r:id="rId7" w:history="1">
        <w:r w:rsidRPr="00D03445">
          <w:rPr>
            <w:rStyle w:val="Hipervnculo"/>
            <w:sz w:val="20"/>
            <w:lang w:val="es-SV"/>
          </w:rPr>
          <w:t>https://www.medicamentos.gob.sv/index.php/es/servicios-m/en-linea/expediente-electronico-de-insumos-medicos</w:t>
        </w:r>
      </w:hyperlink>
    </w:p>
    <w:p w:rsidR="00753B84" w:rsidRPr="00753B84" w:rsidRDefault="00753B84" w:rsidP="00753B84">
      <w:pPr>
        <w:pStyle w:val="Sinespaciado"/>
        <w:ind w:left="709"/>
        <w:jc w:val="both"/>
        <w:rPr>
          <w:rFonts w:asciiTheme="minorHAnsi" w:hAnsiTheme="minorHAnsi" w:cstheme="minorHAnsi"/>
          <w:lang w:val="es-SV"/>
        </w:rPr>
      </w:pPr>
    </w:p>
    <w:p w:rsidR="00490B85" w:rsidRPr="00860F03" w:rsidRDefault="00490B85" w:rsidP="00490B85">
      <w:pPr>
        <w:pStyle w:val="Sinespaciado"/>
        <w:numPr>
          <w:ilvl w:val="0"/>
          <w:numId w:val="3"/>
        </w:numPr>
        <w:ind w:left="709" w:hanging="425"/>
        <w:jc w:val="both"/>
        <w:rPr>
          <w:rFonts w:asciiTheme="minorHAnsi" w:hAnsiTheme="minorHAnsi" w:cstheme="minorHAnsi"/>
          <w:lang w:val="es-SV"/>
        </w:rPr>
      </w:pPr>
      <w:r w:rsidRPr="00860F03">
        <w:rPr>
          <w:rFonts w:asciiTheme="minorHAnsi" w:eastAsia="Times New Roman" w:hAnsiTheme="minorHAnsi" w:cstheme="minorHAnsi"/>
          <w:noProof/>
          <w:lang w:val="es-ES" w:eastAsia="es-SV"/>
        </w:rPr>
        <w:t xml:space="preserve">El </w:t>
      </w:r>
      <w:r w:rsidRPr="00860F03">
        <w:rPr>
          <w:rFonts w:asciiTheme="minorHAnsi" w:hAnsiTheme="minorHAnsi" w:cstheme="minorHAnsi"/>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490B85" w:rsidRPr="00860F03" w:rsidRDefault="00490B85" w:rsidP="00490B85">
      <w:pPr>
        <w:pStyle w:val="Sinespaciado"/>
        <w:ind w:left="709"/>
        <w:jc w:val="both"/>
        <w:rPr>
          <w:rFonts w:asciiTheme="minorHAnsi" w:eastAsia="Times New Roman" w:hAnsiTheme="minorHAnsi" w:cstheme="minorHAnsi"/>
          <w:noProof/>
          <w:lang w:val="es-ES" w:eastAsia="es-SV"/>
        </w:rPr>
      </w:pPr>
    </w:p>
    <w:p w:rsidR="00490B85" w:rsidRPr="00860F03" w:rsidRDefault="00490B85" w:rsidP="00490B85">
      <w:pPr>
        <w:pStyle w:val="Prrafodelista"/>
        <w:numPr>
          <w:ilvl w:val="0"/>
          <w:numId w:val="3"/>
        </w:numPr>
        <w:spacing w:after="0" w:line="240" w:lineRule="auto"/>
        <w:ind w:left="709" w:hanging="349"/>
        <w:contextualSpacing w:val="0"/>
        <w:jc w:val="both"/>
        <w:rPr>
          <w:rFonts w:cstheme="minorHAnsi"/>
        </w:rPr>
      </w:pPr>
      <w:r w:rsidRPr="00860F03">
        <w:rPr>
          <w:rFonts w:cstheme="minorHAnsi"/>
        </w:rPr>
        <w:t>Que</w:t>
      </w:r>
      <w:r>
        <w:rPr>
          <w:rFonts w:cstheme="minorHAnsi"/>
        </w:rPr>
        <w:t>,</w:t>
      </w:r>
      <w:r w:rsidRPr="00860F03">
        <w:rPr>
          <w:rFonts w:cstheme="minorHAnsi"/>
        </w:rPr>
        <w:t xml:space="preserve"> no obstante haberse presentada la solicitud de requerimiento de información en fecha </w:t>
      </w:r>
      <w:r w:rsidR="00753B84">
        <w:rPr>
          <w:rFonts w:cstheme="minorHAnsi"/>
        </w:rPr>
        <w:t>veinticuatro</w:t>
      </w:r>
      <w:r w:rsidRPr="00860F03">
        <w:rPr>
          <w:rFonts w:cstheme="minorHAnsi"/>
        </w:rPr>
        <w:t xml:space="preserve"> de marzo del corriente año, se corrieron los plazos de acuerdo a los siguientes decretos: De conformidad al artículo 9 del Decreto Legislativo No. 593, de fecha 14 de marzo del corriente año, publicado en el Diario Oficial No. 52, Tomo No. 426, de esa misma fecha, por medio del cual a partir del día de su publicación se suspendieron los términos y plazos en los procesos administrativos y judiciales durante el período de 30 días. De conformidad al artículo 1 del Decreto Legislativo No. 631, de fecha 16 de abril del corriente año, publicado en el Diario Oficial No. 77, Tomo No. 427, de esa misma fecha, por medio del cual se prorrogó el decreto mencionado en el romano que antecede, por un plazo de quince días a partir de su publicación, el cual finalizó sus efectos, el primero de mayo del corriente año. De conformidad al artículo 1 del Decreto Legislativo No. 634, de fecha 30 de abril del corriente año, publicado en el Diario Oficial No. 87, Tomo No. 427, de esa misma fecha, por medio del cual se prorrogó el decreto mencionado en el romano I del presente, por un plazo de quince días a partir del 2 de mayo del corriente año, el cual finalizó sus efectos, el día 16 del mismo mes y año. De conformidad al artículo 1 del Decreto Legislativo No. 644, de fecha 14 de mayo del corriente año, publicado en el Diario Oficial No. 99, Tomo No. 427, de fecha 16 de mayo del corriente año, por medio del cual se extiende por ocho días a partir del 17 de mayo del corriente año, la suspensión de los términos y plazos en los procesos administrativos y judiciales. De conformidad a resolución de adopción de medida cautelar dentro del proceso de inconstitucionalidad bajo la referencia 63-2020, emitida el 22 de mayo del corriente año, por la Sala de lo Constitucional de la Corte Suprema de Justicia de la República, en la que suspendió provisionalmente la vigencia del Decreto Ejecutivo número 19, mientras dure la tramitación del proceso de inconstitucional planteada sobre el mismo, adicionalmente, resolvió, </w:t>
      </w:r>
      <w:r w:rsidRPr="00860F03">
        <w:rPr>
          <w:rFonts w:cstheme="minorHAnsi"/>
          <w:i/>
          <w:iCs/>
        </w:rPr>
        <w:t>“</w:t>
      </w:r>
      <w:proofErr w:type="spellStart"/>
      <w:r w:rsidRPr="00860F03">
        <w:rPr>
          <w:rFonts w:cstheme="minorHAnsi"/>
          <w:i/>
          <w:iCs/>
        </w:rPr>
        <w:t>Revívese</w:t>
      </w:r>
      <w:proofErr w:type="spellEnd"/>
      <w:r w:rsidRPr="00860F03">
        <w:rPr>
          <w:rFonts w:cstheme="minorHAnsi"/>
          <w:i/>
          <w:iCs/>
        </w:rPr>
        <w:t xml:space="preserve"> el Decreto Legislativo N° 593, aprobado el 14 de marzo de 2020 y publicado en el Diario Oficial N° 52, tomo N° 426, de 14 de marzo de 2020, por medio del cual la Asamblea Legislativa decretó el Estado de Emergencia Nacional de la Pandemia por COVID-19. La reviviscencia del Decreto Legislativo N° 593, salvo que antes se cuente con una nueva ley, estará vigente hasta el día 29 de mayo de 2020”</w:t>
      </w:r>
      <w:r w:rsidRPr="00860F03">
        <w:rPr>
          <w:rFonts w:cstheme="minorHAnsi"/>
        </w:rPr>
        <w:t xml:space="preserve">  De conformidad a los artículos 2 y 3 del Decreto Legislativo No. 649, de fecha 31 de mayo del corriente año, publicado en Diario Oficial No. 111, Tomo No. 427, de fecha 1 de junio del corriente año, por medio del cual se suspendió los términos y plazos en los procesos administrativos y judiciales desde el 1 el junio del corriente año hasta el 10 del mismo mes y año.</w:t>
      </w:r>
    </w:p>
    <w:p w:rsidR="00490B85" w:rsidRPr="00860F03" w:rsidRDefault="00490B85" w:rsidP="00490B85">
      <w:pPr>
        <w:pStyle w:val="Prrafodelista"/>
        <w:spacing w:after="0" w:line="240" w:lineRule="auto"/>
        <w:ind w:left="709"/>
        <w:contextualSpacing w:val="0"/>
        <w:jc w:val="both"/>
        <w:rPr>
          <w:rFonts w:cstheme="minorHAnsi"/>
        </w:rPr>
      </w:pPr>
    </w:p>
    <w:p w:rsidR="00490B85" w:rsidRPr="00860F03" w:rsidRDefault="00490B85" w:rsidP="00490B85">
      <w:pPr>
        <w:spacing w:after="0" w:line="240" w:lineRule="auto"/>
        <w:jc w:val="both"/>
        <w:rPr>
          <w:rFonts w:cstheme="minorHAnsi"/>
        </w:rPr>
      </w:pPr>
      <w:r w:rsidRPr="00860F03">
        <w:rPr>
          <w:rFonts w:cstheme="minorHAnsi"/>
          <w:lang w:val="es-ES"/>
        </w:rPr>
        <w:lastRenderedPageBreak/>
        <w:t xml:space="preserve">Por otra parte, la DNM no se encuentra exenta de las consecuencias que el COVID-19 causa a la población, siendo el caso en particular el deceso de dos parientes en primer grado de la persona que ostenta el cargo de Oficial de Información, por lo que de acuerdo al Reglamento Interno de Trabajo a este se le concedió el plazo máximo por duelo regulado, iniciando el día 15 de junio del corriente mes y año. En virtud de lo anterior y de acuerdo a lo establecido en los art 102 LAIP, 20 y 146 CPCM se alega </w:t>
      </w:r>
      <w:r w:rsidRPr="00860F03">
        <w:rPr>
          <w:rFonts w:cstheme="minorHAnsi"/>
          <w:i/>
          <w:lang w:val="es-ES"/>
        </w:rPr>
        <w:t>Justo impedimento</w:t>
      </w:r>
      <w:r w:rsidRPr="00860F03">
        <w:rPr>
          <w:rStyle w:val="Refdenotaalpie"/>
          <w:rFonts w:cstheme="minorHAnsi"/>
          <w:i/>
          <w:lang w:val="es-ES"/>
        </w:rPr>
        <w:footnoteReference w:id="1"/>
      </w:r>
      <w:r w:rsidRPr="00860F03">
        <w:rPr>
          <w:rFonts w:cstheme="minorHAnsi"/>
          <w:i/>
          <w:lang w:val="es-ES"/>
        </w:rPr>
        <w:t xml:space="preserve"> </w:t>
      </w:r>
      <w:r w:rsidRPr="00860F03">
        <w:rPr>
          <w:rFonts w:cstheme="minorHAnsi"/>
          <w:lang w:val="es-ES"/>
        </w:rPr>
        <w:t>pues por motivo de fuerza mayor antes expresada en referencia al deceso de dos parientes en primer grado de la persona que ostenta el cargo de Oficial de Información, se imposibilito entregar la información requerida a esta unidad, destacando además que dicho cargo es cubierto por solo una persona, quien no cuenta con auxiliar alguno para el desempeño de tal función.</w:t>
      </w:r>
    </w:p>
    <w:p w:rsidR="00490B85" w:rsidRPr="00860F03" w:rsidRDefault="00490B85" w:rsidP="00490B85">
      <w:pPr>
        <w:pStyle w:val="Sinespaciado"/>
        <w:jc w:val="both"/>
        <w:rPr>
          <w:rFonts w:asciiTheme="minorHAnsi" w:eastAsia="Times New Roman" w:hAnsiTheme="minorHAnsi" w:cstheme="minorHAnsi"/>
          <w:noProof/>
          <w:lang w:val="es-ES" w:eastAsia="es-SV"/>
        </w:rPr>
      </w:pPr>
    </w:p>
    <w:p w:rsidR="00490B85" w:rsidRPr="00860F03" w:rsidRDefault="00490B85" w:rsidP="00490B85">
      <w:pPr>
        <w:pStyle w:val="Sinespaciado"/>
        <w:jc w:val="both"/>
        <w:rPr>
          <w:rFonts w:asciiTheme="minorHAnsi" w:hAnsiTheme="minorHAnsi" w:cstheme="minorHAnsi"/>
          <w:lang w:val="es-SV"/>
        </w:rPr>
      </w:pPr>
      <w:r w:rsidRPr="00860F03">
        <w:rPr>
          <w:rFonts w:asciiTheme="minorHAnsi" w:eastAsia="Times New Roman" w:hAnsiTheme="minorHAnsi" w:cstheme="minorHAnsi"/>
          <w:noProof/>
          <w:lang w:val="es-ES" w:eastAsia="es-SV"/>
        </w:rPr>
        <w:t>Con base a los considerandos</w:t>
      </w:r>
      <w:r w:rsidRPr="00860F03">
        <w:rPr>
          <w:rFonts w:asciiTheme="minorHAnsi" w:hAnsiTheme="minorHAnsi" w:cstheme="minorHAnsi"/>
          <w:lang w:val="es-SV"/>
        </w:rPr>
        <w:t xml:space="preserve"> anteriores, se transmitió el requerimi</w:t>
      </w:r>
      <w:r w:rsidR="00753B84">
        <w:rPr>
          <w:rFonts w:asciiTheme="minorHAnsi" w:hAnsiTheme="minorHAnsi" w:cstheme="minorHAnsi"/>
          <w:lang w:val="es-SV"/>
        </w:rPr>
        <w:t>ento contenido en SAIP_ 2020_044</w:t>
      </w:r>
      <w:r w:rsidRPr="00860F03">
        <w:rPr>
          <w:rFonts w:asciiTheme="minorHAnsi" w:hAnsiTheme="minorHAnsi" w:cstheme="minorHAnsi"/>
          <w:lang w:val="es-SV"/>
        </w:rPr>
        <w:t>, a la Unidad de Registro Establecimiento y Poderes</w:t>
      </w:r>
      <w:r w:rsidR="00753B84">
        <w:rPr>
          <w:rFonts w:asciiTheme="minorHAnsi" w:hAnsiTheme="minorHAnsi" w:cstheme="minorHAnsi"/>
          <w:lang w:val="es-SV"/>
        </w:rPr>
        <w:t xml:space="preserve">, quien </w:t>
      </w:r>
      <w:r w:rsidR="007B036D">
        <w:rPr>
          <w:rFonts w:asciiTheme="minorHAnsi" w:hAnsiTheme="minorHAnsi" w:cstheme="minorHAnsi"/>
          <w:lang w:val="es-SV"/>
        </w:rPr>
        <w:t>mediante correo electrónico</w:t>
      </w:r>
      <w:r w:rsidR="007B036D">
        <w:rPr>
          <w:rFonts w:asciiTheme="minorHAnsi" w:hAnsiTheme="minorHAnsi" w:cstheme="minorHAnsi"/>
          <w:lang w:val="es-SV"/>
        </w:rPr>
        <w:t xml:space="preserve"> </w:t>
      </w:r>
      <w:r w:rsidR="00753B84">
        <w:rPr>
          <w:rFonts w:asciiTheme="minorHAnsi" w:hAnsiTheme="minorHAnsi" w:cstheme="minorHAnsi"/>
          <w:lang w:val="es-SV"/>
        </w:rPr>
        <w:t>brindo la siguiente respuesta</w:t>
      </w:r>
      <w:r w:rsidRPr="00860F03">
        <w:rPr>
          <w:rFonts w:asciiTheme="minorHAnsi" w:hAnsiTheme="minorHAnsi" w:cstheme="minorHAnsi"/>
          <w:lang w:val="es-SV"/>
        </w:rPr>
        <w:t xml:space="preserve">: </w:t>
      </w:r>
    </w:p>
    <w:p w:rsidR="00490B85" w:rsidRPr="00860F03" w:rsidRDefault="00490B85" w:rsidP="00490B85">
      <w:pPr>
        <w:pStyle w:val="Sinespaciado"/>
        <w:jc w:val="both"/>
        <w:rPr>
          <w:rFonts w:asciiTheme="minorHAnsi" w:hAnsiTheme="minorHAnsi" w:cstheme="minorHAnsi"/>
          <w:lang w:val="es-SV"/>
        </w:rPr>
      </w:pPr>
    </w:p>
    <w:p w:rsidR="00490B85" w:rsidRPr="00860F03" w:rsidRDefault="00490B85" w:rsidP="00490B85">
      <w:pPr>
        <w:pStyle w:val="Sinespaciado"/>
        <w:jc w:val="both"/>
        <w:rPr>
          <w:rFonts w:asciiTheme="minorHAnsi" w:hAnsiTheme="minorHAnsi" w:cstheme="minorHAnsi"/>
          <w:b/>
          <w:lang w:val="es-SV"/>
        </w:rPr>
      </w:pPr>
      <w:r w:rsidRPr="00860F03">
        <w:rPr>
          <w:rFonts w:asciiTheme="minorHAnsi" w:hAnsiTheme="minorHAnsi" w:cstheme="minorHAnsi"/>
          <w:b/>
          <w:lang w:val="es-SV"/>
        </w:rPr>
        <w:t>“”””””””””””””””””””””””””””””””””””””””””””””””””””””””””””””””””””””””””””””””””””””””””””””””””””””””””””</w:t>
      </w:r>
    </w:p>
    <w:p w:rsidR="006F6002" w:rsidRDefault="006F6002" w:rsidP="006F6002">
      <w:r>
        <w:t xml:space="preserve">En relación a la información solicitada dicho expediente puede ser consultada en el portal de la página Web de la DNM, en vista de ser de carácter </w:t>
      </w:r>
      <w:r>
        <w:t>público</w:t>
      </w:r>
      <w:r>
        <w:t>.</w:t>
      </w:r>
    </w:p>
    <w:p w:rsidR="006F6002" w:rsidRDefault="006F6002" w:rsidP="006F6002">
      <w:r>
        <w:t xml:space="preserve">Al siguiente enlace </w:t>
      </w:r>
      <w:hyperlink r:id="rId8" w:history="1">
        <w:r>
          <w:rPr>
            <w:rStyle w:val="Hipervnculo"/>
          </w:rPr>
          <w:t>https://www.medicamentos.gob.sv/index.php/es/servicios-m/en-linea/expediente-electronico-de-establecimientos</w:t>
        </w:r>
      </w:hyperlink>
    </w:p>
    <w:p w:rsidR="00490B85" w:rsidRPr="00860F03" w:rsidRDefault="006F6002" w:rsidP="006F6002">
      <w:pPr>
        <w:pStyle w:val="Sinespaciado"/>
        <w:jc w:val="both"/>
        <w:rPr>
          <w:rFonts w:asciiTheme="minorHAnsi" w:hAnsiTheme="minorHAnsi" w:cstheme="minorHAnsi"/>
          <w:b/>
          <w:lang w:val="es-SV"/>
        </w:rPr>
      </w:pPr>
      <w:r w:rsidRPr="00860F03">
        <w:rPr>
          <w:rFonts w:asciiTheme="minorHAnsi" w:hAnsiTheme="minorHAnsi" w:cstheme="minorHAnsi"/>
          <w:b/>
          <w:lang w:val="es-SV"/>
        </w:rPr>
        <w:t xml:space="preserve"> </w:t>
      </w:r>
      <w:r w:rsidR="00490B85" w:rsidRPr="00860F03">
        <w:rPr>
          <w:rFonts w:asciiTheme="minorHAnsi" w:hAnsiTheme="minorHAnsi" w:cstheme="minorHAnsi"/>
          <w:b/>
          <w:lang w:val="es-SV"/>
        </w:rPr>
        <w:t>“”””””””””””””””””””””””””””””””””””””””””””””””””””””””””””””””””””””””””””””””””””””””””””””””””””””””””””</w:t>
      </w:r>
    </w:p>
    <w:p w:rsidR="00490B85" w:rsidRPr="00860F03" w:rsidRDefault="00490B85" w:rsidP="00490B85">
      <w:pPr>
        <w:pStyle w:val="Sinespaciado"/>
        <w:jc w:val="both"/>
        <w:rPr>
          <w:rFonts w:asciiTheme="minorHAnsi" w:hAnsiTheme="minorHAnsi" w:cstheme="minorHAnsi"/>
          <w:b/>
          <w:i/>
          <w:lang w:val="es-SV"/>
        </w:rPr>
      </w:pPr>
    </w:p>
    <w:p w:rsidR="00490B85" w:rsidRPr="00860F03" w:rsidRDefault="00490B85" w:rsidP="00490B85">
      <w:pPr>
        <w:pStyle w:val="Sinespaciado"/>
        <w:jc w:val="both"/>
        <w:rPr>
          <w:rFonts w:asciiTheme="minorHAnsi" w:hAnsiTheme="minorHAnsi" w:cstheme="minorHAnsi"/>
          <w:lang w:val="es-SV"/>
        </w:rPr>
      </w:pPr>
      <w:r w:rsidRPr="00860F03">
        <w:rPr>
          <w:rFonts w:asciiTheme="minorHAnsi" w:hAnsiTheme="minorHAnsi" w:cstheme="minorHAnsi"/>
          <w:lang w:val="es-SV"/>
        </w:rPr>
        <w:t xml:space="preserve">Con base a las facultades legales previamente señaladas, el acceso a la información en poder de las instituciones públicas es un derecho reconocido en el ordenamiento jurídico nacional, </w:t>
      </w:r>
      <w:bookmarkStart w:id="0" w:name="_GoBack"/>
      <w:bookmarkEnd w:id="0"/>
      <w:r w:rsidRPr="00860F03">
        <w:rPr>
          <w:rFonts w:asciiTheme="minorHAnsi" w:hAnsiTheme="minorHAnsi" w:cstheme="minorHAnsi"/>
          <w:lang w:val="es-SV"/>
        </w:rPr>
        <w:t>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490B85" w:rsidRPr="00860F03" w:rsidRDefault="00490B85" w:rsidP="00490B85">
      <w:pPr>
        <w:pStyle w:val="Sinespaciado"/>
        <w:jc w:val="both"/>
        <w:rPr>
          <w:rFonts w:asciiTheme="minorHAnsi" w:hAnsiTheme="minorHAnsi" w:cstheme="minorHAnsi"/>
          <w:lang w:val="es-SV"/>
        </w:rPr>
      </w:pPr>
    </w:p>
    <w:p w:rsidR="00490B85" w:rsidRPr="00860F03" w:rsidRDefault="00490B85" w:rsidP="00490B85">
      <w:pPr>
        <w:pStyle w:val="Sinespaciado"/>
        <w:jc w:val="both"/>
        <w:rPr>
          <w:rFonts w:asciiTheme="minorHAnsi" w:hAnsiTheme="minorHAnsi" w:cstheme="minorHAnsi"/>
          <w:lang w:val="es-SV"/>
        </w:rPr>
      </w:pPr>
      <w:r w:rsidRPr="00860F03">
        <w:rPr>
          <w:rFonts w:asciiTheme="minorHAnsi" w:hAnsiTheme="minorHAnsi" w:cstheme="minorHAnsi"/>
          <w:b/>
          <w:lang w:val="es-SV"/>
        </w:rPr>
        <w:t>POR TANTO:</w:t>
      </w:r>
      <w:r w:rsidRPr="00860F03">
        <w:rPr>
          <w:rFonts w:asciiTheme="minorHAnsi" w:hAnsiTheme="minorHAnsi" w:cstheme="minorHAnsi"/>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860F03">
        <w:rPr>
          <w:rFonts w:asciiTheme="minorHAnsi" w:hAnsiTheme="minorHAnsi" w:cstheme="minorHAnsi"/>
          <w:b/>
          <w:lang w:val="es-SV"/>
        </w:rPr>
        <w:t>RESUELVE:</w:t>
      </w:r>
      <w:r w:rsidRPr="00860F03">
        <w:rPr>
          <w:rFonts w:asciiTheme="minorHAnsi" w:hAnsiTheme="minorHAnsi" w:cstheme="minorHAnsi"/>
          <w:lang w:val="es-SV"/>
        </w:rPr>
        <w:t xml:space="preserve"> </w:t>
      </w:r>
    </w:p>
    <w:p w:rsidR="00490B85" w:rsidRPr="00860F03" w:rsidRDefault="00490B85" w:rsidP="00490B85">
      <w:pPr>
        <w:pStyle w:val="Sinespaciado"/>
        <w:jc w:val="both"/>
        <w:rPr>
          <w:rFonts w:asciiTheme="minorHAnsi" w:hAnsiTheme="minorHAnsi" w:cstheme="minorHAnsi"/>
          <w:lang w:val="es-SV"/>
        </w:rPr>
      </w:pPr>
    </w:p>
    <w:p w:rsidR="00490B85" w:rsidRPr="00860F03" w:rsidRDefault="00490B85" w:rsidP="00490B85">
      <w:pPr>
        <w:pStyle w:val="Prrafodelista"/>
        <w:numPr>
          <w:ilvl w:val="0"/>
          <w:numId w:val="4"/>
        </w:numPr>
        <w:spacing w:after="0" w:line="240" w:lineRule="auto"/>
        <w:ind w:left="426" w:hanging="284"/>
        <w:jc w:val="both"/>
        <w:rPr>
          <w:rFonts w:eastAsia="Arial Unicode MS" w:cstheme="minorHAnsi"/>
          <w:noProof/>
          <w:lang w:eastAsia="es-SV"/>
        </w:rPr>
      </w:pPr>
      <w:r w:rsidRPr="00860F03">
        <w:rPr>
          <w:rFonts w:eastAsia="Arial Unicode MS" w:cstheme="minorHAnsi"/>
          <w:b/>
        </w:rPr>
        <w:t>CONCÉDASE</w:t>
      </w:r>
      <w:r w:rsidRPr="00860F03">
        <w:rPr>
          <w:rFonts w:eastAsia="Arial Unicode MS" w:cstheme="minorHAnsi"/>
        </w:rPr>
        <w:t xml:space="preserve"> acceso a </w:t>
      </w:r>
      <w:r>
        <w:rPr>
          <w:rFonts w:eastAsia="Arial Unicode MS" w:cstheme="minorHAnsi"/>
        </w:rPr>
        <w:t xml:space="preserve">la </w:t>
      </w:r>
      <w:r w:rsidRPr="00860F03">
        <w:rPr>
          <w:rFonts w:eastAsia="Arial Unicode MS" w:cstheme="minorHAnsi"/>
        </w:rPr>
        <w:t xml:space="preserve">información solicitada </w:t>
      </w:r>
    </w:p>
    <w:p w:rsidR="00490B85" w:rsidRPr="00860F03" w:rsidRDefault="00490B85" w:rsidP="00490B85">
      <w:pPr>
        <w:pStyle w:val="Prrafodelista"/>
        <w:spacing w:after="0" w:line="240" w:lineRule="auto"/>
        <w:ind w:left="426"/>
        <w:jc w:val="both"/>
        <w:rPr>
          <w:rFonts w:eastAsia="Arial Unicode MS" w:cstheme="minorHAnsi"/>
          <w:noProof/>
          <w:lang w:eastAsia="es-SV"/>
        </w:rPr>
      </w:pPr>
    </w:p>
    <w:p w:rsidR="00490B85" w:rsidRPr="00860F03" w:rsidRDefault="00490B85" w:rsidP="00490B85">
      <w:pPr>
        <w:pStyle w:val="Prrafodelista"/>
        <w:numPr>
          <w:ilvl w:val="0"/>
          <w:numId w:val="4"/>
        </w:numPr>
        <w:spacing w:after="0" w:line="240" w:lineRule="auto"/>
        <w:ind w:left="426" w:hanging="284"/>
        <w:jc w:val="both"/>
        <w:rPr>
          <w:rFonts w:eastAsia="Arial Unicode MS" w:cstheme="minorHAnsi"/>
          <w:noProof/>
          <w:lang w:eastAsia="es-SV"/>
        </w:rPr>
      </w:pPr>
      <w:r w:rsidRPr="00860F03">
        <w:rPr>
          <w:rFonts w:eastAsia="Arial Unicode MS" w:cstheme="minorHAnsi"/>
          <w:b/>
        </w:rPr>
        <w:t xml:space="preserve">ENTRÉGUESE </w:t>
      </w:r>
      <w:r w:rsidRPr="00860F03">
        <w:rPr>
          <w:rFonts w:eastAsia="Arial Unicode MS" w:cstheme="minorHAnsi"/>
        </w:rPr>
        <w:t xml:space="preserve">la información solicitada mediante esta resolución en correo electrónico, siendo éste es el medio señalado en el formato de solicitud. </w:t>
      </w:r>
    </w:p>
    <w:p w:rsidR="00490B85" w:rsidRPr="00860F03" w:rsidRDefault="00490B85" w:rsidP="00490B85">
      <w:pPr>
        <w:pStyle w:val="Prrafodelista"/>
        <w:spacing w:line="240" w:lineRule="auto"/>
        <w:rPr>
          <w:rFonts w:eastAsia="Arial Unicode MS" w:cstheme="minorHAnsi"/>
          <w:noProof/>
          <w:lang w:eastAsia="es-SV"/>
        </w:rPr>
      </w:pPr>
    </w:p>
    <w:p w:rsidR="00490B85" w:rsidRPr="00860F03" w:rsidRDefault="00490B85" w:rsidP="00490B85">
      <w:pPr>
        <w:pStyle w:val="Prrafodelista"/>
        <w:numPr>
          <w:ilvl w:val="0"/>
          <w:numId w:val="4"/>
        </w:numPr>
        <w:spacing w:after="0" w:line="240" w:lineRule="auto"/>
        <w:ind w:left="426" w:hanging="284"/>
        <w:jc w:val="both"/>
        <w:rPr>
          <w:rFonts w:cstheme="minorHAnsi"/>
        </w:rPr>
      </w:pPr>
      <w:r w:rsidRPr="00860F03">
        <w:rPr>
          <w:rFonts w:eastAsia="Arial Unicode MS" w:cstheme="minorHAnsi"/>
          <w:b/>
          <w:noProof/>
          <w:lang w:eastAsia="es-SV"/>
        </w:rPr>
        <w:t>NOTIFÍQUESE</w:t>
      </w:r>
      <w:r w:rsidRPr="00860F03">
        <w:rPr>
          <w:rFonts w:eastAsia="Arial Unicode MS" w:cstheme="minorHAnsi"/>
          <w:noProof/>
          <w:lang w:eastAsia="es-SV"/>
        </w:rPr>
        <w:t xml:space="preserve"> la presente resolución al correo electrónico </w:t>
      </w:r>
      <w:r w:rsidRPr="00860F03">
        <w:rPr>
          <w:rFonts w:eastAsia="Arial Unicode MS" w:cstheme="minorHAnsi"/>
        </w:rPr>
        <w:t xml:space="preserve">señalado </w:t>
      </w:r>
      <w:r w:rsidRPr="00860F03">
        <w:rPr>
          <w:rFonts w:eastAsia="Arial Unicode MS" w:cstheme="minorHAnsi"/>
          <w:noProof/>
          <w:lang w:eastAsia="es-SV"/>
        </w:rPr>
        <w:t xml:space="preserve">y déjese constancia en el expediente respectivo de la notificación. </w:t>
      </w:r>
    </w:p>
    <w:p w:rsidR="00490B85" w:rsidRPr="00860F03" w:rsidRDefault="00490B85" w:rsidP="00490B85">
      <w:pPr>
        <w:pStyle w:val="Prrafodelista"/>
        <w:rPr>
          <w:rFonts w:eastAsia="Arial Unicode MS" w:cstheme="minorHAnsi"/>
          <w:b/>
          <w:noProof/>
          <w:lang w:eastAsia="es-SV"/>
        </w:rPr>
      </w:pPr>
    </w:p>
    <w:p w:rsidR="00490B85" w:rsidRPr="00860F03" w:rsidRDefault="00490B85" w:rsidP="00490B85">
      <w:pPr>
        <w:pStyle w:val="Prrafodelista"/>
        <w:numPr>
          <w:ilvl w:val="0"/>
          <w:numId w:val="4"/>
        </w:numPr>
        <w:spacing w:after="0" w:line="240" w:lineRule="auto"/>
        <w:ind w:left="426" w:hanging="284"/>
        <w:jc w:val="both"/>
        <w:rPr>
          <w:rFonts w:cstheme="minorHAnsi"/>
        </w:rPr>
      </w:pPr>
      <w:r w:rsidRPr="00860F03">
        <w:rPr>
          <w:rFonts w:eastAsia="Arial Unicode MS" w:cstheme="minorHAnsi"/>
          <w:b/>
          <w:noProof/>
          <w:lang w:eastAsia="es-SV"/>
        </w:rPr>
        <w:t>ARCHÍVESE</w:t>
      </w:r>
      <w:r w:rsidRPr="00860F03">
        <w:rPr>
          <w:rFonts w:eastAsia="Arial Unicode MS" w:cstheme="minorHAnsi"/>
          <w:noProof/>
          <w:lang w:eastAsia="es-SV"/>
        </w:rPr>
        <w:t xml:space="preserve"> el presente expediente administrativo</w:t>
      </w:r>
    </w:p>
    <w:p w:rsidR="00490B85" w:rsidRPr="00860F03" w:rsidRDefault="00490B85" w:rsidP="00490B85">
      <w:pPr>
        <w:pStyle w:val="Prrafodelista"/>
        <w:rPr>
          <w:rFonts w:cstheme="minorHAnsi"/>
        </w:rPr>
      </w:pPr>
    </w:p>
    <w:p w:rsidR="00490B85" w:rsidRPr="00860F03" w:rsidRDefault="00490B85" w:rsidP="00490B85">
      <w:pPr>
        <w:pStyle w:val="Prrafodelista"/>
        <w:rPr>
          <w:rFonts w:cstheme="minorHAnsi"/>
        </w:rPr>
      </w:pPr>
    </w:p>
    <w:p w:rsidR="00490B85" w:rsidRPr="00860F03" w:rsidRDefault="00490B85" w:rsidP="00490B85">
      <w:pPr>
        <w:pStyle w:val="Prrafodelista"/>
        <w:rPr>
          <w:rFonts w:cstheme="minorHAnsi"/>
        </w:rPr>
      </w:pPr>
    </w:p>
    <w:p w:rsidR="00490B85" w:rsidRPr="00860F03" w:rsidRDefault="00490B85" w:rsidP="00490B85">
      <w:pPr>
        <w:spacing w:after="0" w:line="240" w:lineRule="auto"/>
        <w:jc w:val="both"/>
        <w:rPr>
          <w:rFonts w:cstheme="minorHAnsi"/>
        </w:rPr>
      </w:pPr>
    </w:p>
    <w:p w:rsidR="00490B85" w:rsidRPr="00860F03" w:rsidRDefault="00490B85" w:rsidP="00490B85">
      <w:pPr>
        <w:pStyle w:val="Sinespaciado"/>
        <w:jc w:val="center"/>
        <w:rPr>
          <w:rFonts w:asciiTheme="minorHAnsi" w:hAnsiTheme="minorHAnsi" w:cstheme="minorHAnsi"/>
          <w:noProof/>
          <w:lang w:eastAsia="es-SV"/>
        </w:rPr>
      </w:pPr>
      <w:r w:rsidRPr="00860F03">
        <w:rPr>
          <w:rFonts w:asciiTheme="minorHAnsi" w:hAnsiTheme="minorHAnsi" w:cstheme="minorHAnsi"/>
          <w:noProof/>
          <w:lang w:eastAsia="es-SV"/>
        </w:rPr>
        <w:t>_______________________________</w:t>
      </w:r>
    </w:p>
    <w:p w:rsidR="00490B85" w:rsidRPr="00860F03" w:rsidRDefault="00490B85" w:rsidP="00490B85">
      <w:pPr>
        <w:pStyle w:val="Sinespaciado"/>
        <w:jc w:val="center"/>
        <w:rPr>
          <w:rFonts w:asciiTheme="minorHAnsi" w:hAnsiTheme="minorHAnsi" w:cstheme="minorHAnsi"/>
          <w:lang w:val="es-SV"/>
        </w:rPr>
      </w:pPr>
      <w:r w:rsidRPr="00860F03">
        <w:rPr>
          <w:rFonts w:asciiTheme="minorHAnsi" w:hAnsiTheme="minorHAnsi" w:cstheme="minorHAnsi"/>
          <w:lang w:val="es-SV"/>
        </w:rPr>
        <w:t>Lic. Julian Seledonio Mendoza</w:t>
      </w:r>
    </w:p>
    <w:p w:rsidR="00490B85" w:rsidRPr="00860F03" w:rsidRDefault="00490B85" w:rsidP="00490B85">
      <w:pPr>
        <w:pStyle w:val="Sinespaciado"/>
        <w:jc w:val="center"/>
        <w:rPr>
          <w:rFonts w:asciiTheme="minorHAnsi" w:hAnsiTheme="minorHAnsi" w:cstheme="minorHAnsi"/>
        </w:rPr>
      </w:pPr>
      <w:r w:rsidRPr="00860F03">
        <w:rPr>
          <w:rFonts w:asciiTheme="minorHAnsi" w:hAnsiTheme="minorHAnsi" w:cstheme="minorHAnsi"/>
          <w:lang w:val="es-SV"/>
        </w:rPr>
        <w:t>Oficial de Información Interino</w:t>
      </w:r>
    </w:p>
    <w:p w:rsidR="00A96707" w:rsidRDefault="00A96707"/>
    <w:sectPr w:rsidR="00A96707"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28" w:rsidRDefault="003C3128" w:rsidP="00490B85">
      <w:pPr>
        <w:spacing w:after="0" w:line="240" w:lineRule="auto"/>
      </w:pPr>
      <w:r>
        <w:separator/>
      </w:r>
    </w:p>
  </w:endnote>
  <w:endnote w:type="continuationSeparator" w:id="0">
    <w:p w:rsidR="003C3128" w:rsidRDefault="003C3128" w:rsidP="0049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3C3128"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3C3128"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3C3128"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3C3128"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3C3128"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3C3128"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59264" behindDoc="0" locked="0" layoutInCell="1" allowOverlap="1" wp14:anchorId="73ADFC13" wp14:editId="74AC6733">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3C3128"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DFC13"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3C3128"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28" w:rsidRDefault="003C3128" w:rsidP="00490B85">
      <w:pPr>
        <w:spacing w:after="0" w:line="240" w:lineRule="auto"/>
      </w:pPr>
      <w:r>
        <w:separator/>
      </w:r>
    </w:p>
  </w:footnote>
  <w:footnote w:type="continuationSeparator" w:id="0">
    <w:p w:rsidR="003C3128" w:rsidRDefault="003C3128" w:rsidP="00490B85">
      <w:pPr>
        <w:spacing w:after="0" w:line="240" w:lineRule="auto"/>
      </w:pPr>
      <w:r>
        <w:continuationSeparator/>
      </w:r>
    </w:p>
  </w:footnote>
  <w:footnote w:id="1">
    <w:p w:rsidR="00490B85" w:rsidRDefault="00490B85" w:rsidP="00490B85">
      <w:pPr>
        <w:pStyle w:val="Textonotapie"/>
      </w:pPr>
      <w:r>
        <w:rPr>
          <w:rStyle w:val="Refdenotaalpie"/>
        </w:rPr>
        <w:footnoteRef/>
      </w:r>
      <w:r>
        <w:t xml:space="preserve"> Es un principio general del Derecho, en virtud del cual "al impedido con justa causa no le corre término, (…) La fuerza mayor es el hecho del hombre, previsible o imprevisible, pero inevitable, que impide también, en forma absoluta, el cumplimiento de una obligación. Sentencia emitida por la Sala de lo Contencioso Administrativo de la CSJ de El Salvador, referencia 38-2010, 26-III-2014.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3C3128" w:rsidP="00CB4262">
    <w:pPr>
      <w:pStyle w:val="Encabezado"/>
      <w:ind w:left="-709"/>
      <w:jc w:val="center"/>
    </w:pPr>
    <w:r>
      <w:rPr>
        <w:noProof/>
        <w:lang w:eastAsia="es-SV"/>
      </w:rPr>
      <w:drawing>
        <wp:anchor distT="0" distB="0" distL="114300" distR="114300" simplePos="0" relativeHeight="251660288" behindDoc="1" locked="0" layoutInCell="1" allowOverlap="1" wp14:anchorId="565477FD" wp14:editId="018C0EB7">
          <wp:simplePos x="0" y="0"/>
          <wp:positionH relativeFrom="margin">
            <wp:posOffset>-786130</wp:posOffset>
          </wp:positionH>
          <wp:positionV relativeFrom="paragraph">
            <wp:posOffset>1600835</wp:posOffset>
          </wp:positionV>
          <wp:extent cx="7657465" cy="669607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inline distT="0" distB="0" distL="0" distR="0" wp14:anchorId="751D21DF" wp14:editId="79A96C55">
          <wp:extent cx="6815349" cy="1333500"/>
          <wp:effectExtent l="0" t="0" r="0" b="0"/>
          <wp:docPr id="2" name="Imagen 2"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4E56"/>
    <w:multiLevelType w:val="hybridMultilevel"/>
    <w:tmpl w:val="17AA551E"/>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422267"/>
    <w:multiLevelType w:val="hybridMultilevel"/>
    <w:tmpl w:val="FE0CC86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6B13CF3"/>
    <w:multiLevelType w:val="hybridMultilevel"/>
    <w:tmpl w:val="0298FF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AF"/>
    <w:rsid w:val="003C3128"/>
    <w:rsid w:val="00490B85"/>
    <w:rsid w:val="006F6002"/>
    <w:rsid w:val="00753B84"/>
    <w:rsid w:val="007B036D"/>
    <w:rsid w:val="00A96707"/>
    <w:rsid w:val="00C42863"/>
    <w:rsid w:val="00D66BB4"/>
    <w:rsid w:val="00FF3D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F8CD"/>
  <w15:chartTrackingRefBased/>
  <w15:docId w15:val="{E284B7FF-ED68-4997-BA67-A2F6F521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DAF"/>
    <w:pPr>
      <w:ind w:left="720"/>
      <w:contextualSpacing/>
    </w:pPr>
  </w:style>
  <w:style w:type="paragraph" w:styleId="Encabezado">
    <w:name w:val="header"/>
    <w:basedOn w:val="Normal"/>
    <w:link w:val="EncabezadoCar"/>
    <w:uiPriority w:val="99"/>
    <w:unhideWhenUsed/>
    <w:rsid w:val="00FF3D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DAF"/>
  </w:style>
  <w:style w:type="paragraph" w:styleId="Piedepgina">
    <w:name w:val="footer"/>
    <w:basedOn w:val="Normal"/>
    <w:link w:val="PiedepginaCar"/>
    <w:uiPriority w:val="99"/>
    <w:unhideWhenUsed/>
    <w:rsid w:val="00FF3D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3DAF"/>
  </w:style>
  <w:style w:type="paragraph" w:styleId="Sinespaciado">
    <w:name w:val="No Spacing"/>
    <w:uiPriority w:val="1"/>
    <w:qFormat/>
    <w:rsid w:val="00490B85"/>
    <w:pPr>
      <w:spacing w:after="0" w:line="240" w:lineRule="auto"/>
    </w:pPr>
    <w:rPr>
      <w:rFonts w:ascii="Calibri" w:eastAsia="Calibri" w:hAnsi="Calibri" w:cs="Times New Roman"/>
      <w:lang w:val="en-US"/>
    </w:rPr>
  </w:style>
  <w:style w:type="paragraph" w:styleId="Textonotapie">
    <w:name w:val="footnote text"/>
    <w:basedOn w:val="Normal"/>
    <w:link w:val="TextonotapieCar"/>
    <w:uiPriority w:val="99"/>
    <w:semiHidden/>
    <w:unhideWhenUsed/>
    <w:rsid w:val="00490B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0B85"/>
    <w:rPr>
      <w:sz w:val="20"/>
      <w:szCs w:val="20"/>
    </w:rPr>
  </w:style>
  <w:style w:type="character" w:styleId="Refdenotaalpie">
    <w:name w:val="footnote reference"/>
    <w:basedOn w:val="Fuentedeprrafopredeter"/>
    <w:uiPriority w:val="99"/>
    <w:semiHidden/>
    <w:unhideWhenUsed/>
    <w:rsid w:val="00490B85"/>
    <w:rPr>
      <w:vertAlign w:val="superscript"/>
    </w:rPr>
  </w:style>
  <w:style w:type="character" w:styleId="Hipervnculo">
    <w:name w:val="Hyperlink"/>
    <w:basedOn w:val="Fuentedeprrafopredeter"/>
    <w:uiPriority w:val="99"/>
    <w:unhideWhenUsed/>
    <w:rsid w:val="00753B84"/>
    <w:rPr>
      <w:color w:val="0563C1" w:themeColor="hyperlink"/>
      <w:u w:val="single"/>
    </w:rPr>
  </w:style>
  <w:style w:type="paragraph" w:styleId="Textodeglobo">
    <w:name w:val="Balloon Text"/>
    <w:basedOn w:val="Normal"/>
    <w:link w:val="TextodegloboCar"/>
    <w:uiPriority w:val="99"/>
    <w:semiHidden/>
    <w:unhideWhenUsed/>
    <w:rsid w:val="007B03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de-establecimientos" TargetMode="External"/><Relationship Id="rId3" Type="http://schemas.openxmlformats.org/officeDocument/2006/relationships/settings" Target="settings.xml"/><Relationship Id="rId7" Type="http://schemas.openxmlformats.org/officeDocument/2006/relationships/hyperlink" Target="https://www.medicamentos.gob.sv/index.php/es/servicios-m/en-linea/expediente-electronico-de-insumos-medic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4</Pages>
  <Words>1428</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Mendoza</dc:creator>
  <cp:keywords/>
  <dc:description/>
  <cp:lastModifiedBy>Julian Mendoza</cp:lastModifiedBy>
  <cp:revision>5</cp:revision>
  <cp:lastPrinted>2020-06-24T16:46:00Z</cp:lastPrinted>
  <dcterms:created xsi:type="dcterms:W3CDTF">2020-06-23T20:33:00Z</dcterms:created>
  <dcterms:modified xsi:type="dcterms:W3CDTF">2020-06-24T16:54:00Z</dcterms:modified>
</cp:coreProperties>
</file>