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B91" w:rsidRPr="00161445" w:rsidRDefault="00825CDD" w:rsidP="008C5B91">
      <w:pPr>
        <w:pStyle w:val="Sinespaciado"/>
        <w:jc w:val="right"/>
        <w:rPr>
          <w:szCs w:val="20"/>
        </w:rPr>
      </w:pPr>
      <w:r>
        <w:rPr>
          <w:szCs w:val="20"/>
        </w:rPr>
        <w:t>REFERENCIA: SAIP_ 2019</w:t>
      </w:r>
      <w:r w:rsidR="008C5B91" w:rsidRPr="00161445">
        <w:rPr>
          <w:szCs w:val="20"/>
        </w:rPr>
        <w:t>_0</w:t>
      </w:r>
      <w:r>
        <w:rPr>
          <w:szCs w:val="20"/>
        </w:rPr>
        <w:t>04</w:t>
      </w:r>
    </w:p>
    <w:p w:rsidR="008C5B91" w:rsidRPr="00161445" w:rsidRDefault="008C5B91" w:rsidP="008C5B91">
      <w:pPr>
        <w:pStyle w:val="Sinespaciado"/>
        <w:jc w:val="center"/>
        <w:rPr>
          <w:b/>
          <w:szCs w:val="20"/>
        </w:rPr>
      </w:pPr>
    </w:p>
    <w:p w:rsidR="008C5B91" w:rsidRPr="00161445" w:rsidRDefault="008C5B91" w:rsidP="008C5B91">
      <w:pPr>
        <w:pStyle w:val="Sinespaciado"/>
        <w:jc w:val="center"/>
        <w:rPr>
          <w:b/>
          <w:szCs w:val="20"/>
        </w:rPr>
      </w:pPr>
      <w:r w:rsidRPr="00161445">
        <w:rPr>
          <w:b/>
          <w:szCs w:val="20"/>
        </w:rPr>
        <w:t>RESOLUCION FINAL DE SOLICITUD DE ACCESO A LA INFORMACION PÚBLICA</w:t>
      </w:r>
    </w:p>
    <w:p w:rsidR="008C5B91" w:rsidRPr="00161445" w:rsidRDefault="008C5B91" w:rsidP="008C5B91">
      <w:pPr>
        <w:pStyle w:val="Sinespaciado"/>
        <w:jc w:val="center"/>
        <w:rPr>
          <w:b/>
          <w:szCs w:val="20"/>
        </w:rPr>
      </w:pPr>
    </w:p>
    <w:p w:rsidR="008C5B91" w:rsidRPr="00161445" w:rsidRDefault="008C5B91" w:rsidP="008C5B91">
      <w:pPr>
        <w:pStyle w:val="Sinespaciado"/>
        <w:jc w:val="both"/>
        <w:rPr>
          <w:szCs w:val="20"/>
        </w:rPr>
      </w:pPr>
      <w:r w:rsidRPr="00161445">
        <w:rPr>
          <w:b/>
          <w:szCs w:val="20"/>
        </w:rPr>
        <w:t>Unidad de Acceso a la Información Pública</w:t>
      </w:r>
      <w:r w:rsidRPr="00161445">
        <w:rPr>
          <w:szCs w:val="20"/>
        </w:rPr>
        <w:t xml:space="preserve">: En la ciudad de Santa Tecla, Departamento de La Libertad, a las </w:t>
      </w:r>
      <w:r w:rsidR="00825CDD">
        <w:rPr>
          <w:szCs w:val="20"/>
        </w:rPr>
        <w:t xml:space="preserve">quince </w:t>
      </w:r>
      <w:r w:rsidR="009E3EE8" w:rsidRPr="00161445">
        <w:rPr>
          <w:szCs w:val="20"/>
        </w:rPr>
        <w:t xml:space="preserve">horas </w:t>
      </w:r>
      <w:r w:rsidRPr="00161445">
        <w:rPr>
          <w:szCs w:val="20"/>
        </w:rPr>
        <w:t xml:space="preserve">del día </w:t>
      </w:r>
      <w:r w:rsidR="00825CDD">
        <w:rPr>
          <w:szCs w:val="20"/>
        </w:rPr>
        <w:t xml:space="preserve">veintiocho de enero </w:t>
      </w:r>
      <w:r w:rsidRPr="00161445">
        <w:rPr>
          <w:szCs w:val="20"/>
        </w:rPr>
        <w:t>de dos mil dieci</w:t>
      </w:r>
      <w:r w:rsidR="00825CDD">
        <w:rPr>
          <w:szCs w:val="20"/>
        </w:rPr>
        <w:t>nueve</w:t>
      </w:r>
      <w:r w:rsidRPr="00161445">
        <w:rPr>
          <w:szCs w:val="20"/>
        </w:rPr>
        <w:t>.</w:t>
      </w:r>
    </w:p>
    <w:p w:rsidR="008C5B91" w:rsidRPr="00161445" w:rsidRDefault="008C5B91" w:rsidP="008C5B91">
      <w:pPr>
        <w:pStyle w:val="Sinespaciado"/>
        <w:jc w:val="both"/>
        <w:rPr>
          <w:szCs w:val="20"/>
        </w:rPr>
      </w:pPr>
    </w:p>
    <w:p w:rsidR="008C5B91" w:rsidRPr="00161445" w:rsidRDefault="008C5B91" w:rsidP="008C5B91">
      <w:pPr>
        <w:pStyle w:val="Sinespaciado"/>
        <w:jc w:val="both"/>
        <w:rPr>
          <w:szCs w:val="20"/>
        </w:rPr>
      </w:pPr>
      <w:r w:rsidRPr="00161445">
        <w:rPr>
          <w:szCs w:val="20"/>
        </w:rPr>
        <w:t xml:space="preserve">Vista y admitida la solicitud de acceso a la información pública, recibida en esta oficina a las </w:t>
      </w:r>
      <w:r w:rsidR="00A91B0F" w:rsidRPr="00161445">
        <w:rPr>
          <w:szCs w:val="20"/>
        </w:rPr>
        <w:t>oc</w:t>
      </w:r>
      <w:r w:rsidR="00825CDD">
        <w:rPr>
          <w:szCs w:val="20"/>
        </w:rPr>
        <w:t>ho</w:t>
      </w:r>
      <w:r w:rsidR="00A91B0F" w:rsidRPr="00161445">
        <w:rPr>
          <w:szCs w:val="20"/>
        </w:rPr>
        <w:t xml:space="preserve"> </w:t>
      </w:r>
      <w:r w:rsidRPr="00161445">
        <w:rPr>
          <w:szCs w:val="20"/>
        </w:rPr>
        <w:t xml:space="preserve">horas del día </w:t>
      </w:r>
      <w:r w:rsidR="00825CDD">
        <w:rPr>
          <w:szCs w:val="20"/>
        </w:rPr>
        <w:t xml:space="preserve">veintidós </w:t>
      </w:r>
      <w:r w:rsidR="00161445" w:rsidRPr="00161445">
        <w:rPr>
          <w:szCs w:val="20"/>
        </w:rPr>
        <w:t>de</w:t>
      </w:r>
      <w:r w:rsidR="00B83E39">
        <w:rPr>
          <w:szCs w:val="20"/>
        </w:rPr>
        <w:t xml:space="preserve">l </w:t>
      </w:r>
      <w:r w:rsidR="00A01A38" w:rsidRPr="00161445">
        <w:rPr>
          <w:szCs w:val="20"/>
        </w:rPr>
        <w:t xml:space="preserve">presente </w:t>
      </w:r>
      <w:r w:rsidR="00B83E39">
        <w:rPr>
          <w:szCs w:val="20"/>
        </w:rPr>
        <w:t xml:space="preserve">mes y </w:t>
      </w:r>
      <w:r w:rsidR="00A01A38" w:rsidRPr="00161445">
        <w:rPr>
          <w:szCs w:val="20"/>
        </w:rPr>
        <w:t>año</w:t>
      </w:r>
      <w:r w:rsidRPr="00161445">
        <w:rPr>
          <w:szCs w:val="20"/>
        </w:rPr>
        <w:t>; correspondiente al expediente referencia SAIP_ 201</w:t>
      </w:r>
      <w:r w:rsidR="00825CDD">
        <w:rPr>
          <w:szCs w:val="20"/>
        </w:rPr>
        <w:t>9</w:t>
      </w:r>
      <w:r w:rsidRPr="00161445">
        <w:rPr>
          <w:szCs w:val="20"/>
        </w:rPr>
        <w:t>_0</w:t>
      </w:r>
      <w:r w:rsidR="00825CDD">
        <w:rPr>
          <w:szCs w:val="20"/>
        </w:rPr>
        <w:t>04</w:t>
      </w:r>
      <w:r w:rsidRPr="00161445">
        <w:rPr>
          <w:szCs w:val="20"/>
        </w:rPr>
        <w:t xml:space="preserve">, mediante la cual requiere se le entregue la siguiente información: </w:t>
      </w:r>
    </w:p>
    <w:p w:rsidR="00B83E39" w:rsidRDefault="00B83E39" w:rsidP="00161445">
      <w:pPr>
        <w:pStyle w:val="NormalWeb"/>
        <w:spacing w:before="0" w:beforeAutospacing="0" w:after="0" w:afterAutospacing="0"/>
        <w:rPr>
          <w:rFonts w:asciiTheme="minorHAnsi" w:hAnsiTheme="minorHAnsi"/>
          <w:b/>
          <w:i/>
          <w:noProof/>
          <w:sz w:val="20"/>
          <w:szCs w:val="18"/>
          <w:lang w:val="es-ES"/>
        </w:rPr>
      </w:pPr>
    </w:p>
    <w:p w:rsidR="00161445" w:rsidRDefault="00161445" w:rsidP="00B83E39">
      <w:pPr>
        <w:pStyle w:val="NormalWeb"/>
        <w:spacing w:before="0" w:beforeAutospacing="0" w:after="0" w:afterAutospacing="0"/>
        <w:rPr>
          <w:rFonts w:asciiTheme="minorHAnsi" w:hAnsiTheme="minorHAnsi"/>
          <w:b/>
          <w:i/>
          <w:noProof/>
          <w:sz w:val="20"/>
          <w:szCs w:val="18"/>
        </w:rPr>
      </w:pPr>
      <w:r w:rsidRPr="00161445">
        <w:rPr>
          <w:rFonts w:asciiTheme="minorHAnsi" w:hAnsiTheme="minorHAnsi"/>
          <w:b/>
          <w:i/>
          <w:noProof/>
          <w:sz w:val="20"/>
          <w:szCs w:val="18"/>
          <w:lang w:val="es-ES"/>
        </w:rPr>
        <w:t>“</w:t>
      </w:r>
      <w:r w:rsidR="00825CDD" w:rsidRPr="00825CDD">
        <w:rPr>
          <w:rFonts w:asciiTheme="minorHAnsi" w:hAnsiTheme="minorHAnsi"/>
          <w:b/>
          <w:i/>
          <w:noProof/>
          <w:sz w:val="20"/>
          <w:szCs w:val="18"/>
          <w:lang w:val="es-ES"/>
        </w:rPr>
        <w:t>Listado de todos los medicamentos y vacunas autorizados para la venta en El Salvador; en archivo editable, con los campos: nombre, presentación y límites de precios máximos y minímos al público</w:t>
      </w:r>
      <w:r w:rsidRPr="00161445">
        <w:rPr>
          <w:rFonts w:asciiTheme="minorHAnsi" w:hAnsiTheme="minorHAnsi"/>
          <w:b/>
          <w:i/>
          <w:noProof/>
          <w:sz w:val="20"/>
          <w:szCs w:val="18"/>
          <w:lang w:val="es-ES"/>
        </w:rPr>
        <w:t>.</w:t>
      </w:r>
      <w:r w:rsidRPr="00161445">
        <w:rPr>
          <w:rFonts w:asciiTheme="minorHAnsi" w:hAnsiTheme="minorHAnsi"/>
          <w:b/>
          <w:i/>
          <w:noProof/>
          <w:sz w:val="20"/>
          <w:szCs w:val="18"/>
        </w:rPr>
        <w:t>”</w:t>
      </w:r>
    </w:p>
    <w:p w:rsidR="00161445" w:rsidRPr="00161445" w:rsidRDefault="00161445" w:rsidP="00161445">
      <w:pPr>
        <w:pStyle w:val="NormalWeb"/>
        <w:spacing w:before="0" w:beforeAutospacing="0" w:after="0" w:afterAutospacing="0"/>
        <w:ind w:left="720"/>
        <w:rPr>
          <w:rFonts w:asciiTheme="minorHAnsi" w:hAnsiTheme="minorHAnsi"/>
          <w:b/>
          <w:i/>
          <w:noProof/>
          <w:sz w:val="20"/>
          <w:szCs w:val="18"/>
        </w:rPr>
      </w:pPr>
    </w:p>
    <w:p w:rsidR="008C5B91" w:rsidRPr="00161445" w:rsidRDefault="008C5B91" w:rsidP="008C5B91">
      <w:pPr>
        <w:pStyle w:val="Sinespaciado"/>
        <w:jc w:val="both"/>
        <w:rPr>
          <w:szCs w:val="20"/>
        </w:rPr>
      </w:pPr>
      <w:r w:rsidRPr="00161445">
        <w:rPr>
          <w:szCs w:val="20"/>
        </w:rPr>
        <w:t xml:space="preserve"> </w:t>
      </w:r>
      <w:r w:rsidRPr="00161445">
        <w:rPr>
          <w:b/>
          <w:szCs w:val="20"/>
        </w:rPr>
        <w:t>LA SUSCRITA OFICIAL DE INFORMACIÓN, CONSIDERANDO QUE</w:t>
      </w:r>
      <w:r w:rsidRPr="00161445">
        <w:rPr>
          <w:szCs w:val="20"/>
        </w:rPr>
        <w:t>:</w:t>
      </w:r>
    </w:p>
    <w:p w:rsidR="008C5B91" w:rsidRPr="00161445" w:rsidRDefault="008C5B91" w:rsidP="008C5B91">
      <w:pPr>
        <w:pStyle w:val="Sinespaciado"/>
        <w:jc w:val="both"/>
        <w:rPr>
          <w:szCs w:val="20"/>
        </w:rPr>
      </w:pPr>
    </w:p>
    <w:p w:rsidR="008C5B91" w:rsidRPr="00161445" w:rsidRDefault="008C5B91" w:rsidP="008C5B91">
      <w:pPr>
        <w:pStyle w:val="Sinespaciado"/>
        <w:numPr>
          <w:ilvl w:val="0"/>
          <w:numId w:val="1"/>
        </w:numPr>
        <w:ind w:left="709" w:hanging="425"/>
        <w:jc w:val="both"/>
        <w:rPr>
          <w:szCs w:val="20"/>
        </w:rPr>
      </w:pPr>
      <w:r w:rsidRPr="00161445">
        <w:rPr>
          <w:szCs w:val="20"/>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3E1E9F" w:rsidRDefault="003E1E9F" w:rsidP="003E1E9F">
      <w:pPr>
        <w:pStyle w:val="Sinespaciado"/>
        <w:ind w:left="709"/>
        <w:jc w:val="both"/>
        <w:rPr>
          <w:szCs w:val="20"/>
        </w:rPr>
      </w:pPr>
    </w:p>
    <w:p w:rsidR="003E1E9F" w:rsidRPr="003E1E9F" w:rsidRDefault="008C5B91" w:rsidP="0019277D">
      <w:pPr>
        <w:pStyle w:val="Sinespaciado"/>
        <w:numPr>
          <w:ilvl w:val="0"/>
          <w:numId w:val="1"/>
        </w:numPr>
        <w:ind w:left="709" w:hanging="425"/>
        <w:jc w:val="both"/>
        <w:rPr>
          <w:szCs w:val="20"/>
        </w:rPr>
      </w:pPr>
      <w:r w:rsidRPr="003E1E9F">
        <w:rPr>
          <w:szCs w:val="20"/>
        </w:rPr>
        <w:t xml:space="preserve">Que mediante Decreto Legislativo N°1008, de fecha 22 de febrero de 2012, publicado en el Diario Oficial N°43, tomo 394, de fecha 12 de marzo de 2012, se crea la Dirección Nacional de Medicamentos, y </w:t>
      </w:r>
      <w:r w:rsidRPr="003E1E9F">
        <w:rPr>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003E1E9F" w:rsidRPr="003E1E9F">
        <w:rPr>
          <w:szCs w:val="20"/>
          <w:lang w:val="es-ES"/>
        </w:rPr>
        <w:t xml:space="preserve">, así como </w:t>
      </w:r>
      <w:r w:rsidR="003E1E9F" w:rsidRPr="003E1E9F">
        <w:rPr>
          <w:szCs w:val="20"/>
        </w:rPr>
        <w:t xml:space="preserve">la de propiciar el mejor precio para el usuario público y privado; </w:t>
      </w:r>
    </w:p>
    <w:p w:rsidR="008C5B91" w:rsidRPr="00161445" w:rsidRDefault="008C5B91" w:rsidP="008C5B91">
      <w:pPr>
        <w:pStyle w:val="Sinespaciado"/>
        <w:ind w:left="709"/>
        <w:jc w:val="both"/>
        <w:rPr>
          <w:szCs w:val="20"/>
        </w:rPr>
      </w:pPr>
    </w:p>
    <w:p w:rsidR="008C5B91" w:rsidRPr="00161445" w:rsidRDefault="008C5B91" w:rsidP="008C5B91">
      <w:pPr>
        <w:pStyle w:val="Sinespaciado"/>
        <w:numPr>
          <w:ilvl w:val="0"/>
          <w:numId w:val="1"/>
        </w:numPr>
        <w:ind w:left="709" w:hanging="425"/>
        <w:jc w:val="both"/>
        <w:rPr>
          <w:szCs w:val="20"/>
        </w:rPr>
      </w:pPr>
      <w:r w:rsidRPr="00161445">
        <w:rPr>
          <w:szCs w:val="20"/>
        </w:rPr>
        <w:t>Con base a las atribuciones que establece la LAIP en su artículo 50 literales d) i) y j), son atribuciones del Oficial de Información 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8C5B91" w:rsidRPr="00161445" w:rsidRDefault="008C5B91" w:rsidP="008C5B91">
      <w:pPr>
        <w:pStyle w:val="Sinespaciado"/>
        <w:ind w:left="709"/>
        <w:jc w:val="both"/>
        <w:rPr>
          <w:szCs w:val="20"/>
        </w:rPr>
      </w:pPr>
    </w:p>
    <w:p w:rsidR="006B3A61" w:rsidRPr="00161445" w:rsidRDefault="008C5B91" w:rsidP="006B3A61">
      <w:pPr>
        <w:pStyle w:val="Sinespaciado"/>
        <w:numPr>
          <w:ilvl w:val="0"/>
          <w:numId w:val="1"/>
        </w:numPr>
        <w:ind w:left="709" w:hanging="425"/>
        <w:jc w:val="both"/>
        <w:rPr>
          <w:szCs w:val="20"/>
        </w:rPr>
      </w:pPr>
      <w:r w:rsidRPr="00161445">
        <w:rPr>
          <w:szCs w:val="20"/>
        </w:rPr>
        <w:t>El artículo 62 LAIP establece que en caso la información solicitada por la persona ya esté disponible al público (entre otros medios) en formatos electrónicos disponibles en internet, se le hará saber por escrito la fuente, el lugar y la forma en que puede consultar, reproducir o adquirir dicha información</w:t>
      </w:r>
      <w:r w:rsidR="006B3A61" w:rsidRPr="00161445">
        <w:rPr>
          <w:szCs w:val="20"/>
        </w:rPr>
        <w:t>, así como e</w:t>
      </w:r>
      <w:r w:rsidR="00A01A38" w:rsidRPr="00161445">
        <w:rPr>
          <w:rFonts w:cstheme="minorHAnsi"/>
          <w:noProof/>
          <w:szCs w:val="20"/>
          <w:lang w:eastAsia="es-SV"/>
        </w:rPr>
        <w:t>l artículo 10 numeral 18 LAIP establece que las autorizaciones otorgadas por los entes obligados es oficiosa y debe estar disponible al publico sin que medie solicitud de información;</w:t>
      </w:r>
    </w:p>
    <w:p w:rsidR="006B3A61" w:rsidRPr="00161445" w:rsidRDefault="006B3A61" w:rsidP="006B3A61">
      <w:pPr>
        <w:pStyle w:val="Sinespaciado"/>
        <w:jc w:val="both"/>
        <w:rPr>
          <w:rFonts w:eastAsia="Times New Roman" w:cstheme="minorHAnsi"/>
          <w:noProof/>
          <w:szCs w:val="20"/>
          <w:lang w:eastAsia="es-SV"/>
        </w:rPr>
      </w:pPr>
    </w:p>
    <w:p w:rsidR="008C5B91" w:rsidRPr="00161445" w:rsidRDefault="006B3A61" w:rsidP="006B3A61">
      <w:pPr>
        <w:pStyle w:val="Sinespaciado"/>
        <w:jc w:val="both"/>
        <w:rPr>
          <w:szCs w:val="20"/>
        </w:rPr>
      </w:pPr>
      <w:r w:rsidRPr="00161445">
        <w:rPr>
          <w:rFonts w:eastAsia="Times New Roman" w:cstheme="minorHAnsi"/>
          <w:noProof/>
          <w:szCs w:val="20"/>
          <w:lang w:val="es-ES" w:eastAsia="es-SV"/>
        </w:rPr>
        <w:lastRenderedPageBreak/>
        <w:t>C</w:t>
      </w:r>
      <w:r w:rsidR="008C5B91" w:rsidRPr="00161445">
        <w:rPr>
          <w:rFonts w:eastAsia="Times New Roman" w:cstheme="minorHAnsi"/>
          <w:noProof/>
          <w:szCs w:val="20"/>
          <w:lang w:val="es-ES" w:eastAsia="es-SV"/>
        </w:rPr>
        <w:t>on base a</w:t>
      </w:r>
      <w:r w:rsidR="008C5B91" w:rsidRPr="00161445">
        <w:rPr>
          <w:szCs w:val="20"/>
        </w:rPr>
        <w:t>l artículo 70</w:t>
      </w:r>
      <w:r w:rsidR="00A01A38" w:rsidRPr="00161445">
        <w:rPr>
          <w:szCs w:val="20"/>
        </w:rPr>
        <w:t xml:space="preserve"> LAIP</w:t>
      </w:r>
      <w:r w:rsidR="008C5B91" w:rsidRPr="00161445">
        <w:rPr>
          <w:szCs w:val="20"/>
        </w:rPr>
        <w:t xml:space="preserve">, </w:t>
      </w:r>
      <w:r w:rsidR="00A01A38" w:rsidRPr="00161445">
        <w:rPr>
          <w:szCs w:val="20"/>
        </w:rPr>
        <w:t xml:space="preserve">que </w:t>
      </w:r>
      <w:r w:rsidR="008C5B91" w:rsidRPr="00161445">
        <w:rPr>
          <w:szCs w:val="20"/>
        </w:rPr>
        <w:t>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201</w:t>
      </w:r>
      <w:r w:rsidR="00660588">
        <w:rPr>
          <w:szCs w:val="20"/>
        </w:rPr>
        <w:t>9</w:t>
      </w:r>
      <w:r w:rsidR="008C5B91" w:rsidRPr="00161445">
        <w:rPr>
          <w:szCs w:val="20"/>
        </w:rPr>
        <w:t>_</w:t>
      </w:r>
      <w:r w:rsidR="00660588">
        <w:rPr>
          <w:szCs w:val="20"/>
        </w:rPr>
        <w:t>004</w:t>
      </w:r>
      <w:r w:rsidR="008C5B91" w:rsidRPr="00161445">
        <w:rPr>
          <w:szCs w:val="20"/>
        </w:rPr>
        <w:t xml:space="preserve">, a la Unidad de </w:t>
      </w:r>
      <w:r w:rsidR="00660588">
        <w:rPr>
          <w:szCs w:val="20"/>
        </w:rPr>
        <w:t xml:space="preserve">Precios </w:t>
      </w:r>
      <w:r w:rsidR="008C5B91" w:rsidRPr="00161445">
        <w:rPr>
          <w:szCs w:val="20"/>
        </w:rPr>
        <w:t xml:space="preserve">de esta Dirección, la cual mediante memorándum </w:t>
      </w:r>
      <w:r w:rsidR="00E30536">
        <w:rPr>
          <w:szCs w:val="20"/>
        </w:rPr>
        <w:t xml:space="preserve">No. </w:t>
      </w:r>
      <w:r w:rsidR="00763B75">
        <w:rPr>
          <w:szCs w:val="20"/>
        </w:rPr>
        <w:t>UP06-19</w:t>
      </w:r>
      <w:r w:rsidR="00E30536">
        <w:rPr>
          <w:szCs w:val="20"/>
        </w:rPr>
        <w:t xml:space="preserve"> </w:t>
      </w:r>
      <w:r w:rsidR="008C5B91" w:rsidRPr="00161445">
        <w:rPr>
          <w:szCs w:val="20"/>
        </w:rPr>
        <w:t xml:space="preserve">informa: </w:t>
      </w:r>
    </w:p>
    <w:p w:rsidR="00161445" w:rsidRDefault="00161445" w:rsidP="008C5B91">
      <w:pPr>
        <w:pStyle w:val="Sinespaciado"/>
        <w:jc w:val="both"/>
        <w:rPr>
          <w:b/>
          <w:szCs w:val="20"/>
        </w:rPr>
      </w:pPr>
    </w:p>
    <w:p w:rsidR="008C5B91" w:rsidRPr="00161445" w:rsidRDefault="008C5B91" w:rsidP="008C5B91">
      <w:pPr>
        <w:pStyle w:val="Sinespaciado"/>
        <w:jc w:val="both"/>
        <w:rPr>
          <w:b/>
          <w:szCs w:val="20"/>
        </w:rPr>
      </w:pPr>
      <w:r w:rsidRPr="00161445">
        <w:rPr>
          <w:b/>
          <w:szCs w:val="20"/>
        </w:rPr>
        <w:t>”””””””””””””””””””””””””””””””””””””””””””””””””””””””””””””””””””””””””””””””””””””””””””</w:t>
      </w:r>
    </w:p>
    <w:p w:rsidR="00763B75" w:rsidRPr="00763B75" w:rsidRDefault="00763B75" w:rsidP="008C5B91">
      <w:pPr>
        <w:pStyle w:val="Sinespaciado"/>
        <w:jc w:val="both"/>
        <w:rPr>
          <w:b/>
          <w:i/>
          <w:sz w:val="20"/>
        </w:rPr>
      </w:pPr>
      <w:r w:rsidRPr="00763B75">
        <w:rPr>
          <w:b/>
          <w:i/>
          <w:sz w:val="20"/>
        </w:rPr>
        <w:t xml:space="preserve">En relación a su solicitud de información se anexa listado de productos registrados en la Unidad de Registro y Visado, con su respectivo Número de Registro, Nombre Comercial y Presentaciones autorizadas. Dicha información está actualizada al día 25 de enero de 2018. </w:t>
      </w:r>
    </w:p>
    <w:p w:rsidR="00763B75" w:rsidRPr="00763B75" w:rsidRDefault="00763B75" w:rsidP="000A59EC">
      <w:pPr>
        <w:pStyle w:val="Sinespaciado"/>
        <w:ind w:left="3540"/>
        <w:jc w:val="both"/>
        <w:rPr>
          <w:sz w:val="20"/>
          <w:u w:val="single"/>
        </w:rPr>
      </w:pPr>
      <w:r w:rsidRPr="00763B75">
        <w:rPr>
          <w:sz w:val="20"/>
          <w:u w:val="single"/>
        </w:rPr>
        <w:t>Anexo denominado: SAIP_2019_004 (3) Listado Productos</w:t>
      </w:r>
    </w:p>
    <w:p w:rsidR="00763B75" w:rsidRPr="00763B75" w:rsidRDefault="00763B75" w:rsidP="008C5B91">
      <w:pPr>
        <w:pStyle w:val="Sinespaciado"/>
        <w:jc w:val="both"/>
        <w:rPr>
          <w:b/>
          <w:i/>
          <w:sz w:val="20"/>
        </w:rPr>
      </w:pPr>
      <w:r w:rsidRPr="00763B75">
        <w:rPr>
          <w:b/>
          <w:i/>
          <w:sz w:val="20"/>
        </w:rPr>
        <w:t xml:space="preserve">Dado que la DNM no establece precio mínimo, no se dispone de dicha información de precio mínimo de los medicamentos. En el caso de los precios máximos, para los productos regulados por precios, se anexa el listado de Precio de Venta Máximo al Público vigente, según publicación de Diario Oficial N° 117 Tomo 415 de fecha 26 de Junio de 2017, donde, en la mayoría de los casos, el precio se establece a nivel de Conjunto Homogéneo de Medicamento, y no a nivel de producto. </w:t>
      </w:r>
    </w:p>
    <w:p w:rsidR="00763B75" w:rsidRPr="00763B75" w:rsidRDefault="00763B75" w:rsidP="000A59EC">
      <w:pPr>
        <w:pStyle w:val="Sinespaciado"/>
        <w:ind w:left="2832" w:firstLine="708"/>
        <w:jc w:val="both"/>
        <w:rPr>
          <w:sz w:val="20"/>
          <w:u w:val="single"/>
        </w:rPr>
      </w:pPr>
      <w:r w:rsidRPr="00763B75">
        <w:rPr>
          <w:sz w:val="20"/>
          <w:u w:val="single"/>
        </w:rPr>
        <w:t>Anexo denominado: SAIP_2019_004 (4) Listado PVMP</w:t>
      </w:r>
    </w:p>
    <w:p w:rsidR="008C5B91" w:rsidRDefault="00763B75" w:rsidP="008C5B91">
      <w:pPr>
        <w:pStyle w:val="Sinespaciado"/>
        <w:jc w:val="both"/>
        <w:rPr>
          <w:b/>
          <w:i/>
        </w:rPr>
      </w:pPr>
      <w:r w:rsidRPr="00763B75">
        <w:rPr>
          <w:b/>
          <w:i/>
          <w:sz w:val="20"/>
        </w:rPr>
        <w:t xml:space="preserve">No obstante lo anterior, la Dirección Nacional de Medicamentos pone a disposición de los usuarios la Consulta Integral de Medicamentos, en el sitio web </w:t>
      </w:r>
      <w:hyperlink r:id="rId7" w:history="1">
        <w:r w:rsidRPr="00763B75">
          <w:rPr>
            <w:rStyle w:val="Hipervnculo"/>
            <w:b/>
            <w:i/>
            <w:sz w:val="20"/>
          </w:rPr>
          <w:t>http://info.medicamentos.gob.sv</w:t>
        </w:r>
      </w:hyperlink>
      <w:r w:rsidRPr="00763B75">
        <w:rPr>
          <w:b/>
          <w:i/>
          <w:sz w:val="20"/>
        </w:rPr>
        <w:t xml:space="preserve">  donde puede encontrar los datos solicitados de precios y las últimas actualizaciones al Listado de PVMP antes mencionado.</w:t>
      </w:r>
      <w:r w:rsidRPr="00763B75">
        <w:rPr>
          <w:b/>
          <w:i/>
          <w:sz w:val="20"/>
        </w:rPr>
        <w:tab/>
        <w:t xml:space="preserve"> </w:t>
      </w:r>
      <w:r w:rsidR="008C5B91" w:rsidRPr="00161445">
        <w:rPr>
          <w:b/>
          <w:i/>
        </w:rPr>
        <w:t>“””””””””””””””””””””””””””””””””””””””””””””””””””””””””””””””””””””””””””””””””””””””””””</w:t>
      </w:r>
    </w:p>
    <w:p w:rsidR="00161445" w:rsidRPr="00161445" w:rsidRDefault="00161445" w:rsidP="008C5B91">
      <w:pPr>
        <w:pStyle w:val="Sinespaciado"/>
        <w:jc w:val="both"/>
        <w:rPr>
          <w:b/>
          <w:sz w:val="20"/>
          <w:szCs w:val="20"/>
        </w:rPr>
      </w:pPr>
    </w:p>
    <w:p w:rsidR="008C5B91" w:rsidRPr="00161445" w:rsidRDefault="008C5B91" w:rsidP="008C5B91">
      <w:pPr>
        <w:pStyle w:val="Sinespaciado"/>
        <w:jc w:val="both"/>
        <w:rPr>
          <w:szCs w:val="20"/>
        </w:rPr>
      </w:pPr>
      <w:r w:rsidRPr="00161445">
        <w:rPr>
          <w:szCs w:val="20"/>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8C5B91" w:rsidRPr="00161445" w:rsidRDefault="008C5B91" w:rsidP="008C5B91">
      <w:pPr>
        <w:pStyle w:val="Sinespaciado"/>
        <w:jc w:val="both"/>
        <w:rPr>
          <w:szCs w:val="20"/>
        </w:rPr>
      </w:pPr>
    </w:p>
    <w:p w:rsidR="008C5B91" w:rsidRPr="00161445" w:rsidRDefault="008C5B91" w:rsidP="008C5B91">
      <w:pPr>
        <w:pStyle w:val="Sinespaciado"/>
        <w:jc w:val="both"/>
        <w:rPr>
          <w:szCs w:val="20"/>
        </w:rPr>
      </w:pPr>
      <w:r w:rsidRPr="00161445">
        <w:rPr>
          <w:b/>
          <w:szCs w:val="20"/>
        </w:rPr>
        <w:t>POR TANTO:</w:t>
      </w:r>
      <w:r w:rsidRPr="00161445">
        <w:rPr>
          <w:szCs w:val="20"/>
        </w:rPr>
        <w:t xml:space="preserve"> En razón de lo antes expuesto y con base a lo estipulado en el artículo 18 de la Constitución de la República de El Salvador, en relación con los artículos 66 y 72 de la Ley de Acceso a la Información Pública, relacionado con los artículos 55 y 56 de su Reglamento, esta Oficina </w:t>
      </w:r>
      <w:r w:rsidRPr="00161445">
        <w:rPr>
          <w:b/>
          <w:szCs w:val="20"/>
        </w:rPr>
        <w:t>RESUELVE:</w:t>
      </w:r>
      <w:r w:rsidRPr="00161445">
        <w:rPr>
          <w:szCs w:val="20"/>
        </w:rPr>
        <w:t xml:space="preserve"> </w:t>
      </w:r>
    </w:p>
    <w:p w:rsidR="008C5B91" w:rsidRPr="00161445" w:rsidRDefault="008C5B91" w:rsidP="008C5B91">
      <w:pPr>
        <w:pStyle w:val="Sinespaciado"/>
        <w:jc w:val="both"/>
        <w:rPr>
          <w:szCs w:val="20"/>
        </w:rPr>
      </w:pPr>
    </w:p>
    <w:p w:rsidR="008C5B91" w:rsidRPr="00161445" w:rsidRDefault="008C5B91" w:rsidP="00670462">
      <w:pPr>
        <w:pStyle w:val="Prrafodelista"/>
        <w:numPr>
          <w:ilvl w:val="0"/>
          <w:numId w:val="2"/>
        </w:numPr>
        <w:spacing w:after="0" w:line="240" w:lineRule="auto"/>
        <w:ind w:left="426" w:hanging="284"/>
        <w:jc w:val="both"/>
        <w:rPr>
          <w:rFonts w:eastAsia="Arial Unicode MS" w:cs="Arial Unicode MS"/>
          <w:noProof/>
          <w:szCs w:val="20"/>
          <w:lang w:eastAsia="es-SV"/>
        </w:rPr>
      </w:pPr>
      <w:r w:rsidRPr="00161445">
        <w:rPr>
          <w:rFonts w:eastAsia="Arial Unicode MS" w:cs="Arial Unicode MS"/>
          <w:b/>
          <w:szCs w:val="20"/>
        </w:rPr>
        <w:t>CONCÉDASE</w:t>
      </w:r>
      <w:r w:rsidRPr="00161445">
        <w:rPr>
          <w:rFonts w:eastAsia="Arial Unicode MS" w:cs="Arial Unicode MS"/>
          <w:szCs w:val="20"/>
        </w:rPr>
        <w:t xml:space="preserve"> acceso a información solicitada </w:t>
      </w:r>
    </w:p>
    <w:p w:rsidR="00161445" w:rsidRPr="00161445" w:rsidRDefault="00161445" w:rsidP="00161445">
      <w:pPr>
        <w:pStyle w:val="Prrafodelista"/>
        <w:spacing w:after="0" w:line="240" w:lineRule="auto"/>
        <w:ind w:left="426"/>
        <w:jc w:val="both"/>
        <w:rPr>
          <w:rFonts w:eastAsia="Arial Unicode MS" w:cs="Arial Unicode MS"/>
          <w:noProof/>
          <w:szCs w:val="20"/>
          <w:lang w:eastAsia="es-SV"/>
        </w:rPr>
      </w:pPr>
    </w:p>
    <w:p w:rsidR="008C5B91" w:rsidRPr="00161445" w:rsidRDefault="008C5B91" w:rsidP="008C5B91">
      <w:pPr>
        <w:pStyle w:val="Prrafodelista"/>
        <w:numPr>
          <w:ilvl w:val="0"/>
          <w:numId w:val="2"/>
        </w:numPr>
        <w:spacing w:after="0" w:line="240" w:lineRule="auto"/>
        <w:ind w:left="426" w:hanging="284"/>
        <w:jc w:val="both"/>
        <w:rPr>
          <w:rFonts w:eastAsia="Arial Unicode MS" w:cs="Arial Unicode MS"/>
          <w:noProof/>
          <w:szCs w:val="20"/>
          <w:lang w:eastAsia="es-SV"/>
        </w:rPr>
      </w:pPr>
      <w:r w:rsidRPr="00161445">
        <w:rPr>
          <w:rFonts w:eastAsia="Arial Unicode MS" w:cs="Arial Unicode MS"/>
          <w:b/>
          <w:szCs w:val="20"/>
        </w:rPr>
        <w:t xml:space="preserve">ENTRÉGUESE </w:t>
      </w:r>
      <w:r w:rsidRPr="00161445">
        <w:rPr>
          <w:rFonts w:eastAsia="Arial Unicode MS" w:cs="Arial Unicode MS"/>
          <w:szCs w:val="20"/>
        </w:rPr>
        <w:t xml:space="preserve">la información solicitada mediante </w:t>
      </w:r>
      <w:r w:rsidR="000A59EC">
        <w:rPr>
          <w:rFonts w:eastAsia="Arial Unicode MS" w:cs="Arial Unicode MS"/>
          <w:szCs w:val="20"/>
        </w:rPr>
        <w:t>esta resolución y anexos relacionados</w:t>
      </w:r>
      <w:r w:rsidRPr="00161445">
        <w:rPr>
          <w:rFonts w:eastAsia="Arial Unicode MS" w:cs="Arial Unicode MS"/>
          <w:szCs w:val="20"/>
        </w:rPr>
        <w:t xml:space="preserve">, </w:t>
      </w:r>
      <w:r w:rsidR="000A59EC">
        <w:rPr>
          <w:rFonts w:eastAsia="Arial Unicode MS" w:cs="Arial Unicode MS"/>
          <w:szCs w:val="20"/>
        </w:rPr>
        <w:t xml:space="preserve">por medio del correo electrónico, </w:t>
      </w:r>
      <w:r w:rsidRPr="00161445">
        <w:rPr>
          <w:rFonts w:eastAsia="Arial Unicode MS" w:cs="Arial Unicode MS"/>
          <w:szCs w:val="20"/>
        </w:rPr>
        <w:t>éste es el medio señal</w:t>
      </w:r>
      <w:r w:rsidR="00036489">
        <w:rPr>
          <w:rFonts w:eastAsia="Arial Unicode MS" w:cs="Arial Unicode MS"/>
          <w:szCs w:val="20"/>
        </w:rPr>
        <w:t>ado en el formato de solicitud.</w:t>
      </w:r>
    </w:p>
    <w:p w:rsidR="008C5B91" w:rsidRPr="00161445" w:rsidRDefault="008C5B91" w:rsidP="008C5B91">
      <w:pPr>
        <w:pStyle w:val="Prrafodelista"/>
        <w:spacing w:line="240" w:lineRule="auto"/>
        <w:rPr>
          <w:rFonts w:eastAsia="Arial Unicode MS" w:cs="Arial Unicode MS"/>
          <w:noProof/>
          <w:szCs w:val="20"/>
          <w:lang w:eastAsia="es-SV"/>
        </w:rPr>
      </w:pPr>
    </w:p>
    <w:p w:rsidR="008C5B91" w:rsidRPr="00161445" w:rsidRDefault="008C5B91" w:rsidP="008C5B91">
      <w:pPr>
        <w:pStyle w:val="Prrafodelista"/>
        <w:numPr>
          <w:ilvl w:val="0"/>
          <w:numId w:val="2"/>
        </w:numPr>
        <w:spacing w:after="0" w:line="240" w:lineRule="auto"/>
        <w:ind w:left="426" w:hanging="284"/>
        <w:jc w:val="both"/>
        <w:rPr>
          <w:szCs w:val="20"/>
        </w:rPr>
      </w:pPr>
      <w:r w:rsidRPr="00161445">
        <w:rPr>
          <w:rFonts w:eastAsia="Arial Unicode MS" w:cs="Arial Unicode MS"/>
          <w:b/>
          <w:noProof/>
          <w:szCs w:val="20"/>
          <w:lang w:eastAsia="es-SV"/>
        </w:rPr>
        <w:t>NOTIFÍQUESE</w:t>
      </w:r>
      <w:r w:rsidRPr="00161445">
        <w:rPr>
          <w:rFonts w:eastAsia="Arial Unicode MS" w:cs="Arial Unicode MS"/>
          <w:noProof/>
          <w:szCs w:val="20"/>
          <w:lang w:eastAsia="es-SV"/>
        </w:rPr>
        <w:t xml:space="preserve"> la presente resolución al correo electrónico </w:t>
      </w:r>
      <w:r w:rsidRPr="00161445">
        <w:rPr>
          <w:rFonts w:eastAsia="Arial Unicode MS" w:cs="Arial Unicode MS"/>
          <w:szCs w:val="20"/>
        </w:rPr>
        <w:t xml:space="preserve">señalado </w:t>
      </w:r>
      <w:r w:rsidRPr="00161445">
        <w:rPr>
          <w:rFonts w:eastAsia="Arial Unicode MS" w:cs="Arial Unicode MS"/>
          <w:noProof/>
          <w:szCs w:val="20"/>
          <w:lang w:eastAsia="es-SV"/>
        </w:rPr>
        <w:t xml:space="preserve">y déjese constancia en el expediente respectivo de la notificación. </w:t>
      </w:r>
    </w:p>
    <w:p w:rsidR="008C5B91" w:rsidRPr="00161445" w:rsidRDefault="008C5B91" w:rsidP="008C5B91">
      <w:pPr>
        <w:pStyle w:val="Prrafodelista"/>
        <w:rPr>
          <w:rFonts w:eastAsia="Arial Unicode MS" w:cs="Arial Unicode MS"/>
          <w:b/>
          <w:noProof/>
          <w:szCs w:val="20"/>
          <w:lang w:eastAsia="es-SV"/>
        </w:rPr>
      </w:pPr>
    </w:p>
    <w:p w:rsidR="008C5B91" w:rsidRPr="00161445" w:rsidRDefault="008C5B91" w:rsidP="008C5B91">
      <w:pPr>
        <w:pStyle w:val="Prrafodelista"/>
        <w:numPr>
          <w:ilvl w:val="0"/>
          <w:numId w:val="2"/>
        </w:numPr>
        <w:spacing w:after="0" w:line="240" w:lineRule="auto"/>
        <w:ind w:left="426" w:hanging="284"/>
        <w:jc w:val="both"/>
        <w:rPr>
          <w:szCs w:val="20"/>
        </w:rPr>
      </w:pPr>
      <w:r w:rsidRPr="00161445">
        <w:rPr>
          <w:rFonts w:eastAsia="Arial Unicode MS" w:cs="Arial Unicode MS"/>
          <w:b/>
          <w:noProof/>
          <w:szCs w:val="20"/>
          <w:lang w:eastAsia="es-SV"/>
        </w:rPr>
        <w:t>ARCHÍVESE</w:t>
      </w:r>
      <w:r w:rsidRPr="00161445">
        <w:rPr>
          <w:rFonts w:eastAsia="Arial Unicode MS" w:cs="Arial Unicode MS"/>
          <w:noProof/>
          <w:szCs w:val="20"/>
          <w:lang w:eastAsia="es-SV"/>
        </w:rPr>
        <w:t xml:space="preserve"> el presente expediente administrativo</w:t>
      </w:r>
    </w:p>
    <w:p w:rsidR="008C5B91" w:rsidRDefault="008C5B91" w:rsidP="008C5B91">
      <w:pPr>
        <w:pStyle w:val="Sinespaciado"/>
        <w:jc w:val="both"/>
        <w:rPr>
          <w:noProof/>
          <w:lang w:eastAsia="es-SV"/>
        </w:rPr>
      </w:pPr>
    </w:p>
    <w:p w:rsidR="00CD3D25" w:rsidRDefault="00CD3D25" w:rsidP="008C5B91">
      <w:pPr>
        <w:pStyle w:val="Sinespaciado"/>
        <w:jc w:val="both"/>
        <w:rPr>
          <w:noProof/>
          <w:lang w:eastAsia="es-SV"/>
        </w:rPr>
      </w:pPr>
    </w:p>
    <w:p w:rsidR="00161445" w:rsidRDefault="00161445" w:rsidP="008C5B91">
      <w:pPr>
        <w:pStyle w:val="Sinespaciado"/>
        <w:jc w:val="both"/>
        <w:rPr>
          <w:noProof/>
          <w:lang w:eastAsia="es-SV"/>
        </w:rPr>
      </w:pPr>
      <w:bookmarkStart w:id="0" w:name="_GoBack"/>
      <w:bookmarkEnd w:id="0"/>
    </w:p>
    <w:p w:rsidR="008C5B91" w:rsidRDefault="008C5B91" w:rsidP="008C5B91">
      <w:pPr>
        <w:pStyle w:val="Sinespaciado"/>
        <w:jc w:val="center"/>
        <w:rPr>
          <w:noProof/>
          <w:lang w:eastAsia="es-SV"/>
        </w:rPr>
      </w:pPr>
      <w:r>
        <w:rPr>
          <w:noProof/>
          <w:lang w:eastAsia="es-SV"/>
        </w:rPr>
        <w:t>________________________</w:t>
      </w:r>
    </w:p>
    <w:p w:rsidR="008C5B91" w:rsidRDefault="008C5B91" w:rsidP="008C5B91">
      <w:pPr>
        <w:pStyle w:val="Sinespaciado"/>
        <w:jc w:val="center"/>
        <w:rPr>
          <w:sz w:val="20"/>
          <w:szCs w:val="20"/>
        </w:rPr>
      </w:pPr>
      <w:r>
        <w:rPr>
          <w:sz w:val="20"/>
          <w:szCs w:val="20"/>
        </w:rPr>
        <w:t>Licda. Daysi Concepción Orellana de Larin</w:t>
      </w:r>
    </w:p>
    <w:p w:rsidR="00B403CF" w:rsidRDefault="008C5B91" w:rsidP="008C5B91">
      <w:pPr>
        <w:pStyle w:val="Sinespaciado"/>
        <w:jc w:val="center"/>
      </w:pPr>
      <w:r>
        <w:rPr>
          <w:sz w:val="20"/>
          <w:szCs w:val="20"/>
        </w:rPr>
        <w:t>Oficial de Información</w:t>
      </w:r>
    </w:p>
    <w:sectPr w:rsidR="00B403CF" w:rsidSect="00A01A38">
      <w:headerReference w:type="default" r:id="rId8"/>
      <w:footerReference w:type="default" r:id="rId9"/>
      <w:pgSz w:w="12240" w:h="15840" w:code="1"/>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CE4" w:rsidRDefault="00886D88">
      <w:r>
        <w:separator/>
      </w:r>
    </w:p>
  </w:endnote>
  <w:endnote w:type="continuationSeparator" w:id="0">
    <w:p w:rsidR="00382CE4" w:rsidRDefault="0088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709" w:rsidRPr="00B72849" w:rsidRDefault="001B28EB" w:rsidP="007D2709">
    <w:pPr>
      <w:pStyle w:val="Piedepgina"/>
      <w:pBdr>
        <w:bottom w:val="single" w:sz="12" w:space="1" w:color="auto"/>
      </w:pBdr>
      <w:jc w:val="center"/>
      <w:rPr>
        <w:color w:val="000000" w:themeColor="text1"/>
        <w:sz w:val="18"/>
        <w:szCs w:val="18"/>
        <w:lang w:val="es-SV"/>
      </w:rPr>
    </w:pPr>
  </w:p>
  <w:p w:rsidR="007D2709" w:rsidRPr="00B72849" w:rsidRDefault="008C5B91" w:rsidP="007D2709">
    <w:pPr>
      <w:pStyle w:val="Piedepgina"/>
      <w:jc w:val="center"/>
      <w:rPr>
        <w:color w:val="000000" w:themeColor="text1"/>
        <w:sz w:val="18"/>
        <w:szCs w:val="18"/>
        <w:lang w:val="es-SV"/>
      </w:rPr>
    </w:pPr>
    <w:proofErr w:type="spellStart"/>
    <w:r w:rsidRPr="00B72849">
      <w:rPr>
        <w:color w:val="000000" w:themeColor="text1"/>
        <w:sz w:val="18"/>
        <w:szCs w:val="18"/>
        <w:lang w:val="es-SV"/>
      </w:rPr>
      <w:t>Blv</w:t>
    </w:r>
    <w:proofErr w:type="spellEnd"/>
    <w:r w:rsidRPr="00B72849">
      <w:rPr>
        <w:color w:val="000000" w:themeColor="text1"/>
        <w:sz w:val="18"/>
        <w:szCs w:val="18"/>
        <w:lang w:val="es-SV"/>
      </w:rPr>
      <w:t xml:space="preserve">. Merliot y Av. </w:t>
    </w:r>
    <w:proofErr w:type="spellStart"/>
    <w:r w:rsidRPr="00B72849">
      <w:rPr>
        <w:color w:val="000000" w:themeColor="text1"/>
        <w:sz w:val="18"/>
        <w:szCs w:val="18"/>
        <w:lang w:val="es-SV"/>
      </w:rPr>
      <w:t>Jayaque</w:t>
    </w:r>
    <w:proofErr w:type="spellEnd"/>
    <w:r w:rsidRPr="00B72849">
      <w:rPr>
        <w:color w:val="000000" w:themeColor="text1"/>
        <w:sz w:val="18"/>
        <w:szCs w:val="18"/>
        <w:lang w:val="es-SV"/>
      </w:rPr>
      <w:t xml:space="preserve">, Edif. </w:t>
    </w:r>
    <w:r>
      <w:rPr>
        <w:color w:val="000000" w:themeColor="text1"/>
        <w:sz w:val="18"/>
        <w:szCs w:val="18"/>
        <w:lang w:val="es-SV"/>
      </w:rPr>
      <w:t>DNM</w:t>
    </w:r>
    <w:r w:rsidRPr="00B72849">
      <w:rPr>
        <w:color w:val="000000" w:themeColor="text1"/>
        <w:sz w:val="18"/>
        <w:szCs w:val="18"/>
        <w:lang w:val="es-SV"/>
      </w:rPr>
      <w:t>, Urb. Jardines del Volcán, Santa Tecla, La Libertad, El Salvador</w:t>
    </w:r>
    <w:r>
      <w:rPr>
        <w:color w:val="000000" w:themeColor="text1"/>
        <w:sz w:val="18"/>
        <w:szCs w:val="18"/>
        <w:lang w:val="es-SV"/>
      </w:rPr>
      <w:t>, América Central</w:t>
    </w:r>
  </w:p>
  <w:p w:rsidR="007D2709" w:rsidRPr="00B72849" w:rsidRDefault="008C5B91" w:rsidP="007D2709">
    <w:pPr>
      <w:pStyle w:val="Piedepgina"/>
      <w:jc w:val="center"/>
      <w:rPr>
        <w:color w:val="000000" w:themeColor="text1"/>
        <w:sz w:val="18"/>
        <w:szCs w:val="18"/>
        <w:lang w:val="es-SV"/>
      </w:rPr>
    </w:pPr>
    <w:r>
      <w:rPr>
        <w:color w:val="000000" w:themeColor="text1"/>
        <w:sz w:val="18"/>
        <w:szCs w:val="18"/>
        <w:lang w:val="es-SV"/>
      </w:rPr>
      <w:t xml:space="preserve">PBX: (503) 2522 </w:t>
    </w:r>
    <w:r w:rsidRPr="00B72849">
      <w:rPr>
        <w:color w:val="000000" w:themeColor="text1"/>
        <w:sz w:val="18"/>
        <w:szCs w:val="18"/>
        <w:lang w:val="es-SV"/>
      </w:rPr>
      <w:t>5000 / Directo: (503) 2522 50</w:t>
    </w:r>
    <w:r>
      <w:rPr>
        <w:color w:val="000000" w:themeColor="text1"/>
        <w:sz w:val="18"/>
        <w:szCs w:val="18"/>
        <w:lang w:val="es-SV"/>
      </w:rPr>
      <w:t>04 – 2522 5070</w:t>
    </w:r>
    <w:r w:rsidRPr="00B72849">
      <w:rPr>
        <w:color w:val="000000" w:themeColor="text1"/>
        <w:sz w:val="18"/>
        <w:szCs w:val="18"/>
        <w:lang w:val="es-SV"/>
      </w:rPr>
      <w:t xml:space="preserve"> / e-mail</w:t>
    </w:r>
    <w:r w:rsidRPr="00555EDB">
      <w:rPr>
        <w:color w:val="000000" w:themeColor="text1"/>
        <w:sz w:val="18"/>
        <w:szCs w:val="18"/>
        <w:lang w:val="es-SV"/>
      </w:rPr>
      <w:t xml:space="preserve">: </w:t>
    </w:r>
    <w:hyperlink r:id="rId1" w:history="1">
      <w:r w:rsidRPr="00555EDB">
        <w:rPr>
          <w:rStyle w:val="Hipervnculo"/>
          <w:sz w:val="18"/>
          <w:szCs w:val="18"/>
          <w:lang w:val="es-SV"/>
        </w:rPr>
        <w:t>uaip@medicamentos.gob.sv</w:t>
      </w:r>
    </w:hyperlink>
  </w:p>
  <w:p w:rsidR="007D2709" w:rsidRPr="00B72849" w:rsidRDefault="001B28EB" w:rsidP="007D2709">
    <w:pPr>
      <w:pStyle w:val="Piedepgina"/>
      <w:jc w:val="center"/>
      <w:rPr>
        <w:color w:val="000000" w:themeColor="text1"/>
        <w:sz w:val="18"/>
        <w:szCs w:val="18"/>
      </w:rPr>
    </w:pPr>
  </w:p>
  <w:p w:rsidR="007D2709" w:rsidRPr="00604FE1" w:rsidRDefault="008C5B91" w:rsidP="007D2709">
    <w:pPr>
      <w:pStyle w:val="Piedepgina"/>
      <w:jc w:val="right"/>
      <w:rPr>
        <w:color w:val="000000" w:themeColor="text1"/>
        <w:sz w:val="18"/>
        <w:szCs w:val="18"/>
        <w:lang w:val="es-SV"/>
      </w:rPr>
    </w:pPr>
    <w:r w:rsidRPr="00B72849">
      <w:rPr>
        <w:color w:val="000000" w:themeColor="text1"/>
        <w:sz w:val="18"/>
        <w:szCs w:val="18"/>
      </w:rPr>
      <w:t xml:space="preserve">Página </w:t>
    </w:r>
    <w:r w:rsidRPr="00B72849">
      <w:rPr>
        <w:b/>
        <w:bCs/>
        <w:color w:val="000000" w:themeColor="text1"/>
        <w:sz w:val="18"/>
        <w:szCs w:val="18"/>
        <w:lang w:val="es-SV"/>
      </w:rPr>
      <w:fldChar w:fldCharType="begin"/>
    </w:r>
    <w:r w:rsidRPr="00B72849">
      <w:rPr>
        <w:b/>
        <w:bCs/>
        <w:color w:val="000000" w:themeColor="text1"/>
        <w:sz w:val="18"/>
        <w:szCs w:val="18"/>
        <w:lang w:val="es-SV"/>
      </w:rPr>
      <w:instrText>PAGE  \* Arabic  \* MERGEFORMAT</w:instrText>
    </w:r>
    <w:r w:rsidRPr="00B72849">
      <w:rPr>
        <w:b/>
        <w:bCs/>
        <w:color w:val="000000" w:themeColor="text1"/>
        <w:sz w:val="18"/>
        <w:szCs w:val="18"/>
        <w:lang w:val="es-SV"/>
      </w:rPr>
      <w:fldChar w:fldCharType="separate"/>
    </w:r>
    <w:r w:rsidR="001B28EB" w:rsidRPr="001B28EB">
      <w:rPr>
        <w:b/>
        <w:bCs/>
        <w:noProof/>
        <w:color w:val="000000" w:themeColor="text1"/>
        <w:sz w:val="18"/>
        <w:szCs w:val="18"/>
      </w:rPr>
      <w:t>1</w:t>
    </w:r>
    <w:r w:rsidRPr="00B72849">
      <w:rPr>
        <w:b/>
        <w:bCs/>
        <w:color w:val="000000" w:themeColor="text1"/>
        <w:sz w:val="18"/>
        <w:szCs w:val="18"/>
        <w:lang w:val="es-SV"/>
      </w:rPr>
      <w:fldChar w:fldCharType="end"/>
    </w:r>
    <w:r w:rsidRPr="00B72849">
      <w:rPr>
        <w:color w:val="000000" w:themeColor="text1"/>
        <w:sz w:val="18"/>
        <w:szCs w:val="18"/>
      </w:rPr>
      <w:t xml:space="preserve"> de </w:t>
    </w:r>
    <w:r w:rsidRPr="00B72849">
      <w:rPr>
        <w:b/>
        <w:bCs/>
        <w:color w:val="000000" w:themeColor="text1"/>
        <w:sz w:val="18"/>
        <w:szCs w:val="18"/>
        <w:lang w:val="es-SV"/>
      </w:rPr>
      <w:fldChar w:fldCharType="begin"/>
    </w:r>
    <w:r w:rsidRPr="00B72849">
      <w:rPr>
        <w:b/>
        <w:bCs/>
        <w:color w:val="000000" w:themeColor="text1"/>
        <w:sz w:val="18"/>
        <w:szCs w:val="18"/>
        <w:lang w:val="es-SV"/>
      </w:rPr>
      <w:instrText>NUMPAGES  \* Arabic  \* MERGEFORMAT</w:instrText>
    </w:r>
    <w:r w:rsidRPr="00B72849">
      <w:rPr>
        <w:b/>
        <w:bCs/>
        <w:color w:val="000000" w:themeColor="text1"/>
        <w:sz w:val="18"/>
        <w:szCs w:val="18"/>
        <w:lang w:val="es-SV"/>
      </w:rPr>
      <w:fldChar w:fldCharType="separate"/>
    </w:r>
    <w:r w:rsidR="001B28EB" w:rsidRPr="001B28EB">
      <w:rPr>
        <w:b/>
        <w:bCs/>
        <w:noProof/>
        <w:color w:val="000000" w:themeColor="text1"/>
        <w:sz w:val="18"/>
        <w:szCs w:val="18"/>
      </w:rPr>
      <w:t>2</w:t>
    </w:r>
    <w:r w:rsidRPr="00B72849">
      <w:rPr>
        <w:b/>
        <w:bCs/>
        <w:color w:val="000000" w:themeColor="text1"/>
        <w:sz w:val="18"/>
        <w:szCs w:val="18"/>
        <w:lang w:val="es-SV"/>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CE4" w:rsidRDefault="00886D88">
      <w:r>
        <w:separator/>
      </w:r>
    </w:p>
  </w:footnote>
  <w:footnote w:type="continuationSeparator" w:id="0">
    <w:p w:rsidR="00382CE4" w:rsidRDefault="00886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709" w:rsidRPr="001C3AA9" w:rsidRDefault="008C5B91" w:rsidP="007D2709">
    <w:pPr>
      <w:pStyle w:val="Encabezado"/>
      <w:jc w:val="center"/>
      <w:rPr>
        <w:b/>
        <w:sz w:val="36"/>
      </w:rPr>
    </w:pPr>
    <w:r>
      <w:rPr>
        <w:noProof/>
        <w:lang w:val="es-SV" w:eastAsia="es-SV"/>
      </w:rPr>
      <w:drawing>
        <wp:anchor distT="0" distB="0" distL="114300" distR="114300" simplePos="0" relativeHeight="251661312" behindDoc="0" locked="0" layoutInCell="1" allowOverlap="1" wp14:anchorId="0BDBBC38" wp14:editId="07D0604D">
          <wp:simplePos x="0" y="0"/>
          <wp:positionH relativeFrom="column">
            <wp:posOffset>5301615</wp:posOffset>
          </wp:positionH>
          <wp:positionV relativeFrom="paragraph">
            <wp:posOffset>-125730</wp:posOffset>
          </wp:positionV>
          <wp:extent cx="857250" cy="765175"/>
          <wp:effectExtent l="0" t="0" r="0" b="0"/>
          <wp:wrapThrough wrapText="bothSides">
            <wp:wrapPolygon edited="0">
              <wp:start x="6240" y="0"/>
              <wp:lineTo x="0" y="3227"/>
              <wp:lineTo x="0" y="14520"/>
              <wp:lineTo x="960" y="17746"/>
              <wp:lineTo x="5760" y="20973"/>
              <wp:lineTo x="6240" y="20973"/>
              <wp:lineTo x="14880" y="20973"/>
              <wp:lineTo x="15360" y="20973"/>
              <wp:lineTo x="20160" y="17746"/>
              <wp:lineTo x="21120" y="14520"/>
              <wp:lineTo x="21120" y="3227"/>
              <wp:lineTo x="14880" y="0"/>
              <wp:lineTo x="6240" y="0"/>
            </wp:wrapPolygon>
          </wp:wrapThrough>
          <wp:docPr id="5" name="24 Imagen" descr="DNM.png"/>
          <wp:cNvGraphicFramePr/>
          <a:graphic xmlns:a="http://schemas.openxmlformats.org/drawingml/2006/main">
            <a:graphicData uri="http://schemas.openxmlformats.org/drawingml/2006/picture">
              <pic:pic xmlns:pic="http://schemas.openxmlformats.org/drawingml/2006/picture">
                <pic:nvPicPr>
                  <pic:cNvPr id="303" name="24 Imagen" descr="DN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765175"/>
                  </a:xfrm>
                  <a:prstGeom prst="rect">
                    <a:avLst/>
                  </a:prstGeom>
                </pic:spPr>
              </pic:pic>
            </a:graphicData>
          </a:graphic>
          <wp14:sizeRelH relativeFrom="page">
            <wp14:pctWidth>0</wp14:pctWidth>
          </wp14:sizeRelH>
          <wp14:sizeRelV relativeFrom="page">
            <wp14:pctHeight>0</wp14:pctHeight>
          </wp14:sizeRelV>
        </wp:anchor>
      </w:drawing>
    </w:r>
    <w:r w:rsidRPr="001C3AA9">
      <w:rPr>
        <w:noProof/>
        <w:lang w:val="es-SV" w:eastAsia="es-SV"/>
      </w:rPr>
      <w:drawing>
        <wp:anchor distT="0" distB="0" distL="114300" distR="114300" simplePos="0" relativeHeight="251659264" behindDoc="0" locked="0" layoutInCell="1" allowOverlap="1" wp14:anchorId="600B270A" wp14:editId="26E585E6">
          <wp:simplePos x="0" y="0"/>
          <wp:positionH relativeFrom="margin">
            <wp:posOffset>-628650</wp:posOffset>
          </wp:positionH>
          <wp:positionV relativeFrom="margin">
            <wp:posOffset>-944245</wp:posOffset>
          </wp:positionV>
          <wp:extent cx="864235" cy="771525"/>
          <wp:effectExtent l="0" t="0" r="0" b="9525"/>
          <wp:wrapSquare wrapText="bothSides"/>
          <wp:docPr id="6" name="Imagen 3" descr="C:\Users\dnm.CSSP\Desktop\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dnm.CSSP\Desktop\escudo.gif"/>
                  <pic:cNvPicPr>
                    <a:picLocks noChangeAspect="1" noChangeArrowheads="1"/>
                  </pic:cNvPicPr>
                </pic:nvPicPr>
                <pic:blipFill>
                  <a:blip r:embed="rId2"/>
                  <a:srcRect/>
                  <a:stretch>
                    <a:fillRect/>
                  </a:stretch>
                </pic:blipFill>
                <pic:spPr bwMode="auto">
                  <a:xfrm>
                    <a:off x="0" y="0"/>
                    <a:ext cx="864235" cy="771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C3AA9">
      <w:rPr>
        <w:noProof/>
        <w:lang w:val="es-SV" w:eastAsia="es-SV"/>
      </w:rPr>
      <mc:AlternateContent>
        <mc:Choice Requires="wps">
          <w:drawing>
            <wp:anchor distT="0" distB="0" distL="114300" distR="114300" simplePos="0" relativeHeight="251660288" behindDoc="1" locked="0" layoutInCell="1" allowOverlap="1" wp14:anchorId="4E4E852C" wp14:editId="3557C0CD">
              <wp:simplePos x="0" y="0"/>
              <wp:positionH relativeFrom="column">
                <wp:posOffset>4964405</wp:posOffset>
              </wp:positionH>
              <wp:positionV relativeFrom="paragraph">
                <wp:posOffset>-378963</wp:posOffset>
              </wp:positionV>
              <wp:extent cx="1603169" cy="273132"/>
              <wp:effectExtent l="0" t="0" r="0" b="0"/>
              <wp:wrapNone/>
              <wp:docPr id="1" name="Rectángulo 1"/>
              <wp:cNvGraphicFramePr/>
              <a:graphic xmlns:a="http://schemas.openxmlformats.org/drawingml/2006/main">
                <a:graphicData uri="http://schemas.microsoft.com/office/word/2010/wordprocessingShape">
                  <wps:wsp>
                    <wps:cNvSpPr/>
                    <wps:spPr>
                      <a:xfrm>
                        <a:off x="0" y="0"/>
                        <a:ext cx="1603169" cy="273132"/>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7D2709" w:rsidRPr="00677375" w:rsidRDefault="008C5B91" w:rsidP="007D2709">
                          <w:pPr>
                            <w:jc w:val="center"/>
                            <w:rPr>
                              <w:color w:val="000000" w:themeColor="text1"/>
                              <w:sz w:val="18"/>
                              <w:szCs w:val="18"/>
                            </w:rPr>
                          </w:pPr>
                          <w:r>
                            <w:rPr>
                              <w:color w:val="000000" w:themeColor="text1"/>
                              <w:sz w:val="18"/>
                              <w:szCs w:val="18"/>
                            </w:rPr>
                            <w:t>C04-GI-01-UAIP.HER06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E852C" id="Rectángulo 1" o:spid="_x0000_s1026" style="position:absolute;left:0;text-align:left;margin-left:390.9pt;margin-top:-29.85pt;width:126.25pt;height:2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" filled="f" stroked="f" strokeweight="1pt">
              <v:textbox>
                <w:txbxContent>
                  <w:p w:rsidR="007D2709" w:rsidRPr="00677375" w:rsidRDefault="008C5B91" w:rsidP="007D2709">
                    <w:pPr>
                      <w:jc w:val="center"/>
                      <w:rPr>
                        <w:color w:val="000000" w:themeColor="text1"/>
                        <w:sz w:val="18"/>
                        <w:szCs w:val="18"/>
                      </w:rPr>
                    </w:pPr>
                    <w:r>
                      <w:rPr>
                        <w:color w:val="000000" w:themeColor="text1"/>
                        <w:sz w:val="18"/>
                        <w:szCs w:val="18"/>
                      </w:rPr>
                      <w:t>C04-GI-01-UAIP.HER06</w:t>
                    </w:r>
                  </w:p>
                </w:txbxContent>
              </v:textbox>
            </v:rect>
          </w:pict>
        </mc:Fallback>
      </mc:AlternateContent>
    </w:r>
    <w:r>
      <w:rPr>
        <w:b/>
        <w:sz w:val="36"/>
      </w:rPr>
      <w:t xml:space="preserve"> </w:t>
    </w:r>
    <w:r w:rsidRPr="001C3AA9">
      <w:rPr>
        <w:b/>
        <w:sz w:val="36"/>
      </w:rPr>
      <w:t xml:space="preserve">Dirección Nacional de Medicamentos </w:t>
    </w:r>
  </w:p>
  <w:p w:rsidR="007D2709" w:rsidRPr="001C3AA9" w:rsidRDefault="008C5B91" w:rsidP="007D2709">
    <w:pPr>
      <w:pStyle w:val="Encabezado"/>
      <w:jc w:val="center"/>
      <w:rPr>
        <w:sz w:val="28"/>
      </w:rPr>
    </w:pPr>
    <w:r w:rsidRPr="001C3AA9">
      <w:rPr>
        <w:sz w:val="28"/>
        <w:szCs w:val="28"/>
      </w:rPr>
      <w:t>República de El Salvador, América Central</w:t>
    </w:r>
  </w:p>
  <w:p w:rsidR="007D2709" w:rsidRPr="001C3AA9" w:rsidRDefault="008C5B91" w:rsidP="007D2709">
    <w:pPr>
      <w:pStyle w:val="Encabezado"/>
      <w:pBdr>
        <w:bottom w:val="single" w:sz="6" w:space="1" w:color="auto"/>
      </w:pBdr>
      <w:jc w:val="center"/>
      <w:rPr>
        <w:b/>
        <w:sz w:val="28"/>
      </w:rPr>
    </w:pPr>
    <w:r w:rsidRPr="001C3AA9">
      <w:rPr>
        <w:b/>
        <w:sz w:val="28"/>
      </w:rPr>
      <w:t xml:space="preserve">UNIDAD DE </w:t>
    </w:r>
    <w:r>
      <w:rPr>
        <w:b/>
        <w:sz w:val="28"/>
      </w:rPr>
      <w:t>ACCESO A LA INFORMACIÓN PÚBLICA</w:t>
    </w:r>
  </w:p>
  <w:p w:rsidR="007D2709" w:rsidRDefault="001B2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36DDF"/>
    <w:multiLevelType w:val="hybridMultilevel"/>
    <w:tmpl w:val="C81A13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7DE5E7A"/>
    <w:multiLevelType w:val="hybridMultilevel"/>
    <w:tmpl w:val="BDEC99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1580626"/>
    <w:multiLevelType w:val="hybridMultilevel"/>
    <w:tmpl w:val="5A04C578"/>
    <w:lvl w:ilvl="0" w:tplc="6548F13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73100E02"/>
    <w:multiLevelType w:val="hybridMultilevel"/>
    <w:tmpl w:val="BBE0EEF6"/>
    <w:lvl w:ilvl="0" w:tplc="F8045ED6">
      <w:start w:val="1"/>
      <w:numFmt w:val="upperRoman"/>
      <w:lvlText w:val="%1."/>
      <w:lvlJc w:val="righ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91"/>
    <w:rsid w:val="00011AD8"/>
    <w:rsid w:val="00036489"/>
    <w:rsid w:val="000A59EC"/>
    <w:rsid w:val="000C431D"/>
    <w:rsid w:val="000E3817"/>
    <w:rsid w:val="00161445"/>
    <w:rsid w:val="001B28EB"/>
    <w:rsid w:val="00382CE4"/>
    <w:rsid w:val="003A0908"/>
    <w:rsid w:val="003E1E9F"/>
    <w:rsid w:val="005230E2"/>
    <w:rsid w:val="00555E94"/>
    <w:rsid w:val="00660588"/>
    <w:rsid w:val="006B3A61"/>
    <w:rsid w:val="006C20CE"/>
    <w:rsid w:val="00763B75"/>
    <w:rsid w:val="00825CDD"/>
    <w:rsid w:val="00886D88"/>
    <w:rsid w:val="008C5B91"/>
    <w:rsid w:val="009E3EE8"/>
    <w:rsid w:val="00A01A38"/>
    <w:rsid w:val="00A038CB"/>
    <w:rsid w:val="00A91B0F"/>
    <w:rsid w:val="00B57295"/>
    <w:rsid w:val="00B83E39"/>
    <w:rsid w:val="00BD3080"/>
    <w:rsid w:val="00CD3D25"/>
    <w:rsid w:val="00DB1579"/>
    <w:rsid w:val="00E30536"/>
    <w:rsid w:val="00E96035"/>
    <w:rsid w:val="00F45CBE"/>
    <w:rsid w:val="00F736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F654D-D613-4EC9-922B-8CE0D3BA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E9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5B91"/>
    <w:pPr>
      <w:tabs>
        <w:tab w:val="center" w:pos="4419"/>
        <w:tab w:val="right" w:pos="8838"/>
      </w:tabs>
    </w:pPr>
  </w:style>
  <w:style w:type="character" w:customStyle="1" w:styleId="EncabezadoCar">
    <w:name w:val="Encabezado Car"/>
    <w:basedOn w:val="Fuentedeprrafopredeter"/>
    <w:link w:val="Encabezado"/>
    <w:uiPriority w:val="99"/>
    <w:rsid w:val="008C5B91"/>
    <w:rPr>
      <w:rFonts w:ascii="Times New Roman" w:eastAsia="Times New Roman" w:hAnsi="Times New Roman" w:cs="Times New Roman"/>
      <w:sz w:val="24"/>
      <w:szCs w:val="24"/>
      <w:lang w:val="es-ES" w:eastAsia="es-ES"/>
    </w:rPr>
  </w:style>
  <w:style w:type="paragraph" w:styleId="Sinespaciado">
    <w:name w:val="No Spacing"/>
    <w:uiPriority w:val="1"/>
    <w:qFormat/>
    <w:rsid w:val="008C5B91"/>
    <w:pPr>
      <w:spacing w:after="0" w:line="240" w:lineRule="auto"/>
    </w:pPr>
  </w:style>
  <w:style w:type="paragraph" w:styleId="Piedepgina">
    <w:name w:val="footer"/>
    <w:basedOn w:val="Normal"/>
    <w:link w:val="PiedepginaCar"/>
    <w:uiPriority w:val="99"/>
    <w:unhideWhenUsed/>
    <w:rsid w:val="008C5B91"/>
    <w:pPr>
      <w:tabs>
        <w:tab w:val="center" w:pos="4419"/>
        <w:tab w:val="right" w:pos="8838"/>
      </w:tabs>
    </w:pPr>
  </w:style>
  <w:style w:type="character" w:customStyle="1" w:styleId="PiedepginaCar">
    <w:name w:val="Pie de página Car"/>
    <w:basedOn w:val="Fuentedeprrafopredeter"/>
    <w:link w:val="Piedepgina"/>
    <w:uiPriority w:val="99"/>
    <w:rsid w:val="008C5B91"/>
    <w:rPr>
      <w:rFonts w:ascii="Times New Roman" w:eastAsia="Times New Roman" w:hAnsi="Times New Roman" w:cs="Times New Roman"/>
      <w:sz w:val="24"/>
      <w:szCs w:val="24"/>
      <w:lang w:val="es-ES" w:eastAsia="es-ES"/>
    </w:rPr>
  </w:style>
  <w:style w:type="character" w:styleId="Hipervnculo">
    <w:name w:val="Hyperlink"/>
    <w:uiPriority w:val="99"/>
    <w:unhideWhenUsed/>
    <w:rsid w:val="008C5B91"/>
    <w:rPr>
      <w:color w:val="0000FF"/>
      <w:u w:val="single"/>
    </w:rPr>
  </w:style>
  <w:style w:type="paragraph" w:styleId="NormalWeb">
    <w:name w:val="Normal (Web)"/>
    <w:basedOn w:val="Normal"/>
    <w:uiPriority w:val="99"/>
    <w:unhideWhenUsed/>
    <w:rsid w:val="008C5B91"/>
    <w:pPr>
      <w:spacing w:before="100" w:beforeAutospacing="1" w:after="100" w:afterAutospacing="1"/>
    </w:pPr>
    <w:rPr>
      <w:lang w:val="es-SV" w:eastAsia="es-SV"/>
    </w:rPr>
  </w:style>
  <w:style w:type="paragraph" w:styleId="Prrafodelista">
    <w:name w:val="List Paragraph"/>
    <w:basedOn w:val="Normal"/>
    <w:uiPriority w:val="34"/>
    <w:qFormat/>
    <w:rsid w:val="008C5B91"/>
    <w:pPr>
      <w:spacing w:after="200" w:line="276" w:lineRule="auto"/>
      <w:ind w:left="720"/>
      <w:contextualSpacing/>
    </w:pPr>
    <w:rPr>
      <w:rFonts w:asciiTheme="minorHAnsi" w:eastAsiaTheme="minorHAnsi" w:hAnsiTheme="minorHAnsi" w:cstheme="minorBidi"/>
      <w:sz w:val="22"/>
      <w:szCs w:val="22"/>
      <w:lang w:val="es-SV" w:eastAsia="en-US"/>
    </w:rPr>
  </w:style>
  <w:style w:type="table" w:styleId="Tablaconcuadrcula">
    <w:name w:val="Table Grid"/>
    <w:basedOn w:val="Tablanormal"/>
    <w:uiPriority w:val="39"/>
    <w:rsid w:val="008C5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86D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6D8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86286">
      <w:bodyDiv w:val="1"/>
      <w:marLeft w:val="0"/>
      <w:marRight w:val="0"/>
      <w:marTop w:val="0"/>
      <w:marBottom w:val="0"/>
      <w:divBdr>
        <w:top w:val="none" w:sz="0" w:space="0" w:color="auto"/>
        <w:left w:val="none" w:sz="0" w:space="0" w:color="auto"/>
        <w:bottom w:val="none" w:sz="0" w:space="0" w:color="auto"/>
        <w:right w:val="none" w:sz="0" w:space="0" w:color="auto"/>
      </w:divBdr>
    </w:div>
    <w:div w:id="991060144">
      <w:bodyDiv w:val="1"/>
      <w:marLeft w:val="0"/>
      <w:marRight w:val="0"/>
      <w:marTop w:val="0"/>
      <w:marBottom w:val="0"/>
      <w:divBdr>
        <w:top w:val="none" w:sz="0" w:space="0" w:color="auto"/>
        <w:left w:val="none" w:sz="0" w:space="0" w:color="auto"/>
        <w:bottom w:val="none" w:sz="0" w:space="0" w:color="auto"/>
        <w:right w:val="none" w:sz="0" w:space="0" w:color="auto"/>
      </w:divBdr>
    </w:div>
    <w:div w:id="1689334060">
      <w:bodyDiv w:val="1"/>
      <w:marLeft w:val="0"/>
      <w:marRight w:val="0"/>
      <w:marTop w:val="0"/>
      <w:marBottom w:val="0"/>
      <w:divBdr>
        <w:top w:val="none" w:sz="0" w:space="0" w:color="auto"/>
        <w:left w:val="none" w:sz="0" w:space="0" w:color="auto"/>
        <w:bottom w:val="none" w:sz="0" w:space="0" w:color="auto"/>
        <w:right w:val="none" w:sz="0" w:space="0" w:color="auto"/>
      </w:divBdr>
    </w:div>
    <w:div w:id="1931503194">
      <w:bodyDiv w:val="1"/>
      <w:marLeft w:val="0"/>
      <w:marRight w:val="0"/>
      <w:marTop w:val="0"/>
      <w:marBottom w:val="0"/>
      <w:divBdr>
        <w:top w:val="none" w:sz="0" w:space="0" w:color="auto"/>
        <w:left w:val="none" w:sz="0" w:space="0" w:color="auto"/>
        <w:bottom w:val="none" w:sz="0" w:space="0" w:color="auto"/>
        <w:right w:val="none" w:sz="0" w:space="0" w:color="auto"/>
      </w:divBdr>
    </w:div>
    <w:div w:id="20507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fo.medicamentos.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aip@medicamentos.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908</Words>
  <Characters>4995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Yesenia Palacios</dc:creator>
  <cp:keywords/>
  <dc:description/>
  <cp:lastModifiedBy>Daysi Concepcion Orellana de Larin</cp:lastModifiedBy>
  <cp:revision>5</cp:revision>
  <cp:lastPrinted>2019-01-28T21:35:00Z</cp:lastPrinted>
  <dcterms:created xsi:type="dcterms:W3CDTF">2019-01-28T21:03:00Z</dcterms:created>
  <dcterms:modified xsi:type="dcterms:W3CDTF">2019-01-28T21:36:00Z</dcterms:modified>
</cp:coreProperties>
</file>