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DF9" w:rsidRDefault="00165DF9" w:rsidP="00165DF9">
      <w:pPr>
        <w:tabs>
          <w:tab w:val="left" w:pos="8001"/>
        </w:tabs>
        <w:jc w:val="right"/>
        <w:rPr>
          <w:rFonts w:ascii="Arial" w:eastAsia="Calibri" w:hAnsi="Arial" w:cs="Arial"/>
          <w:b/>
          <w:sz w:val="24"/>
          <w:szCs w:val="24"/>
        </w:rPr>
      </w:pPr>
      <w:bookmarkStart w:id="0" w:name="_GoBack"/>
      <w:bookmarkEnd w:id="0"/>
      <w:r>
        <w:rPr>
          <w:rFonts w:ascii="Arial" w:eastAsia="Calibri" w:hAnsi="Arial" w:cs="Arial"/>
          <w:b/>
          <w:sz w:val="24"/>
          <w:szCs w:val="24"/>
        </w:rPr>
        <w:t>VERSIÓN PÚBLICA</w:t>
      </w:r>
      <w:r w:rsidR="00380680">
        <w:rPr>
          <w:rFonts w:ascii="Arial" w:eastAsia="Calibri" w:hAnsi="Arial" w:cs="Arial"/>
          <w:b/>
          <w:sz w:val="24"/>
          <w:szCs w:val="24"/>
        </w:rPr>
        <w:t xml:space="preserve">                                                                                                  </w:t>
      </w:r>
    </w:p>
    <w:p w:rsidR="00380680" w:rsidRPr="00F00770" w:rsidRDefault="00380680" w:rsidP="00165DF9">
      <w:pPr>
        <w:tabs>
          <w:tab w:val="left" w:pos="8001"/>
        </w:tabs>
        <w:jc w:val="right"/>
        <w:rPr>
          <w:rFonts w:ascii="Arial" w:eastAsia="Calibri" w:hAnsi="Arial" w:cs="Arial"/>
          <w:b/>
          <w:sz w:val="24"/>
          <w:szCs w:val="24"/>
        </w:rPr>
      </w:pPr>
      <w:r>
        <w:rPr>
          <w:rFonts w:ascii="Arial" w:eastAsia="Calibri" w:hAnsi="Arial" w:cs="Arial"/>
          <w:b/>
          <w:sz w:val="24"/>
          <w:szCs w:val="24"/>
        </w:rPr>
        <w:t>UAIP/OIR/0439</w:t>
      </w:r>
      <w:r w:rsidRPr="00F00770">
        <w:rPr>
          <w:rFonts w:ascii="Arial" w:eastAsia="Calibri" w:hAnsi="Arial" w:cs="Arial"/>
          <w:b/>
          <w:sz w:val="24"/>
          <w:szCs w:val="24"/>
        </w:rPr>
        <w:t>/2018</w:t>
      </w:r>
    </w:p>
    <w:p w:rsidR="00380680" w:rsidRPr="00F00770" w:rsidRDefault="00380680" w:rsidP="00380680">
      <w:pPr>
        <w:tabs>
          <w:tab w:val="left" w:pos="8001"/>
        </w:tabs>
        <w:jc w:val="both"/>
        <w:rPr>
          <w:rFonts w:ascii="Arial" w:eastAsia="Calibri" w:hAnsi="Arial" w:cs="Arial"/>
          <w:sz w:val="24"/>
          <w:szCs w:val="24"/>
        </w:rPr>
      </w:pPr>
      <w:r>
        <w:rPr>
          <w:rFonts w:ascii="Arial" w:eastAsia="Calibri" w:hAnsi="Arial" w:cs="Arial"/>
          <w:sz w:val="24"/>
          <w:szCs w:val="24"/>
        </w:rPr>
        <w:t>Vista la solicitud del señor</w:t>
      </w:r>
      <w:r w:rsidRPr="00F00770">
        <w:rPr>
          <w:rFonts w:ascii="Arial" w:eastAsia="Calibri" w:hAnsi="Arial" w:cs="Arial"/>
          <w:sz w:val="24"/>
          <w:szCs w:val="24"/>
        </w:rPr>
        <w:t xml:space="preserve">, </w:t>
      </w:r>
      <w:r w:rsidR="002B48D7" w:rsidRPr="002B48D7">
        <w:rPr>
          <w:rFonts w:ascii="Arial" w:eastAsia="Calibri" w:hAnsi="Arial" w:cs="Arial"/>
          <w:sz w:val="24"/>
          <w:szCs w:val="24"/>
          <w:highlight w:val="black"/>
        </w:rPr>
        <w:t>XXXXXXXXXXXXXXXXXXX</w:t>
      </w:r>
      <w:r w:rsidRPr="00F00770">
        <w:rPr>
          <w:rFonts w:ascii="Arial" w:eastAsia="Calibri" w:hAnsi="Arial" w:cs="Arial"/>
          <w:b/>
          <w:sz w:val="24"/>
          <w:szCs w:val="24"/>
        </w:rPr>
        <w:t>,</w:t>
      </w:r>
      <w:r w:rsidRPr="00F00770">
        <w:rPr>
          <w:rFonts w:ascii="Arial" w:eastAsia="Calibri" w:hAnsi="Arial" w:cs="Arial"/>
          <w:sz w:val="24"/>
          <w:szCs w:val="24"/>
        </w:rPr>
        <w:t xml:space="preserve"> con Documento Único de Identidad número </w:t>
      </w:r>
      <w:r w:rsidR="002B48D7" w:rsidRPr="002B48D7">
        <w:rPr>
          <w:rFonts w:ascii="Arial" w:eastAsia="Calibri" w:hAnsi="Arial" w:cs="Arial"/>
          <w:sz w:val="24"/>
          <w:szCs w:val="24"/>
          <w:highlight w:val="black"/>
        </w:rPr>
        <w:t>XXXXXXXXXXXXXXXXXXXXXXXXXXXXXXXXXXXXXXXXXXX</w:t>
      </w:r>
      <w:r w:rsidR="00062D45" w:rsidRPr="002B48D7">
        <w:rPr>
          <w:rFonts w:ascii="Arial" w:eastAsia="Calibri" w:hAnsi="Arial" w:cs="Arial"/>
          <w:sz w:val="24"/>
          <w:szCs w:val="24"/>
          <w:highlight w:val="black"/>
        </w:rPr>
        <w:t xml:space="preserve"> </w:t>
      </w:r>
      <w:r w:rsidR="002B48D7" w:rsidRPr="002B48D7">
        <w:rPr>
          <w:rFonts w:ascii="Arial" w:eastAsia="Calibri" w:hAnsi="Arial" w:cs="Arial"/>
          <w:sz w:val="24"/>
          <w:szCs w:val="24"/>
          <w:highlight w:val="black"/>
        </w:rPr>
        <w:t>XXXXXXXXXXXXXXXXXXXXX</w:t>
      </w:r>
      <w:r w:rsidR="002B48D7">
        <w:rPr>
          <w:rFonts w:ascii="Arial" w:eastAsia="Calibri" w:hAnsi="Arial" w:cs="Arial"/>
          <w:sz w:val="24"/>
          <w:szCs w:val="24"/>
        </w:rPr>
        <w:t>,</w:t>
      </w:r>
      <w:r w:rsidR="00062D45">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380680" w:rsidRDefault="00380680" w:rsidP="00380680">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 xml:space="preserve">Se proceda </w:t>
      </w:r>
      <w:r>
        <w:rPr>
          <w:rFonts w:ascii="Arial" w:eastAsia="Calibri" w:hAnsi="Arial" w:cs="Arial"/>
          <w:b/>
          <w:sz w:val="24"/>
          <w:szCs w:val="24"/>
        </w:rPr>
        <w:t>a la supresión definitiva</w:t>
      </w:r>
      <w:r w:rsidR="00062D45">
        <w:rPr>
          <w:rFonts w:ascii="Arial" w:eastAsia="Calibri" w:hAnsi="Arial" w:cs="Arial"/>
          <w:b/>
          <w:sz w:val="24"/>
          <w:szCs w:val="24"/>
        </w:rPr>
        <w:t xml:space="preserve"> e mis </w:t>
      </w:r>
      <w:r w:rsidRPr="00F00770">
        <w:rPr>
          <w:rFonts w:ascii="Arial" w:eastAsia="Calibri" w:hAnsi="Arial" w:cs="Arial"/>
          <w:b/>
          <w:sz w:val="24"/>
          <w:szCs w:val="24"/>
        </w:rPr>
        <w:t>antecedentes penales cambiando la palabra cancelado a no tiene”.</w:t>
      </w:r>
      <w:r>
        <w:rPr>
          <w:rFonts w:ascii="Arial" w:eastAsia="Calibri" w:hAnsi="Arial" w:cs="Arial"/>
          <w:b/>
          <w:sz w:val="24"/>
          <w:szCs w:val="24"/>
        </w:rPr>
        <w:t xml:space="preserve"> </w:t>
      </w:r>
    </w:p>
    <w:p w:rsidR="00380680" w:rsidRPr="00F00770" w:rsidRDefault="00380680" w:rsidP="00380680">
      <w:pPr>
        <w:tabs>
          <w:tab w:val="left" w:pos="8001"/>
        </w:tabs>
        <w:ind w:left="1288"/>
        <w:contextualSpacing/>
        <w:jc w:val="both"/>
        <w:rPr>
          <w:rFonts w:ascii="Arial" w:eastAsia="Calibri" w:hAnsi="Arial" w:cs="Arial"/>
          <w:b/>
          <w:sz w:val="24"/>
          <w:szCs w:val="24"/>
        </w:rPr>
      </w:pPr>
    </w:p>
    <w:p w:rsidR="00380680" w:rsidRPr="00F00770" w:rsidRDefault="00380680" w:rsidP="00380680">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w:t>
      </w:r>
      <w:r>
        <w:rPr>
          <w:rFonts w:ascii="Arial" w:eastAsia="Calibri" w:hAnsi="Arial" w:cs="Arial"/>
          <w:sz w:val="24"/>
          <w:szCs w:val="24"/>
        </w:rPr>
        <w:t xml:space="preserve">ceso a la Información Pública, </w:t>
      </w:r>
      <w:r w:rsidRPr="00F00770">
        <w:rPr>
          <w:rFonts w:ascii="Arial" w:eastAsia="Calibri" w:hAnsi="Arial" w:cs="Arial"/>
          <w:sz w:val="24"/>
          <w:szCs w:val="24"/>
        </w:rPr>
        <w:t xml:space="preserve">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380680" w:rsidRPr="00F00770" w:rsidRDefault="00380680" w:rsidP="00380680">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constatado que a la fecha </w:t>
      </w:r>
      <w:r w:rsidR="002B4978">
        <w:rPr>
          <w:rFonts w:ascii="Arial" w:eastAsia="Calibri" w:hAnsi="Arial" w:cs="Arial"/>
          <w:i/>
          <w:sz w:val="24"/>
          <w:szCs w:val="24"/>
        </w:rPr>
        <w:t xml:space="preserve">el </w:t>
      </w:r>
      <w:r w:rsidR="00661BF5">
        <w:rPr>
          <w:rFonts w:ascii="Arial" w:eastAsia="Calibri" w:hAnsi="Arial" w:cs="Arial"/>
          <w:sz w:val="24"/>
          <w:szCs w:val="24"/>
        </w:rPr>
        <w:t xml:space="preserve">Diego </w:t>
      </w:r>
      <w:r w:rsidR="002B48D7" w:rsidRPr="002B48D7">
        <w:rPr>
          <w:rFonts w:ascii="Arial" w:eastAsia="Calibri" w:hAnsi="Arial" w:cs="Arial"/>
          <w:sz w:val="24"/>
          <w:szCs w:val="24"/>
          <w:highlight w:val="black"/>
        </w:rPr>
        <w:t>XXXXX</w:t>
      </w:r>
      <w:r w:rsidR="002B48D7">
        <w:rPr>
          <w:rFonts w:ascii="Arial" w:eastAsia="Calibri" w:hAnsi="Arial" w:cs="Arial"/>
          <w:sz w:val="24"/>
          <w:szCs w:val="24"/>
          <w:highlight w:val="black"/>
        </w:rPr>
        <w:t xml:space="preserve"> </w:t>
      </w:r>
      <w:r w:rsidR="002B48D7" w:rsidRPr="002B48D7">
        <w:rPr>
          <w:rFonts w:ascii="Arial" w:eastAsia="Calibri" w:hAnsi="Arial" w:cs="Arial"/>
          <w:sz w:val="24"/>
          <w:szCs w:val="24"/>
          <w:highlight w:val="black"/>
        </w:rPr>
        <w:t>XXXXXXXXXXXXXX</w:t>
      </w:r>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sidR="00661BF5">
        <w:rPr>
          <w:rFonts w:ascii="Arial" w:eastAsia="Calibri" w:hAnsi="Arial" w:cs="Arial"/>
          <w:i/>
          <w:sz w:val="24"/>
          <w:szCs w:val="24"/>
        </w:rPr>
        <w:t>onsigna que el Juzgado Segundo</w:t>
      </w:r>
      <w:r>
        <w:rPr>
          <w:rFonts w:ascii="Arial" w:eastAsia="Calibri" w:hAnsi="Arial" w:cs="Arial"/>
          <w:i/>
          <w:sz w:val="24"/>
          <w:szCs w:val="24"/>
        </w:rPr>
        <w:t xml:space="preserve"> </w:t>
      </w:r>
      <w:r w:rsidRPr="00F00770">
        <w:rPr>
          <w:rFonts w:ascii="Arial" w:eastAsia="Calibri" w:hAnsi="Arial" w:cs="Arial"/>
          <w:i/>
          <w:sz w:val="24"/>
          <w:szCs w:val="24"/>
        </w:rPr>
        <w:t>de Vigilancia Penitenciaria y de Ejec</w:t>
      </w:r>
      <w:r w:rsidR="00661BF5">
        <w:rPr>
          <w:rFonts w:ascii="Arial" w:eastAsia="Calibri" w:hAnsi="Arial" w:cs="Arial"/>
          <w:i/>
          <w:sz w:val="24"/>
          <w:szCs w:val="24"/>
        </w:rPr>
        <w:t>ución de la Pena de Santa Tecla</w:t>
      </w:r>
      <w:r>
        <w:rPr>
          <w:rFonts w:ascii="Arial" w:eastAsia="Calibri" w:hAnsi="Arial" w:cs="Arial"/>
          <w:i/>
          <w:sz w:val="24"/>
          <w:szCs w:val="24"/>
        </w:rPr>
        <w:t xml:space="preserve">, </w:t>
      </w:r>
      <w:r w:rsidR="00661BF5">
        <w:rPr>
          <w:rFonts w:ascii="Arial" w:eastAsia="Calibri" w:hAnsi="Arial" w:cs="Arial"/>
          <w:i/>
          <w:sz w:val="24"/>
          <w:szCs w:val="24"/>
        </w:rPr>
        <w:t>informa sobre la extinción de la pena”.</w:t>
      </w:r>
    </w:p>
    <w:p w:rsidR="00380680" w:rsidRPr="00F00770" w:rsidRDefault="00380680" w:rsidP="00380680">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380680" w:rsidRPr="00F00770" w:rsidRDefault="00380680" w:rsidP="00380680">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380680" w:rsidRPr="00F00770" w:rsidRDefault="00380680" w:rsidP="00380680">
      <w:pPr>
        <w:tabs>
          <w:tab w:val="left" w:pos="8001"/>
        </w:tabs>
        <w:jc w:val="both"/>
        <w:rPr>
          <w:rFonts w:ascii="Arial" w:eastAsia="Calibri" w:hAnsi="Arial" w:cs="Arial"/>
          <w:i/>
          <w:sz w:val="24"/>
          <w:szCs w:val="24"/>
        </w:rPr>
      </w:pPr>
      <w:r w:rsidRPr="00F00770">
        <w:rPr>
          <w:rFonts w:ascii="Arial" w:eastAsia="Calibri" w:hAnsi="Arial" w:cs="Arial"/>
          <w:b/>
          <w:sz w:val="24"/>
          <w:szCs w:val="24"/>
        </w:rPr>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00661BF5">
        <w:rPr>
          <w:rFonts w:ascii="Arial" w:eastAsia="Calibri" w:hAnsi="Arial" w:cs="Arial"/>
          <w:sz w:val="24"/>
          <w:szCs w:val="24"/>
        </w:rPr>
        <w:t>por el</w:t>
      </w:r>
      <w:r w:rsidR="003E7A91">
        <w:rPr>
          <w:rFonts w:ascii="Arial" w:eastAsia="Calibri" w:hAnsi="Arial" w:cs="Arial"/>
          <w:sz w:val="24"/>
          <w:szCs w:val="24"/>
        </w:rPr>
        <w:t xml:space="preserve"> señor </w:t>
      </w:r>
      <w:r w:rsidR="00661BF5">
        <w:rPr>
          <w:rFonts w:ascii="Arial" w:eastAsia="Calibri" w:hAnsi="Arial" w:cs="Arial"/>
          <w:sz w:val="24"/>
          <w:szCs w:val="24"/>
        </w:rPr>
        <w:t xml:space="preserve"> </w:t>
      </w:r>
      <w:r w:rsidR="002B48D7">
        <w:rPr>
          <w:rFonts w:ascii="Arial" w:eastAsia="Calibri" w:hAnsi="Arial" w:cs="Arial"/>
          <w:sz w:val="24"/>
          <w:szCs w:val="24"/>
          <w:highlight w:val="black"/>
        </w:rPr>
        <w:t>XXXXXXXXXXXXXXXXXX</w:t>
      </w:r>
      <w:r w:rsidRPr="00F00770">
        <w:rPr>
          <w:rFonts w:ascii="Arial" w:eastAsia="Calibri" w:hAnsi="Arial" w:cs="Arial"/>
          <w:b/>
          <w:sz w:val="24"/>
          <w:szCs w:val="24"/>
        </w:rPr>
        <w:t>,</w:t>
      </w:r>
      <w:r>
        <w:rPr>
          <w:rFonts w:ascii="Arial" w:eastAsia="Calibri" w:hAnsi="Arial" w:cs="Arial"/>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“CANCELADO”, a “NO TIENE”.</w:t>
      </w:r>
    </w:p>
    <w:p w:rsidR="00380680" w:rsidRPr="00F00770" w:rsidRDefault="00380680" w:rsidP="00380680">
      <w:pPr>
        <w:tabs>
          <w:tab w:val="left" w:pos="8001"/>
        </w:tabs>
        <w:jc w:val="both"/>
        <w:rPr>
          <w:rFonts w:ascii="Arial" w:eastAsia="Calibri" w:hAnsi="Arial" w:cs="Arial"/>
          <w:sz w:val="24"/>
          <w:szCs w:val="24"/>
        </w:rPr>
      </w:pPr>
    </w:p>
    <w:p w:rsidR="00380680" w:rsidRPr="00F00770" w:rsidRDefault="00380680" w:rsidP="00380680">
      <w:pPr>
        <w:tabs>
          <w:tab w:val="left" w:pos="8001"/>
        </w:tabs>
        <w:jc w:val="both"/>
        <w:rPr>
          <w:rFonts w:ascii="Arial" w:eastAsia="Calibri" w:hAnsi="Arial" w:cs="Arial"/>
          <w:sz w:val="24"/>
          <w:szCs w:val="24"/>
        </w:rPr>
      </w:pPr>
      <w:r w:rsidRPr="00F00770">
        <w:rPr>
          <w:rFonts w:ascii="Arial" w:eastAsia="Calibri" w:hAnsi="Arial" w:cs="Arial"/>
          <w:sz w:val="24"/>
          <w:szCs w:val="24"/>
        </w:rPr>
        <w:t xml:space="preserve">Queda expedito el derecho del solicitante de proceder conforme lo establece el art. 82 LAIP </w:t>
      </w:r>
    </w:p>
    <w:p w:rsidR="00380680" w:rsidRPr="00F00770" w:rsidRDefault="003E7A91" w:rsidP="00380680">
      <w:pPr>
        <w:tabs>
          <w:tab w:val="left" w:pos="8001"/>
        </w:tabs>
        <w:jc w:val="both"/>
        <w:rPr>
          <w:rFonts w:ascii="Arial" w:eastAsia="Calibri" w:hAnsi="Arial" w:cs="Arial"/>
          <w:sz w:val="24"/>
          <w:szCs w:val="24"/>
        </w:rPr>
      </w:pPr>
      <w:r>
        <w:rPr>
          <w:rFonts w:ascii="Arial" w:eastAsia="Calibri" w:hAnsi="Arial" w:cs="Arial"/>
          <w:sz w:val="24"/>
          <w:szCs w:val="24"/>
        </w:rPr>
        <w:t>San Salvador, a las once</w:t>
      </w:r>
      <w:r w:rsidR="00380680" w:rsidRPr="00F00770">
        <w:rPr>
          <w:rFonts w:ascii="Arial" w:eastAsia="Calibri" w:hAnsi="Arial" w:cs="Arial"/>
          <w:sz w:val="24"/>
          <w:szCs w:val="24"/>
        </w:rPr>
        <w:t xml:space="preserve"> horas</w:t>
      </w:r>
      <w:r w:rsidR="00380680">
        <w:rPr>
          <w:rFonts w:ascii="Arial" w:eastAsia="Calibri" w:hAnsi="Arial" w:cs="Arial"/>
          <w:sz w:val="24"/>
          <w:szCs w:val="24"/>
        </w:rPr>
        <w:t xml:space="preserve"> </w:t>
      </w:r>
      <w:r w:rsidR="00380680" w:rsidRPr="00F00770">
        <w:rPr>
          <w:rFonts w:ascii="Arial" w:eastAsia="Calibri" w:hAnsi="Arial" w:cs="Arial"/>
          <w:sz w:val="24"/>
          <w:szCs w:val="24"/>
        </w:rPr>
        <w:t xml:space="preserve">del día </w:t>
      </w:r>
      <w:r>
        <w:rPr>
          <w:rFonts w:ascii="Arial" w:eastAsia="Calibri" w:hAnsi="Arial" w:cs="Arial"/>
          <w:sz w:val="24"/>
          <w:szCs w:val="24"/>
        </w:rPr>
        <w:t>diecinueve</w:t>
      </w:r>
      <w:r w:rsidR="00380680">
        <w:rPr>
          <w:rFonts w:ascii="Arial" w:eastAsia="Calibri" w:hAnsi="Arial" w:cs="Arial"/>
          <w:sz w:val="24"/>
          <w:szCs w:val="24"/>
        </w:rPr>
        <w:t xml:space="preserve"> de noviembre</w:t>
      </w:r>
      <w:r w:rsidR="00380680" w:rsidRPr="00F00770">
        <w:rPr>
          <w:rFonts w:ascii="Arial" w:eastAsia="Calibri" w:hAnsi="Arial" w:cs="Arial"/>
          <w:sz w:val="24"/>
          <w:szCs w:val="24"/>
        </w:rPr>
        <w:t xml:space="preserve"> del dos mil dieciocho.</w:t>
      </w:r>
    </w:p>
    <w:p w:rsidR="00380680" w:rsidRPr="00F00770" w:rsidRDefault="00380680" w:rsidP="00380680">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380680" w:rsidRPr="00F00770" w:rsidRDefault="00380680" w:rsidP="00380680">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380680" w:rsidRPr="00F00770" w:rsidRDefault="00380680" w:rsidP="00380680">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380680" w:rsidRPr="00F00770" w:rsidRDefault="00380680" w:rsidP="00380680">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380680" w:rsidRPr="00F00770" w:rsidRDefault="00380680" w:rsidP="00380680">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380680" w:rsidRPr="00F00770" w:rsidRDefault="00380680" w:rsidP="00380680">
      <w:pPr>
        <w:spacing w:after="0"/>
        <w:rPr>
          <w:rFonts w:ascii="Arial" w:eastAsia="Batang" w:hAnsi="Arial" w:cs="Arial"/>
          <w:sz w:val="24"/>
          <w:szCs w:val="24"/>
        </w:rPr>
      </w:pPr>
      <w:r w:rsidRPr="00F00770">
        <w:rPr>
          <w:rFonts w:ascii="Arial" w:eastAsia="Batang" w:hAnsi="Arial" w:cs="Arial"/>
          <w:sz w:val="24"/>
          <w:szCs w:val="24"/>
        </w:rPr>
        <w:t xml:space="preserve">                                                                                </w:t>
      </w:r>
    </w:p>
    <w:p w:rsidR="00380680" w:rsidRPr="00F00770" w:rsidRDefault="00380680" w:rsidP="00380680">
      <w:pPr>
        <w:tabs>
          <w:tab w:val="left" w:pos="8001"/>
        </w:tabs>
        <w:jc w:val="both"/>
        <w:rPr>
          <w:rFonts w:ascii="Arial" w:eastAsia="Batang" w:hAnsi="Arial" w:cs="Arial"/>
          <w:sz w:val="24"/>
          <w:szCs w:val="24"/>
        </w:rPr>
      </w:pPr>
    </w:p>
    <w:p w:rsidR="00380680" w:rsidRPr="00F00770" w:rsidRDefault="00380680" w:rsidP="00380680">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380680" w:rsidRPr="00F00770" w:rsidRDefault="00380680" w:rsidP="00380680">
      <w:pPr>
        <w:rPr>
          <w:rFonts w:ascii="Calibri" w:eastAsia="Calibri" w:hAnsi="Calibri" w:cs="Times New Roman"/>
        </w:rPr>
      </w:pPr>
    </w:p>
    <w:p w:rsidR="00380680" w:rsidRDefault="00380680" w:rsidP="00380680"/>
    <w:p w:rsidR="00A03C8D" w:rsidRPr="00380680" w:rsidRDefault="00A03C8D">
      <w:pPr>
        <w:rPr>
          <w:lang w:val="es-MX"/>
        </w:rPr>
      </w:pPr>
    </w:p>
    <w:sectPr w:rsidR="00A03C8D" w:rsidRPr="00380680">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372" w:rsidRDefault="00422372" w:rsidP="00380680">
      <w:pPr>
        <w:spacing w:after="0" w:line="240" w:lineRule="auto"/>
      </w:pPr>
      <w:r>
        <w:separator/>
      </w:r>
    </w:p>
  </w:endnote>
  <w:endnote w:type="continuationSeparator" w:id="0">
    <w:p w:rsidR="00422372" w:rsidRDefault="00422372" w:rsidP="00380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DejaVu Sans">
    <w:altName w:val="Arial"/>
    <w:panose1 w:val="020B0603030804020204"/>
    <w:charset w:val="00"/>
    <w:family w:val="swiss"/>
    <w:pitch w:val="variable"/>
    <w:sig w:usb0="00000000" w:usb1="5200FDFF" w:usb2="0A042021"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372" w:rsidRDefault="00422372" w:rsidP="00380680">
      <w:pPr>
        <w:spacing w:after="0" w:line="240" w:lineRule="auto"/>
      </w:pPr>
      <w:r>
        <w:separator/>
      </w:r>
    </w:p>
  </w:footnote>
  <w:footnote w:type="continuationSeparator" w:id="0">
    <w:p w:rsidR="00422372" w:rsidRDefault="00422372" w:rsidP="00380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680" w:rsidRPr="00380680" w:rsidRDefault="00380680" w:rsidP="00380680">
    <w:pPr>
      <w:pageBreakBefore/>
      <w:tabs>
        <w:tab w:val="center" w:pos="4419"/>
        <w:tab w:val="right" w:pos="8838"/>
        <w:tab w:val="right" w:pos="9214"/>
      </w:tabs>
      <w:spacing w:after="0" w:line="240" w:lineRule="auto"/>
      <w:jc w:val="center"/>
      <w:rPr>
        <w:b/>
        <w:sz w:val="28"/>
        <w:szCs w:val="28"/>
      </w:rPr>
    </w:pPr>
    <w:r w:rsidRPr="00380680">
      <w:rPr>
        <w:b/>
        <w:noProof/>
        <w:sz w:val="28"/>
        <w:szCs w:val="28"/>
        <w:lang w:eastAsia="es-SV"/>
      </w:rPr>
      <w:drawing>
        <wp:anchor distT="0" distB="0" distL="114300" distR="114300" simplePos="0" relativeHeight="251660288" behindDoc="0" locked="0" layoutInCell="1" allowOverlap="1" wp14:anchorId="1A1ADB0B" wp14:editId="1352022D">
          <wp:simplePos x="0" y="0"/>
          <wp:positionH relativeFrom="column">
            <wp:posOffset>4800600</wp:posOffset>
          </wp:positionH>
          <wp:positionV relativeFrom="paragraph">
            <wp:posOffset>-235585</wp:posOffset>
          </wp:positionV>
          <wp:extent cx="1257300" cy="873760"/>
          <wp:effectExtent l="0" t="0" r="0" b="0"/>
          <wp:wrapSquare wrapText="bothSides"/>
          <wp:docPr id="2" name="Imagen 2" descr="EDICION 5T:LOGO MINISTERIO NEW PNG-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CION 5T:LOGO MINISTERIO NEW PNG-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7376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http://schemas.microsoft.com/office/drawing/2014/chartex" xmlns:arto="http://schemas.microsoft.com/office/word/2006/arto"/>
                    </a:ext>
                  </a:extLst>
                </pic:spPr>
              </pic:pic>
            </a:graphicData>
          </a:graphic>
          <wp14:sizeRelH relativeFrom="page">
            <wp14:pctWidth>0</wp14:pctWidth>
          </wp14:sizeRelH>
          <wp14:sizeRelV relativeFrom="page">
            <wp14:pctHeight>0</wp14:pctHeight>
          </wp14:sizeRelV>
        </wp:anchor>
      </w:drawing>
    </w:r>
    <w:r w:rsidRPr="00380680">
      <w:rPr>
        <w:b/>
        <w:noProof/>
        <w:sz w:val="28"/>
        <w:szCs w:val="28"/>
        <w:lang w:eastAsia="es-SV"/>
      </w:rPr>
      <w:drawing>
        <wp:anchor distT="0" distB="0" distL="114300" distR="114300" simplePos="0" relativeHeight="251661312" behindDoc="0" locked="0" layoutInCell="1" allowOverlap="1" wp14:anchorId="4C2A2F45" wp14:editId="09644961">
          <wp:simplePos x="0" y="0"/>
          <wp:positionH relativeFrom="column">
            <wp:posOffset>-342900</wp:posOffset>
          </wp:positionH>
          <wp:positionV relativeFrom="paragraph">
            <wp:posOffset>-349885</wp:posOffset>
          </wp:positionV>
          <wp:extent cx="984885" cy="899795"/>
          <wp:effectExtent l="0" t="0" r="0" b="0"/>
          <wp:wrapSquare wrapText="bothSides"/>
          <wp:docPr id="3" name="Imagen 3" descr="EDICION 5T:Edicion Majano:PHOTOSHOP:4 FESTIVAL YO CAMBIO:LOGO:LOGO OFFICIAL _4 ANIVERSARIO FESTIVAL_YO CAMBIO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ICION 5T:Edicion Majano:PHOTOSHOP:4 FESTIVAL YO CAMBIO:LOGO:LOGO OFFICIAL _4 ANIVERSARIO FESTIVAL_YO CAMBIO 2018-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4885" cy="89979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http://schemas.microsoft.com/office/drawing/2014/chartex" xmlns:arto="http://schemas.microsoft.com/office/word/2006/arto"/>
                    </a:ext>
                  </a:extLst>
                </pic:spPr>
              </pic:pic>
            </a:graphicData>
          </a:graphic>
          <wp14:sizeRelH relativeFrom="page">
            <wp14:pctWidth>0</wp14:pctWidth>
          </wp14:sizeRelH>
          <wp14:sizeRelV relativeFrom="page">
            <wp14:pctHeight>0</wp14:pctHeight>
          </wp14:sizeRelV>
        </wp:anchor>
      </w:drawing>
    </w:r>
    <w:r w:rsidRPr="00380680">
      <w:rPr>
        <w:b/>
        <w:sz w:val="28"/>
        <w:szCs w:val="28"/>
      </w:rPr>
      <w:t xml:space="preserve"> MINISTERIO DE JUSTICIA Y SEGURIDAD PÚBLICA</w:t>
    </w:r>
  </w:p>
  <w:p w:rsidR="00380680" w:rsidRPr="00380680" w:rsidRDefault="00380680" w:rsidP="00380680">
    <w:pPr>
      <w:pageBreakBefore/>
      <w:tabs>
        <w:tab w:val="center" w:pos="4419"/>
        <w:tab w:val="right" w:pos="8838"/>
        <w:tab w:val="right" w:pos="9214"/>
      </w:tabs>
      <w:spacing w:after="0" w:line="240" w:lineRule="auto"/>
      <w:jc w:val="center"/>
      <w:rPr>
        <w:rFonts w:ascii="Arial Narrow" w:hAnsi="Arial Narrow" w:cs="Arial"/>
        <w:b/>
        <w:bCs/>
        <w:sz w:val="24"/>
        <w:szCs w:val="24"/>
      </w:rPr>
    </w:pPr>
    <w:r w:rsidRPr="00380680">
      <w:rPr>
        <w:b/>
        <w:sz w:val="24"/>
        <w:szCs w:val="24"/>
      </w:rPr>
      <w:t>DIRECCION GENERAL DE CENTROS PENALES</w:t>
    </w:r>
  </w:p>
  <w:p w:rsidR="00380680" w:rsidRPr="00380680" w:rsidRDefault="00380680" w:rsidP="00380680">
    <w:pPr>
      <w:widowControl w:val="0"/>
      <w:suppressLineNumbers/>
      <w:tabs>
        <w:tab w:val="center" w:pos="3802"/>
        <w:tab w:val="center" w:pos="4387"/>
        <w:tab w:val="right" w:pos="7604"/>
        <w:tab w:val="right" w:pos="8774"/>
      </w:tabs>
      <w:suppressAutoHyphens/>
      <w:spacing w:after="0" w:line="240" w:lineRule="auto"/>
      <w:jc w:val="center"/>
      <w:rPr>
        <w:rFonts w:ascii="Calibri" w:eastAsia="DejaVu Sans" w:hAnsi="Calibri" w:cs="Times New Roman"/>
        <w:b/>
        <w:bCs/>
        <w:kern w:val="1"/>
      </w:rPr>
    </w:pPr>
    <w:r w:rsidRPr="00380680">
      <w:rPr>
        <w:rFonts w:ascii="Calibri" w:eastAsia="DejaVu Sans" w:hAnsi="Calibri" w:cs="Times New Roman"/>
        <w:b/>
        <w:bCs/>
        <w:kern w:val="1"/>
      </w:rPr>
      <w:t>Unidad de Acceso a la Información Pública.</w:t>
    </w:r>
  </w:p>
  <w:p w:rsidR="00380680" w:rsidRPr="00380680" w:rsidRDefault="00380680" w:rsidP="00380680">
    <w:pPr>
      <w:widowControl w:val="0"/>
      <w:suppressLineNumbers/>
      <w:tabs>
        <w:tab w:val="center" w:pos="3802"/>
        <w:tab w:val="center" w:pos="4387"/>
        <w:tab w:val="right" w:pos="7604"/>
        <w:tab w:val="right" w:pos="8774"/>
      </w:tabs>
      <w:suppressAutoHyphens/>
      <w:spacing w:after="0" w:line="240" w:lineRule="auto"/>
      <w:jc w:val="center"/>
      <w:rPr>
        <w:rFonts w:ascii="Calibri" w:eastAsia="DejaVu Sans" w:hAnsi="Calibri" w:cs="Times New Roman"/>
        <w:b/>
        <w:bCs/>
        <w:kern w:val="1"/>
        <w:sz w:val="24"/>
        <w:szCs w:val="24"/>
      </w:rPr>
    </w:pPr>
    <w:r w:rsidRPr="00380680">
      <w:rPr>
        <w:rFonts w:ascii="Calibri" w:eastAsia="Arial Unicode MS" w:hAnsi="Calibri" w:cs="Arial"/>
        <w:b/>
        <w:bCs/>
        <w:kern w:val="1"/>
        <w:sz w:val="16"/>
        <w:szCs w:val="16"/>
      </w:rPr>
      <w:t>7ª Av. norte pasaje 3 Urbanización Santa Adela, casa # 1 tel. 2527-8700</w:t>
    </w:r>
  </w:p>
  <w:p w:rsidR="00380680" w:rsidRPr="00380680" w:rsidRDefault="00380680" w:rsidP="00380680">
    <w:pPr>
      <w:tabs>
        <w:tab w:val="center" w:pos="4419"/>
        <w:tab w:val="right" w:pos="8838"/>
        <w:tab w:val="right" w:pos="9214"/>
      </w:tabs>
      <w:spacing w:after="0" w:line="240" w:lineRule="auto"/>
      <w:jc w:val="center"/>
      <w:rPr>
        <w:rFonts w:ascii="Arial Narrow" w:hAnsi="Arial Narrow" w:cs="Arial"/>
        <w:sz w:val="20"/>
        <w:szCs w:val="20"/>
        <w:lang w:val="es-MX"/>
      </w:rPr>
    </w:pPr>
    <w:r w:rsidRPr="00380680">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675FC383" wp14:editId="5FDC580C">
              <wp:simplePos x="0" y="0"/>
              <wp:positionH relativeFrom="column">
                <wp:posOffset>-444031</wp:posOffset>
              </wp:positionH>
              <wp:positionV relativeFrom="paragraph">
                <wp:posOffset>32965</wp:posOffset>
              </wp:positionV>
              <wp:extent cx="6591190" cy="0"/>
              <wp:effectExtent l="0" t="0" r="19685"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1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2.6pt" to="484.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X6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" strokeweight="1pt"/>
          </w:pict>
        </mc:Fallback>
      </mc:AlternateContent>
    </w:r>
  </w:p>
  <w:p w:rsidR="00380680" w:rsidRPr="00380680" w:rsidRDefault="00380680">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B5AC0B8A"/>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680"/>
    <w:rsid w:val="00062D45"/>
    <w:rsid w:val="00165DF9"/>
    <w:rsid w:val="00292DC4"/>
    <w:rsid w:val="002B48D7"/>
    <w:rsid w:val="002B4978"/>
    <w:rsid w:val="00380680"/>
    <w:rsid w:val="003E7A91"/>
    <w:rsid w:val="003E7EBA"/>
    <w:rsid w:val="00422372"/>
    <w:rsid w:val="00517244"/>
    <w:rsid w:val="00661BF5"/>
    <w:rsid w:val="00696177"/>
    <w:rsid w:val="008454F4"/>
    <w:rsid w:val="00A03C8D"/>
    <w:rsid w:val="00C80D2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6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6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680"/>
  </w:style>
  <w:style w:type="paragraph" w:styleId="Piedepgina">
    <w:name w:val="footer"/>
    <w:basedOn w:val="Normal"/>
    <w:link w:val="PiedepginaCar"/>
    <w:uiPriority w:val="99"/>
    <w:unhideWhenUsed/>
    <w:rsid w:val="003806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6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6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6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680"/>
  </w:style>
  <w:style w:type="paragraph" w:styleId="Piedepgina">
    <w:name w:val="footer"/>
    <w:basedOn w:val="Normal"/>
    <w:link w:val="PiedepginaCar"/>
    <w:uiPriority w:val="99"/>
    <w:unhideWhenUsed/>
    <w:rsid w:val="003806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2430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3</cp:revision>
  <cp:lastPrinted>2018-11-19T20:12:00Z</cp:lastPrinted>
  <dcterms:created xsi:type="dcterms:W3CDTF">2019-03-05T17:36:00Z</dcterms:created>
  <dcterms:modified xsi:type="dcterms:W3CDTF">2019-03-19T13:40:00Z</dcterms:modified>
</cp:coreProperties>
</file>