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99" w:rsidRDefault="001E5599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DE2E1E" w:rsidRPr="001E5599" w:rsidRDefault="001E5599" w:rsidP="001E5599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E5599">
        <w:rPr>
          <w:rFonts w:ascii="Arial" w:hAnsi="Arial" w:cs="Arial"/>
          <w:b/>
          <w:sz w:val="16"/>
          <w:szCs w:val="16"/>
        </w:rPr>
        <w:t>VERSIÓN PÚBLICA, ART. 30 LAIP</w:t>
      </w:r>
    </w:p>
    <w:p w:rsidR="00DE2E1E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A023C3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UAIP/OIR-437</w:t>
      </w:r>
      <w:r w:rsidR="00937FC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a las </w:t>
      </w:r>
      <w:r w:rsidR="00A023C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ocho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 quince minutos</w:t>
      </w:r>
      <w:r w:rsidR="00A023C3">
        <w:rPr>
          <w:rFonts w:ascii="Arial" w:eastAsia="Times New Roman" w:hAnsi="Arial" w:cs="Arial"/>
          <w:kern w:val="28"/>
          <w:sz w:val="24"/>
          <w:szCs w:val="24"/>
          <w:lang w:eastAsia="es-SV"/>
        </w:rPr>
        <w:t>, del día nueve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566CC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807D7C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>doce de noviembre del año dos mil dieciocho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8C2D3D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UAIP/OIR-437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Licenciada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1E559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proofErr w:type="spellStart"/>
      <w:r w:rsidR="001E5599" w:rsidRPr="001E5599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</w:t>
      </w:r>
      <w:proofErr w:type="spellEnd"/>
      <w:r w:rsidR="001E559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75551E" w:rsidRP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Documento Único de Identidad Personal número  </w:t>
      </w:r>
      <w:proofErr w:type="spellStart"/>
      <w:r w:rsidR="001E5599" w:rsidRPr="001E5599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xxxxxxxxxxxxxxxxxxxx</w:t>
      </w:r>
      <w:proofErr w:type="spellEnd"/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>apoderada del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señor</w:t>
      </w:r>
      <w:r w:rsidR="001E559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1E5599" w:rsidRPr="001E5599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</w:t>
      </w:r>
      <w:proofErr w:type="spellEnd"/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; quien requiere: </w:t>
      </w:r>
      <w:r w:rsidRPr="00C53F4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Se </w:t>
      </w:r>
      <w:r w:rsidR="0075551E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suprima la palabra Cancelado cambiándola por no tiene del Antecedente Penal del señor</w:t>
      </w:r>
      <w:r w:rsidR="001E559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1E5599" w:rsidRPr="001E5599">
        <w:rPr>
          <w:rFonts w:ascii="Arial" w:eastAsia="Times New Roman" w:hAnsi="Arial" w:cs="Arial"/>
          <w:b/>
          <w:i/>
          <w:kern w:val="28"/>
          <w:sz w:val="24"/>
          <w:szCs w:val="24"/>
          <w:highlight w:val="black"/>
          <w:lang w:eastAsia="es-SV"/>
        </w:rPr>
        <w:t>xxxxxxxxxxxxxxxxx</w:t>
      </w:r>
      <w:proofErr w:type="spellEnd"/>
      <w:r w:rsidR="00BD213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, con el fin de trámites migratorios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”;</w:t>
      </w:r>
      <w:r w:rsidRPr="00337C5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ese contexto de conformidad a lo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Registro y Control Penitenciario,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Unidad de Acceso a la Información Pública </w:t>
      </w:r>
      <w:r w:rsidR="004D487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174</w:t>
      </w:r>
      <w:r w:rsidR="001A0AB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Subdirección General de Asuntos Jurídicos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“(…)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Verificar sobre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cómo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807D7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l señor</w:t>
      </w:r>
      <w:r w:rsidR="001E559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1E5599" w:rsidRPr="001E5599">
        <w:rPr>
          <w:rFonts w:ascii="Arial" w:eastAsia="Times New Roman" w:hAnsi="Arial" w:cs="Arial"/>
          <w:b/>
          <w:i/>
          <w:kern w:val="28"/>
          <w:sz w:val="24"/>
          <w:szCs w:val="24"/>
          <w:highlight w:val="black"/>
          <w:lang w:eastAsia="es-SV"/>
        </w:rPr>
        <w:t>xxxxxxxxxxxxxxxxxxxxxxxxx</w:t>
      </w:r>
      <w:proofErr w:type="spellEnd"/>
      <w:r w:rsidRP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oficio </w:t>
      </w:r>
      <w:proofErr w:type="spellStart"/>
      <w:r w:rsid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</w:t>
      </w:r>
      <w:r w:rsidR="00807D7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LC</w:t>
      </w:r>
      <w:proofErr w:type="spellEnd"/>
      <w:r w:rsidR="00807D7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/1,1</w:t>
      </w:r>
      <w:r w:rsid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56</w:t>
      </w:r>
      <w:r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veintiséis  de junio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del año dos mil diecinueve, que: “(…)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emitiéndose el antecedente penal </w:t>
      </w:r>
      <w:r w:rsidRPr="00566CC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</w:t>
      </w:r>
      <w:bookmarkStart w:id="0" w:name="_GoBack"/>
      <w:bookmarkEnd w:id="0"/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mención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BD2135" w:rsidRDefault="007A75B4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A023C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ocho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diez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>minutos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del día </w:t>
      </w:r>
      <w:r w:rsidR="008C2D3D">
        <w:rPr>
          <w:rFonts w:ascii="Arial" w:eastAsia="Times New Roman" w:hAnsi="Arial" w:cs="Arial"/>
          <w:kern w:val="28"/>
          <w:sz w:val="24"/>
          <w:szCs w:val="24"/>
          <w:lang w:eastAsia="es-SV"/>
        </w:rPr>
        <w:t>doce de novi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>em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año dos mil dieciocho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referencia </w:t>
      </w:r>
      <w:r w:rsidR="008C2D3D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UAIP/OIR-437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/2018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BD2135" w:rsidRDefault="00BD2135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BD2135" w:rsidRDefault="00337C52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IR-437</w:t>
      </w:r>
      <w:r w:rsidR="00EC0949"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A7B9A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oficio  </w:t>
      </w:r>
      <w:proofErr w:type="spellStart"/>
      <w:r w:rsidR="00EC0949"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</w:t>
      </w:r>
      <w:proofErr w:type="spellEnd"/>
      <w:r w:rsidR="00EC0949"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</w:t>
      </w:r>
      <w:r w:rsidR="00F87C4D"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proofErr w:type="spellStart"/>
      <w:r w:rsidR="00F87C4D"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LC</w:t>
      </w:r>
      <w:proofErr w:type="spellEnd"/>
      <w:r w:rsidR="00F87C4D"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/1,1</w:t>
      </w:r>
      <w:r w:rsid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56</w:t>
      </w:r>
      <w:r w:rsidR="00EC0949" w:rsidRPr="00BD2135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="00EC0949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veintiséis  </w:t>
      </w:r>
    </w:p>
    <w:p w:rsidR="00BD2135" w:rsidRDefault="00BD2135" w:rsidP="00BD2135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F87C4D" w:rsidRPr="00F87C4D" w:rsidRDefault="00F87C4D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  <w:proofErr w:type="gramStart"/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proofErr w:type="gramEnd"/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junio del año dos mil diecinueve, 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   del   Departamento de  Registro</w:t>
      </w: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Control </w:t>
      </w: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Penitenciario  </w:t>
      </w: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establece: </w:t>
      </w:r>
      <w:r w:rsidRP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BD2135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“Se</w:t>
      </w:r>
      <w:r w:rsidRPr="00BD2135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BD2135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ha </w:t>
      </w:r>
      <w:r w:rsidRPr="00BD2135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BD2135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realizado</w:t>
      </w:r>
      <w:r w:rsidR="00BD2135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BD2135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la </w:t>
      </w:r>
    </w:p>
    <w:p w:rsidR="00337C52" w:rsidRPr="00BD2135" w:rsidRDefault="00337C52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proofErr w:type="gramStart"/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búsqueda</w:t>
      </w:r>
      <w:proofErr w:type="gramEnd"/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información brindada, encontrando </w:t>
      </w:r>
      <w:proofErr w:type="spellStart"/>
      <w:r w:rsidR="001E5599" w:rsidRPr="001E5599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xxxxxxxxxxxxxxxxxxxxxxxxxxxxxxxxxxx</w:t>
      </w:r>
      <w:proofErr w:type="spellEnd"/>
      <w:r w:rsidR="001E5599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F87C4D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rehabilitado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sus derechos de conformidad al artículo 75 del inc. Final de la Constitución de la República y el 110 </w:t>
      </w:r>
      <w:r w:rsidR="00CA7B9A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del Código Penal, emitiéndose los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A7B9A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CA7B9A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3E2078"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F87C4D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F87C4D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F87C4D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Pr="00F87C4D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F87C4D" w:rsidRDefault="00F87C4D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F87C4D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proofErr w:type="spellEnd"/>
      <w:r w:rsidR="00CA7B9A" w:rsidRPr="00F87C4D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F87C4D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F8" w:rsidRDefault="00D75BF8">
      <w:pPr>
        <w:spacing w:after="0" w:line="240" w:lineRule="auto"/>
      </w:pPr>
      <w:r>
        <w:separator/>
      </w:r>
    </w:p>
  </w:endnote>
  <w:endnote w:type="continuationSeparator" w:id="0">
    <w:p w:rsidR="00D75BF8" w:rsidRDefault="00D7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D75BF8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F8" w:rsidRDefault="00D75BF8">
      <w:pPr>
        <w:spacing w:after="0" w:line="240" w:lineRule="auto"/>
      </w:pPr>
      <w:r>
        <w:separator/>
      </w:r>
    </w:p>
  </w:footnote>
  <w:footnote w:type="continuationSeparator" w:id="0">
    <w:p w:rsidR="00D75BF8" w:rsidRDefault="00D7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D75BF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BF8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D75BF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DBACFED2"/>
    <w:lvl w:ilvl="0" w:tplc="1638A02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F3BD7"/>
    <w:rsid w:val="000F5F05"/>
    <w:rsid w:val="000F7DE1"/>
    <w:rsid w:val="001055E2"/>
    <w:rsid w:val="00112859"/>
    <w:rsid w:val="00116AA8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5599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78E6"/>
    <w:rsid w:val="002A1B57"/>
    <w:rsid w:val="002A42E0"/>
    <w:rsid w:val="002B1AF2"/>
    <w:rsid w:val="002B1FB8"/>
    <w:rsid w:val="002B3B4B"/>
    <w:rsid w:val="002C1FFC"/>
    <w:rsid w:val="002C603E"/>
    <w:rsid w:val="002D1030"/>
    <w:rsid w:val="002F4176"/>
    <w:rsid w:val="00323C61"/>
    <w:rsid w:val="00323EDE"/>
    <w:rsid w:val="0032770A"/>
    <w:rsid w:val="0033714F"/>
    <w:rsid w:val="00337C52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7630"/>
    <w:rsid w:val="003978CC"/>
    <w:rsid w:val="003B6F66"/>
    <w:rsid w:val="003C6AD4"/>
    <w:rsid w:val="003D74A6"/>
    <w:rsid w:val="003D7EFA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C5B6B"/>
    <w:rsid w:val="004D487B"/>
    <w:rsid w:val="004D6BBC"/>
    <w:rsid w:val="004E38BA"/>
    <w:rsid w:val="004E4187"/>
    <w:rsid w:val="004F28BC"/>
    <w:rsid w:val="004F3945"/>
    <w:rsid w:val="004F55AA"/>
    <w:rsid w:val="005130F8"/>
    <w:rsid w:val="00526806"/>
    <w:rsid w:val="00531441"/>
    <w:rsid w:val="005341D5"/>
    <w:rsid w:val="00540F20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551E"/>
    <w:rsid w:val="007577BF"/>
    <w:rsid w:val="007651B3"/>
    <w:rsid w:val="007829C9"/>
    <w:rsid w:val="00790B94"/>
    <w:rsid w:val="007944AE"/>
    <w:rsid w:val="007972B0"/>
    <w:rsid w:val="007A618A"/>
    <w:rsid w:val="007A75B4"/>
    <w:rsid w:val="007B28F7"/>
    <w:rsid w:val="007C49FE"/>
    <w:rsid w:val="007C5CB1"/>
    <w:rsid w:val="007C7869"/>
    <w:rsid w:val="007D3412"/>
    <w:rsid w:val="007D69A5"/>
    <w:rsid w:val="007E2193"/>
    <w:rsid w:val="007F3DD4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B51B9"/>
    <w:rsid w:val="008B5F71"/>
    <w:rsid w:val="008C2D3D"/>
    <w:rsid w:val="008C355B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320C2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D0A64"/>
    <w:rsid w:val="009E10EF"/>
    <w:rsid w:val="009E2D61"/>
    <w:rsid w:val="009E3910"/>
    <w:rsid w:val="00A023C3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446D"/>
    <w:rsid w:val="00BA4B7D"/>
    <w:rsid w:val="00BB6701"/>
    <w:rsid w:val="00BC0CD1"/>
    <w:rsid w:val="00BC2CA2"/>
    <w:rsid w:val="00BC41C2"/>
    <w:rsid w:val="00BC6687"/>
    <w:rsid w:val="00BD2135"/>
    <w:rsid w:val="00BD2996"/>
    <w:rsid w:val="00BD338D"/>
    <w:rsid w:val="00BD63F6"/>
    <w:rsid w:val="00BE0903"/>
    <w:rsid w:val="00BF0EB6"/>
    <w:rsid w:val="00BF7672"/>
    <w:rsid w:val="00C033C5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2D50"/>
    <w:rsid w:val="00C94C22"/>
    <w:rsid w:val="00CA7B9A"/>
    <w:rsid w:val="00CB42AA"/>
    <w:rsid w:val="00CB72E0"/>
    <w:rsid w:val="00CC3E01"/>
    <w:rsid w:val="00CC4539"/>
    <w:rsid w:val="00CC6701"/>
    <w:rsid w:val="00CC725B"/>
    <w:rsid w:val="00CD6F83"/>
    <w:rsid w:val="00CD7D48"/>
    <w:rsid w:val="00CD7EF6"/>
    <w:rsid w:val="00CE2055"/>
    <w:rsid w:val="00CE2A77"/>
    <w:rsid w:val="00CE2D04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72475"/>
    <w:rsid w:val="00D738C0"/>
    <w:rsid w:val="00D73E7B"/>
    <w:rsid w:val="00D7480C"/>
    <w:rsid w:val="00D75BF8"/>
    <w:rsid w:val="00D93FCF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31A1-CBA4-4244-936C-58A99B4E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7</cp:revision>
  <cp:lastPrinted>2019-10-09T18:07:00Z</cp:lastPrinted>
  <dcterms:created xsi:type="dcterms:W3CDTF">2019-10-08T14:56:00Z</dcterms:created>
  <dcterms:modified xsi:type="dcterms:W3CDTF">2019-10-11T21:15:00Z</dcterms:modified>
</cp:coreProperties>
</file>