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C9" w:rsidRPr="003174B1" w:rsidRDefault="002828C9" w:rsidP="002828C9">
      <w:pPr>
        <w:tabs>
          <w:tab w:val="left" w:pos="8001"/>
        </w:tabs>
        <w:rPr>
          <w:rFonts w:ascii="Cambria" w:hAnsi="Cambria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</w:t>
      </w:r>
      <w:r>
        <w:rPr>
          <w:rFonts w:ascii="Cambria" w:hAnsi="Cambria" w:cs="Calibri"/>
          <w:b/>
          <w:sz w:val="24"/>
          <w:szCs w:val="24"/>
        </w:rPr>
        <w:t>UAIP/OIR/207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2828C9" w:rsidRDefault="002828C9" w:rsidP="002828C9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 w:rsidRPr="007F40CE"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18CFC57F" wp14:editId="75D859DF">
            <wp:simplePos x="0" y="0"/>
            <wp:positionH relativeFrom="column">
              <wp:posOffset>662940</wp:posOffset>
            </wp:positionH>
            <wp:positionV relativeFrom="paragraph">
              <wp:posOffset>2522220</wp:posOffset>
            </wp:positionV>
            <wp:extent cx="3866515" cy="5324475"/>
            <wp:effectExtent l="0" t="0" r="635" b="9525"/>
            <wp:wrapTight wrapText="bothSides">
              <wp:wrapPolygon edited="0">
                <wp:start x="0" y="0"/>
                <wp:lineTo x="0" y="21561"/>
                <wp:lineTo x="2661" y="21561"/>
                <wp:lineTo x="20114" y="21407"/>
                <wp:lineTo x="20114" y="21020"/>
                <wp:lineTo x="21497" y="20943"/>
                <wp:lineTo x="21497" y="20479"/>
                <wp:lineTo x="2661" y="19784"/>
                <wp:lineTo x="21497" y="19707"/>
                <wp:lineTo x="21497" y="16229"/>
                <wp:lineTo x="6705" y="16074"/>
                <wp:lineTo x="21497" y="15611"/>
                <wp:lineTo x="21497" y="13601"/>
                <wp:lineTo x="10323" y="13601"/>
                <wp:lineTo x="21497" y="12906"/>
                <wp:lineTo x="21497" y="3169"/>
                <wp:lineTo x="17985" y="2859"/>
                <wp:lineTo x="2661" y="2473"/>
                <wp:lineTo x="21497" y="2009"/>
                <wp:lineTo x="21497" y="1855"/>
                <wp:lineTo x="2661" y="1236"/>
                <wp:lineTo x="18624" y="1236"/>
                <wp:lineTo x="21497" y="1082"/>
                <wp:lineTo x="21497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51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83A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="00A2583A" w:rsidRPr="00A2583A">
        <w:rPr>
          <w:rFonts w:ascii="Cambria" w:hAnsi="Cambria"/>
          <w:b/>
          <w:sz w:val="24"/>
          <w:szCs w:val="24"/>
          <w:highlight w:val="black"/>
        </w:rPr>
        <w:t>XXXXXXXXXXXXXXXXXXXXXXXXXXXXXXXXX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="00A2583A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con número de documento único de identidad: </w:t>
      </w:r>
      <w:r w:rsidR="00A2583A" w:rsidRPr="00A2583A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XXXXXXXXXXXXXXXXXXXXXXXXXXXXXXXXXXXXX XXXXXXXXXXXXXXXXXXXXXXX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El doce de febrero de 2015 Director Centros Penales anuncio identificación biométrica de visitantes de Centros Penitenciarios. Solicito me informen en cuales Centros Penales ya funciona el sistema anunciado”.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</w:t>
      </w:r>
      <w:r>
        <w:rPr>
          <w:rFonts w:ascii="Cambria" w:hAnsi="Cambria"/>
          <w:i/>
          <w:sz w:val="24"/>
          <w:szCs w:val="24"/>
        </w:rPr>
        <w:t>ceder la información solicitada, según cuadro donde se detalla los diecinueve centros penitenciarios en donde se encuentran los equipos instalados y el personal capacitado para recibir a los familiares dentro del Sistema de Información Penitenciario (SIPE) y el si</w:t>
      </w:r>
      <w:bookmarkStart w:id="0" w:name="_GoBack"/>
      <w:bookmarkEnd w:id="0"/>
      <w:r>
        <w:rPr>
          <w:rFonts w:ascii="Cambria" w:hAnsi="Cambria"/>
          <w:i/>
          <w:sz w:val="24"/>
          <w:szCs w:val="24"/>
        </w:rPr>
        <w:t>stema AFIS (</w:t>
      </w:r>
      <w:proofErr w:type="spellStart"/>
      <w:r>
        <w:rPr>
          <w:rFonts w:ascii="Cambria" w:hAnsi="Cambria"/>
          <w:i/>
          <w:sz w:val="24"/>
          <w:szCs w:val="24"/>
        </w:rPr>
        <w:t>Automated</w:t>
      </w:r>
      <w:proofErr w:type="spellEnd"/>
      <w:r>
        <w:rPr>
          <w:rFonts w:ascii="Cambria" w:hAnsi="Cambria"/>
          <w:i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sz w:val="24"/>
          <w:szCs w:val="24"/>
        </w:rPr>
        <w:t>FingerPrint</w:t>
      </w:r>
      <w:proofErr w:type="spellEnd"/>
      <w:r>
        <w:rPr>
          <w:rFonts w:ascii="Cambria" w:hAnsi="Cambria"/>
          <w:i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sz w:val="24"/>
          <w:szCs w:val="24"/>
        </w:rPr>
        <w:t>identification</w:t>
      </w:r>
      <w:proofErr w:type="spellEnd"/>
      <w:r>
        <w:rPr>
          <w:rFonts w:ascii="Cambria" w:hAnsi="Cambria"/>
          <w:i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sz w:val="24"/>
          <w:szCs w:val="24"/>
        </w:rPr>
        <w:t>System</w:t>
      </w:r>
      <w:proofErr w:type="spellEnd"/>
      <w:r>
        <w:rPr>
          <w:rFonts w:ascii="Cambria" w:hAnsi="Cambria"/>
          <w:i/>
          <w:sz w:val="24"/>
          <w:szCs w:val="24"/>
        </w:rPr>
        <w:t>) remitido por la Unidad de Tecnología y Desarrollo Informático la cual  se detalla a continuación:</w:t>
      </w:r>
    </w:p>
    <w:p w:rsidR="002828C9" w:rsidRDefault="002828C9" w:rsidP="002828C9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</w:p>
    <w:p w:rsidR="002828C9" w:rsidRDefault="002828C9" w:rsidP="002828C9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</w:p>
    <w:p w:rsidR="002828C9" w:rsidRDefault="002828C9" w:rsidP="002828C9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</w:p>
    <w:p w:rsidR="002828C9" w:rsidRDefault="002828C9" w:rsidP="002828C9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</w:p>
    <w:p w:rsidR="002828C9" w:rsidRDefault="002828C9" w:rsidP="002828C9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</w:p>
    <w:p w:rsidR="002828C9" w:rsidRDefault="002828C9" w:rsidP="002828C9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</w:p>
    <w:p w:rsidR="002828C9" w:rsidRDefault="002828C9" w:rsidP="002828C9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</w:p>
    <w:p w:rsidR="002828C9" w:rsidRDefault="002828C9" w:rsidP="002828C9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</w:p>
    <w:p w:rsidR="002828C9" w:rsidRDefault="002828C9" w:rsidP="002828C9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</w:p>
    <w:p w:rsidR="002828C9" w:rsidRDefault="002828C9" w:rsidP="002828C9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</w:p>
    <w:p w:rsidR="002828C9" w:rsidRDefault="002828C9" w:rsidP="002828C9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</w:p>
    <w:p w:rsidR="002828C9" w:rsidRDefault="002828C9" w:rsidP="002828C9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</w:p>
    <w:p w:rsidR="002828C9" w:rsidRPr="002313DF" w:rsidRDefault="002828C9" w:rsidP="002828C9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</w:p>
    <w:p w:rsidR="002828C9" w:rsidRDefault="002828C9" w:rsidP="002828C9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2828C9" w:rsidRPr="00AF282C" w:rsidRDefault="002828C9" w:rsidP="002828C9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las ocho horas con veinte minutos del seis de julio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2828C9" w:rsidRDefault="002828C9" w:rsidP="002828C9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 w:rsidR="002828C9" w:rsidRPr="0047527F" w:rsidRDefault="002828C9" w:rsidP="002828C9">
      <w:pPr>
        <w:suppressAutoHyphens/>
        <w:spacing w:after="0"/>
        <w:rPr>
          <w:rFonts w:ascii="Cambria" w:eastAsia="Batang" w:hAnsi="Cambria"/>
          <w:sz w:val="24"/>
          <w:szCs w:val="24"/>
          <w:lang w:val="es-ES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</w:t>
      </w:r>
    </w:p>
    <w:p w:rsidR="002828C9" w:rsidRPr="00AF282C" w:rsidRDefault="002828C9" w:rsidP="002828C9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eastAsia="Batang" w:hAnsi="Cambria"/>
          <w:sz w:val="24"/>
          <w:szCs w:val="24"/>
        </w:rPr>
        <w:t xml:space="preserve">                                                                      </w:t>
      </w:r>
      <w:r w:rsidRPr="00AF282C">
        <w:rPr>
          <w:rFonts w:ascii="Cambria" w:eastAsia="Batang" w:hAnsi="Cambria"/>
          <w:sz w:val="24"/>
          <w:szCs w:val="24"/>
        </w:rPr>
        <w:t>Licda. Marlene Janeth Cardona Andrade</w:t>
      </w:r>
    </w:p>
    <w:p w:rsidR="002828C9" w:rsidRPr="00AF282C" w:rsidRDefault="002828C9" w:rsidP="002828C9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2828C9" w:rsidRPr="000D219D" w:rsidRDefault="002828C9" w:rsidP="002828C9">
      <w:pPr>
        <w:suppressAutoHyphens/>
        <w:spacing w:after="0"/>
        <w:ind w:left="3540"/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ar-SA"/>
        </w:rPr>
      </w:pPr>
    </w:p>
    <w:p w:rsidR="002828C9" w:rsidRPr="003462B9" w:rsidRDefault="002828C9" w:rsidP="002828C9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2828C9" w:rsidRPr="0050632F" w:rsidRDefault="002828C9" w:rsidP="002828C9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2828C9" w:rsidRPr="0091196B" w:rsidRDefault="002828C9" w:rsidP="002828C9">
      <w:pPr>
        <w:jc w:val="center"/>
        <w:rPr>
          <w:rFonts w:asciiTheme="majorHAnsi" w:hAnsiTheme="majorHAnsi" w:cs="Calibri"/>
          <w:b/>
          <w:i/>
          <w:color w:val="000000" w:themeColor="text1"/>
        </w:rPr>
      </w:pPr>
    </w:p>
    <w:p w:rsidR="002828C9" w:rsidRDefault="002828C9" w:rsidP="002828C9">
      <w:pPr>
        <w:jc w:val="center"/>
        <w:rPr>
          <w:rFonts w:asciiTheme="majorHAnsi" w:hAnsiTheme="majorHAnsi" w:cs="Calibri"/>
          <w:b/>
          <w:i/>
          <w:color w:val="000000" w:themeColor="text1"/>
        </w:rPr>
      </w:pPr>
    </w:p>
    <w:p w:rsidR="002828C9" w:rsidRDefault="002828C9" w:rsidP="002828C9">
      <w:pPr>
        <w:jc w:val="center"/>
        <w:rPr>
          <w:rFonts w:asciiTheme="majorHAnsi" w:hAnsiTheme="majorHAnsi" w:cs="Calibri"/>
          <w:b/>
          <w:i/>
          <w:color w:val="000000" w:themeColor="text1"/>
        </w:rPr>
      </w:pPr>
    </w:p>
    <w:p w:rsidR="002828C9" w:rsidRDefault="002828C9" w:rsidP="002828C9">
      <w:pPr>
        <w:jc w:val="center"/>
        <w:rPr>
          <w:rFonts w:asciiTheme="majorHAnsi" w:hAnsiTheme="majorHAnsi" w:cs="Calibri"/>
          <w:b/>
          <w:i/>
          <w:color w:val="000000" w:themeColor="text1"/>
        </w:rPr>
      </w:pPr>
    </w:p>
    <w:p w:rsidR="002828C9" w:rsidRDefault="002828C9" w:rsidP="002828C9">
      <w:pPr>
        <w:jc w:val="center"/>
        <w:rPr>
          <w:rFonts w:asciiTheme="majorHAnsi" w:hAnsiTheme="majorHAnsi" w:cs="Calibri"/>
          <w:b/>
          <w:i/>
          <w:color w:val="000000" w:themeColor="text1"/>
        </w:rPr>
      </w:pPr>
    </w:p>
    <w:p w:rsidR="002828C9" w:rsidRDefault="002828C9" w:rsidP="002828C9">
      <w:pPr>
        <w:jc w:val="center"/>
        <w:rPr>
          <w:rFonts w:asciiTheme="majorHAnsi" w:hAnsiTheme="majorHAnsi" w:cs="Calibri"/>
          <w:b/>
          <w:i/>
          <w:color w:val="000000" w:themeColor="text1"/>
        </w:rPr>
      </w:pPr>
    </w:p>
    <w:p w:rsidR="002828C9" w:rsidRDefault="002828C9"/>
    <w:p w:rsidR="002828C9" w:rsidRDefault="002828C9"/>
    <w:sectPr w:rsidR="002828C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C59" w:rsidRDefault="00D62C59" w:rsidP="002828C9">
      <w:pPr>
        <w:spacing w:after="0" w:line="240" w:lineRule="auto"/>
      </w:pPr>
      <w:r>
        <w:separator/>
      </w:r>
    </w:p>
  </w:endnote>
  <w:endnote w:type="continuationSeparator" w:id="0">
    <w:p w:rsidR="00D62C59" w:rsidRDefault="00D62C59" w:rsidP="0028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C59" w:rsidRDefault="00D62C59" w:rsidP="002828C9">
      <w:pPr>
        <w:spacing w:after="0" w:line="240" w:lineRule="auto"/>
      </w:pPr>
      <w:r>
        <w:separator/>
      </w:r>
    </w:p>
  </w:footnote>
  <w:footnote w:type="continuationSeparator" w:id="0">
    <w:p w:rsidR="00D62C59" w:rsidRDefault="00D62C59" w:rsidP="00282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C9" w:rsidRPr="002E7A6E" w:rsidRDefault="002828C9" w:rsidP="002828C9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71BDB73" wp14:editId="32BEA657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7003018" wp14:editId="3D41F66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2828C9" w:rsidRPr="002E7A6E" w:rsidRDefault="002828C9" w:rsidP="002828C9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2828C9" w:rsidRPr="002E7A6E" w:rsidRDefault="002828C9" w:rsidP="002828C9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2828C9" w:rsidRPr="002E7A6E" w:rsidRDefault="002828C9" w:rsidP="002828C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2828C9" w:rsidRPr="002E7A6E" w:rsidRDefault="002828C9" w:rsidP="002828C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2828C9" w:rsidRPr="002E7A6E" w:rsidRDefault="002828C9" w:rsidP="002828C9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7175A" wp14:editId="0D679F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2828C9" w:rsidRDefault="002828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C9"/>
    <w:rsid w:val="002828C9"/>
    <w:rsid w:val="00895A58"/>
    <w:rsid w:val="00A2583A"/>
    <w:rsid w:val="00D62C59"/>
    <w:rsid w:val="00F5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8C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28C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8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8C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8C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28C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8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8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258</Words>
  <Characters>1423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dcterms:created xsi:type="dcterms:W3CDTF">2017-09-11T18:06:00Z</dcterms:created>
  <dcterms:modified xsi:type="dcterms:W3CDTF">2017-09-12T20:58:00Z</dcterms:modified>
</cp:coreProperties>
</file>