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1342FC" w:rsidRDefault="001342FC" w:rsidP="001342FC">
      <w:pPr>
        <w:spacing w:after="0"/>
        <w:ind w:firstLine="709"/>
        <w:jc w:val="both"/>
        <w:rPr>
          <w:rFonts w:ascii="Arial" w:hAnsi="Arial" w:cs="Arial"/>
        </w:rPr>
      </w:pPr>
    </w:p>
    <w:p w:rsidR="001342FC" w:rsidRPr="00FF582E" w:rsidRDefault="001342FC" w:rsidP="001342FC">
      <w:pPr>
        <w:spacing w:after="0"/>
        <w:ind w:firstLine="709"/>
        <w:jc w:val="right"/>
        <w:rPr>
          <w:rFonts w:ascii="Arial" w:hAnsi="Arial" w:cs="Arial"/>
          <w:b/>
          <w:sz w:val="20"/>
        </w:rPr>
      </w:pPr>
      <w:r w:rsidRPr="00FF582E">
        <w:rPr>
          <w:rFonts w:ascii="Arial" w:hAnsi="Arial" w:cs="Arial"/>
          <w:b/>
          <w:sz w:val="20"/>
        </w:rPr>
        <w:t>UAIP/OIR/5</w:t>
      </w:r>
      <w:r w:rsidR="00A96D3E">
        <w:rPr>
          <w:rFonts w:ascii="Arial" w:hAnsi="Arial" w:cs="Arial"/>
          <w:b/>
          <w:sz w:val="20"/>
        </w:rPr>
        <w:t>0</w:t>
      </w:r>
      <w:r w:rsidRPr="00FF582E">
        <w:rPr>
          <w:rFonts w:ascii="Arial" w:hAnsi="Arial" w:cs="Arial"/>
          <w:b/>
          <w:sz w:val="20"/>
        </w:rPr>
        <w:t>/2017</w:t>
      </w:r>
    </w:p>
    <w:p w:rsidR="001342FC" w:rsidRPr="00FF582E" w:rsidRDefault="001342FC" w:rsidP="001342FC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1342FC" w:rsidRPr="00BE4ED8" w:rsidRDefault="001342FC" w:rsidP="001342FC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  <w:r w:rsidRPr="00715779">
        <w:rPr>
          <w:rFonts w:ascii="Times New Roman" w:hAnsi="Times New Roman"/>
          <w:sz w:val="20"/>
          <w:szCs w:val="24"/>
        </w:rPr>
        <w:t xml:space="preserve">Vista la solicitud del señor </w:t>
      </w:r>
      <w:r w:rsidR="001232E6" w:rsidRPr="001232E6">
        <w:rPr>
          <w:rFonts w:ascii="Times New Roman" w:hAnsi="Times New Roman"/>
          <w:b/>
          <w:sz w:val="20"/>
          <w:szCs w:val="24"/>
          <w:highlight w:val="black"/>
        </w:rPr>
        <w:t>XXXXXXXXXXXXXXXXX</w:t>
      </w:r>
      <w:r w:rsidRPr="00BE4ED8">
        <w:rPr>
          <w:rFonts w:ascii="Times New Roman" w:hAnsi="Times New Roman"/>
          <w:sz w:val="20"/>
          <w:szCs w:val="24"/>
        </w:rPr>
        <w:t xml:space="preserve">, con Documento Único de Identidad número </w:t>
      </w:r>
      <w:r w:rsidR="001232E6" w:rsidRPr="001232E6">
        <w:rPr>
          <w:rFonts w:ascii="Times New Roman" w:hAnsi="Times New Roman"/>
          <w:b/>
          <w:sz w:val="20"/>
          <w:szCs w:val="24"/>
          <w:highlight w:val="black"/>
        </w:rPr>
        <w:t>XXXXXXXXXXXXXXXXXXXXXXXXXXXXXXXXXXXXXXXXXXXXXXXX</w:t>
      </w:r>
      <w:bookmarkStart w:id="0" w:name="_GoBack"/>
      <w:bookmarkEnd w:id="0"/>
      <w:r w:rsidR="00BE4ED8" w:rsidRPr="00BE4ED8">
        <w:rPr>
          <w:rFonts w:ascii="Times New Roman" w:hAnsi="Times New Roman"/>
          <w:sz w:val="20"/>
          <w:szCs w:val="24"/>
        </w:rPr>
        <w:t xml:space="preserve">, </w:t>
      </w:r>
      <w:r w:rsidRPr="00BE4ED8">
        <w:rPr>
          <w:rFonts w:ascii="Times New Roman" w:hAnsi="Times New Roman"/>
          <w:sz w:val="20"/>
          <w:szCs w:val="24"/>
        </w:rPr>
        <w:t xml:space="preserve">quien solicita: 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BE4ED8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Art. 68</w:t>
      </w:r>
      <w:r w:rsidRPr="00BE4ED8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de la Ley Penitenciaria ordena tener “cent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ros preventivos”, que pueden funcionar “dentro del mismo conjunto arquitectónico” de los Centros Penitenciarios, “siempre cuando se instalen con la debida separación.”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Art. 72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ordena que estos “centros preventivos son establecimientos destinados exclusivamente a la retención y custodia de detenidos provisionalmente por orden judicial.”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El mismo art. 72 manda que deben existir centros preventivos por lo menos en 4 regiones del país “a fin de mantener a los detenidos cerca de su medio social y familiar”. 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Art. 73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manda que los centros preventivos deben contar con 4 secciones: para adultos menores de 21 años; para adultos mayores de 21 años; sector der seguridad y sector de atención médica.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Refiriéndome a lo establecido en estos artículos de la Ley Penitenciaria, solicito las siguientes informaciones y datos: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 xml:space="preserve">1. 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Cuántos centros preventivos existen en el Sistema Penitenciario, incluyendo sus nombres, ubicaciones y cantidad de detenidos provisionales alojados en cada uno.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2.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En caso que estos centros preventivos se encuentran dentro de los Centros Penitenciarios, ¿en cuáles Centros Penales existen centros de prevención; y ¿cómo está garantizada la “debida separación” según Art. 68.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 xml:space="preserve">3. 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¿Cuáles de los centros de prevención cuentan con las 4 secciones que establece Art. 72, y se encuentran debidamente separados del Centro de Cumplimiento de Penas y su población?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 xml:space="preserve">4. 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¿Cuántos de los detenidos provisionales que actualmente se encuentran en todo el Sistema Penitenciario se encuentran en centros preventivos que corresponden a los mandatos de los art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. 68, 72 y 73, CON la debida separación d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el Centro de Cumplimiento de Pe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nas y su población?</w:t>
      </w:r>
    </w:p>
    <w:p w:rsidR="00A96D3E" w:rsidRPr="00715779" w:rsidRDefault="00A96D3E" w:rsidP="00A96D3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 xml:space="preserve">5. 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¿Cuántos de los detenidos provisionales que actualmente se encuentran en todo el Sistema Penitenciario se encuentran en centros penales, SIN la debida separación d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el Centro de Cumplimiento de Pe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nas y su población?</w:t>
      </w:r>
    </w:p>
    <w:p w:rsidR="001342FC" w:rsidRPr="00715779" w:rsidRDefault="00A96D3E" w:rsidP="00715779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715779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 xml:space="preserve">6. </w:t>
      </w:r>
      <w:r w:rsidRPr="00715779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¿Las limitaciones extraordinarias y transicionales contempladas en el Decreto 321 de “Medidas Extraordinarias”, en cuanto a sus derechos regulados en Art. 9 (movilidad dentro del recinto, prohibición de visitas familiares, regulación de visitas de abogados, acceso a aire libre y sol, acceso a medios escritos y de radiodifusión, etc.), se aplican de la misma manera a los detenidos provisionales?</w:t>
      </w:r>
    </w:p>
    <w:p w:rsidR="00715779" w:rsidRDefault="00715779" w:rsidP="001342FC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1342FC" w:rsidRPr="00715779" w:rsidRDefault="001342FC" w:rsidP="001342FC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  <w:r w:rsidRPr="00715779">
        <w:rPr>
          <w:rFonts w:ascii="Times New Roman" w:hAnsi="Times New Roman"/>
          <w:sz w:val="20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715779">
        <w:rPr>
          <w:rFonts w:ascii="Times New Roman" w:hAnsi="Times New Roman"/>
          <w:b/>
          <w:sz w:val="20"/>
          <w:szCs w:val="24"/>
        </w:rPr>
        <w:t xml:space="preserve">RESUELVE: </w:t>
      </w:r>
      <w:r w:rsidRPr="00715779">
        <w:rPr>
          <w:rFonts w:ascii="Times New Roman" w:hAnsi="Times New Roman"/>
          <w:sz w:val="20"/>
          <w:szCs w:val="24"/>
        </w:rPr>
        <w:t xml:space="preserve">Conceder el acceso a la información solicitada que fue remitida por la </w:t>
      </w:r>
      <w:r w:rsidR="00A96D3E" w:rsidRPr="00715779">
        <w:rPr>
          <w:rFonts w:ascii="Times New Roman" w:hAnsi="Times New Roman"/>
          <w:sz w:val="20"/>
          <w:szCs w:val="24"/>
        </w:rPr>
        <w:t>Unidad de Inspectoría General</w:t>
      </w:r>
      <w:r w:rsidRPr="00715779">
        <w:rPr>
          <w:rFonts w:ascii="Times New Roman" w:hAnsi="Times New Roman"/>
          <w:sz w:val="20"/>
          <w:szCs w:val="24"/>
        </w:rPr>
        <w:t>, en tal sentido se informa lo siguiente:</w:t>
      </w:r>
    </w:p>
    <w:p w:rsidR="00715779" w:rsidRDefault="00715779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Referente a</w:t>
      </w:r>
      <w:r w:rsidR="00B428E1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</w:t>
      </w:r>
      <w:r w:rsidRPr="00B428E1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cuántos centros preventivos existen en el Sistema Penitenciario, incluyendo sus nombres, ubicaciones y cantidad de detenidos provisionales alojados en cada uno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, se entrega cuadro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4426"/>
        <w:gridCol w:w="2268"/>
        <w:gridCol w:w="1858"/>
      </w:tblGrid>
      <w:tr w:rsidR="00715779" w:rsidTr="00B428E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No.</w:t>
            </w:r>
          </w:p>
        </w:tc>
        <w:tc>
          <w:tcPr>
            <w:tcW w:w="4426" w:type="dxa"/>
            <w:shd w:val="clear" w:color="auto" w:fill="BFBFBF" w:themeFill="background1" w:themeFillShade="BF"/>
          </w:tcPr>
          <w:p w:rsidR="00B428E1" w:rsidRDefault="00715779" w:rsidP="00B428E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Nombre de los Centros Penitenciarios</w:t>
            </w:r>
          </w:p>
          <w:p w:rsidR="00715779" w:rsidRPr="00715779" w:rsidRDefault="00715779" w:rsidP="00B428E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según Acuerdo Ministerial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Ubicación</w:t>
            </w:r>
          </w:p>
        </w:tc>
        <w:tc>
          <w:tcPr>
            <w:tcW w:w="1858" w:type="dxa"/>
            <w:shd w:val="clear" w:color="auto" w:fill="BFBFBF" w:themeFill="background1" w:themeFillShade="BF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Cantidad de PDL Provisionales</w:t>
            </w:r>
          </w:p>
        </w:tc>
      </w:tr>
      <w:tr w:rsidR="00715779" w:rsidTr="00B428E1">
        <w:trPr>
          <w:jc w:val="center"/>
        </w:trPr>
        <w:tc>
          <w:tcPr>
            <w:tcW w:w="0" w:type="auto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1</w:t>
            </w:r>
          </w:p>
        </w:tc>
        <w:tc>
          <w:tcPr>
            <w:tcW w:w="4426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Sonsonate</w:t>
            </w:r>
          </w:p>
        </w:tc>
        <w:tc>
          <w:tcPr>
            <w:tcW w:w="2268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Sonsonate, Sonsonate</w:t>
            </w:r>
          </w:p>
        </w:tc>
        <w:tc>
          <w:tcPr>
            <w:tcW w:w="1858" w:type="dxa"/>
          </w:tcPr>
          <w:p w:rsidR="00715779" w:rsidRDefault="00B428E1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76</w:t>
            </w:r>
          </w:p>
        </w:tc>
      </w:tr>
      <w:tr w:rsidR="00715779" w:rsidTr="00B428E1">
        <w:trPr>
          <w:jc w:val="center"/>
        </w:trPr>
        <w:tc>
          <w:tcPr>
            <w:tcW w:w="0" w:type="auto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2</w:t>
            </w:r>
          </w:p>
        </w:tc>
        <w:tc>
          <w:tcPr>
            <w:tcW w:w="4426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Ilobasco</w:t>
            </w:r>
          </w:p>
        </w:tc>
        <w:tc>
          <w:tcPr>
            <w:tcW w:w="2268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Ilobasco, Cabañas</w:t>
            </w:r>
          </w:p>
        </w:tc>
        <w:tc>
          <w:tcPr>
            <w:tcW w:w="1858" w:type="dxa"/>
          </w:tcPr>
          <w:p w:rsidR="00715779" w:rsidRDefault="00B428E1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368</w:t>
            </w:r>
          </w:p>
        </w:tc>
      </w:tr>
      <w:tr w:rsidR="00715779" w:rsidTr="00B428E1">
        <w:trPr>
          <w:jc w:val="center"/>
        </w:trPr>
        <w:tc>
          <w:tcPr>
            <w:tcW w:w="0" w:type="auto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3</w:t>
            </w:r>
          </w:p>
        </w:tc>
        <w:tc>
          <w:tcPr>
            <w:tcW w:w="4426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Jucuapa</w:t>
            </w:r>
          </w:p>
        </w:tc>
        <w:tc>
          <w:tcPr>
            <w:tcW w:w="2268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Jucuapa, Usulután</w:t>
            </w:r>
          </w:p>
        </w:tc>
        <w:tc>
          <w:tcPr>
            <w:tcW w:w="1858" w:type="dxa"/>
          </w:tcPr>
          <w:p w:rsidR="00715779" w:rsidRDefault="00B428E1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393</w:t>
            </w:r>
          </w:p>
        </w:tc>
      </w:tr>
      <w:tr w:rsidR="00715779" w:rsidTr="00B428E1">
        <w:trPr>
          <w:jc w:val="center"/>
        </w:trPr>
        <w:tc>
          <w:tcPr>
            <w:tcW w:w="0" w:type="auto"/>
          </w:tcPr>
          <w:p w:rsidR="00715779" w:rsidRP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4</w:t>
            </w:r>
          </w:p>
        </w:tc>
        <w:tc>
          <w:tcPr>
            <w:tcW w:w="4426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La Unión</w:t>
            </w:r>
          </w:p>
        </w:tc>
        <w:tc>
          <w:tcPr>
            <w:tcW w:w="2268" w:type="dxa"/>
          </w:tcPr>
          <w:p w:rsidR="00715779" w:rsidRDefault="00715779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La Unión, La Unión</w:t>
            </w:r>
          </w:p>
        </w:tc>
        <w:tc>
          <w:tcPr>
            <w:tcW w:w="1858" w:type="dxa"/>
          </w:tcPr>
          <w:p w:rsidR="00715779" w:rsidRDefault="00B428E1" w:rsidP="00715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459</w:t>
            </w:r>
          </w:p>
        </w:tc>
      </w:tr>
    </w:tbl>
    <w:p w:rsidR="00715779" w:rsidRDefault="00715779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715779" w:rsidRPr="00715779" w:rsidRDefault="00715779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715779" w:rsidRDefault="00B428E1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Referente a petición, </w:t>
      </w:r>
      <w:r w:rsidRPr="00B428E1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e</w:t>
      </w:r>
      <w:r w:rsidR="00715779" w:rsidRPr="00B428E1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n caso que estos centros preventivos se encuentran dentro de los Centros Penitenciarios, ¿en cuáles Centros Penales existen centros de prevención</w:t>
      </w:r>
      <w:r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?</w:t>
      </w:r>
      <w:r w:rsidR="00715779" w:rsidRPr="00B428E1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; y ¿cómo está garantizada la “</w:t>
      </w:r>
      <w:r w:rsidRPr="00B428E1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debida separación” según Art. 68</w:t>
      </w:r>
      <w:r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?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, se entrega cuadro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7106"/>
      </w:tblGrid>
      <w:tr w:rsidR="00B428E1" w:rsidTr="00B428E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B428E1" w:rsidRPr="00715779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No.</w:t>
            </w:r>
          </w:p>
        </w:tc>
        <w:tc>
          <w:tcPr>
            <w:tcW w:w="7106" w:type="dxa"/>
            <w:shd w:val="clear" w:color="auto" w:fill="BFBFBF" w:themeFill="background1" w:themeFillShade="BF"/>
          </w:tcPr>
          <w:p w:rsidR="00B428E1" w:rsidRPr="00715779" w:rsidRDefault="00B428E1" w:rsidP="00B428E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Nombre de los Centros Penitenciarios</w:t>
            </w: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 xml:space="preserve"> </w:t>
            </w: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según Acuerdo Ministerial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Pr="00715779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1</w:t>
            </w:r>
          </w:p>
        </w:tc>
        <w:tc>
          <w:tcPr>
            <w:tcW w:w="7106" w:type="dxa"/>
          </w:tcPr>
          <w:p w:rsidR="00B428E1" w:rsidRDefault="00B428E1" w:rsidP="00B428E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Apanteos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Pr="00715779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2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Quezaltepeque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Pr="00715779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3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Chalatenango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Pr="00715779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4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La Esperanza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Pr="00715779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5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San Vicente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6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Ciudad Barrios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7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San Miguel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8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Metapan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9</w:t>
            </w:r>
          </w:p>
        </w:tc>
        <w:tc>
          <w:tcPr>
            <w:tcW w:w="7106" w:type="dxa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de Ilobasco</w:t>
            </w:r>
          </w:p>
        </w:tc>
      </w:tr>
      <w:tr w:rsidR="00B428E1" w:rsidTr="00B428E1">
        <w:trPr>
          <w:jc w:val="center"/>
        </w:trPr>
        <w:tc>
          <w:tcPr>
            <w:tcW w:w="0" w:type="auto"/>
          </w:tcPr>
          <w:p w:rsidR="00B428E1" w:rsidRDefault="00B428E1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10</w:t>
            </w:r>
          </w:p>
        </w:tc>
        <w:tc>
          <w:tcPr>
            <w:tcW w:w="7106" w:type="dxa"/>
          </w:tcPr>
          <w:p w:rsidR="00B428E1" w:rsidRDefault="00B428E1" w:rsidP="00B428E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 Cumplimiento de Penas Izalco</w:t>
            </w:r>
          </w:p>
        </w:tc>
      </w:tr>
    </w:tbl>
    <w:p w:rsidR="00425E34" w:rsidRDefault="00425E34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425E34" w:rsidRDefault="00425E34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No omito manifestar que por el alto grado de hacinamiento que se tiene en el Sistema Penitenciario, en la mayoría de los Centros Penales y en la actualidad es muy difícil hacer la separación de Privados de Libertad (procesados y condenados), a excepción del Centro Penal de Apanteos.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Aclarando que los Centros Penitenciarios citados 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alberga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n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personas en contexto de encierro que están siendo procesadas judicialmente por causas penales por ser denominado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también como Centro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Preventivo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, destinado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para aquellas personas que mantienen la situación jurídica de Procesadas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.</w:t>
      </w:r>
    </w:p>
    <w:p w:rsidR="00B428E1" w:rsidRPr="00715779" w:rsidRDefault="00B428E1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B428E1" w:rsidRDefault="00425E34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Referente a </w:t>
      </w:r>
      <w:r w:rsidR="00715779" w:rsidRPr="00425E34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¿Cuáles de los centros de prevención cuentan con las 4 secciones que establece Art. 72, y se encuentran debidamente separados del Centro de Cumplimiento de Penas y su población?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, se informa que: </w:t>
      </w:r>
      <w:r w:rsidR="00433FCF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Por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</w:t>
      </w:r>
      <w:r w:rsidR="00433FCF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e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l alto grado de hacinamiento que se tiene en el Sistema Penitenciario, no es posible contar con las cuatro secciones en los Centros Preventivos, como establece el referido artículo 73.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Además, importante es mencionar que la mayoría de 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Centro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s Penitenciarios 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no cuenta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n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con dicha separación, debido, en parte, que cuando fue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ron 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construido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no existía aun la actual </w:t>
      </w:r>
      <w:r w:rsidR="00B054AC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Ley Penitenciaria</w:t>
      </w:r>
      <w:r w:rsidR="00EC4475" w:rsidRP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donde se determina tal separación.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</w:t>
      </w:r>
    </w:p>
    <w:p w:rsidR="00B428E1" w:rsidRDefault="00B428E1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B428E1" w:rsidRDefault="00425E34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Referente a </w:t>
      </w:r>
      <w:r w:rsidR="00715779" w:rsidRPr="00425E34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¿Cuántos de los detenidos provisionales que actualmente se encuentran en todo el Sistema Penitenciario se encuentran en centros preventivos que corresponden a los mandatos de los art. 68, 72 y 73, CON la debida separación del Centro de Cumplimiento de Penas y su población?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,</w:t>
      </w:r>
      <w:r w:rsidRPr="00425E34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 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se entrega cuadro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4426"/>
        <w:gridCol w:w="2268"/>
        <w:gridCol w:w="1858"/>
      </w:tblGrid>
      <w:tr w:rsidR="00425E34" w:rsidTr="00F12C5E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No.</w:t>
            </w:r>
          </w:p>
        </w:tc>
        <w:tc>
          <w:tcPr>
            <w:tcW w:w="4426" w:type="dxa"/>
            <w:shd w:val="clear" w:color="auto" w:fill="BFBFBF" w:themeFill="background1" w:themeFillShade="BF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Nombre de los Centros Penitenciarios</w:t>
            </w:r>
          </w:p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según Acuerdo Ministerial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Ubicación</w:t>
            </w:r>
          </w:p>
        </w:tc>
        <w:tc>
          <w:tcPr>
            <w:tcW w:w="1858" w:type="dxa"/>
            <w:shd w:val="clear" w:color="auto" w:fill="BFBFBF" w:themeFill="background1" w:themeFillShade="BF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Cantidad de PDL Provisionales</w:t>
            </w:r>
          </w:p>
        </w:tc>
      </w:tr>
      <w:tr w:rsidR="00425E34" w:rsidTr="00F12C5E">
        <w:trPr>
          <w:jc w:val="center"/>
        </w:trPr>
        <w:tc>
          <w:tcPr>
            <w:tcW w:w="0" w:type="auto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1</w:t>
            </w:r>
          </w:p>
        </w:tc>
        <w:tc>
          <w:tcPr>
            <w:tcW w:w="4426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Sonsonate</w:t>
            </w:r>
          </w:p>
        </w:tc>
        <w:tc>
          <w:tcPr>
            <w:tcW w:w="226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Sonsonate, Sonsonate</w:t>
            </w:r>
          </w:p>
        </w:tc>
        <w:tc>
          <w:tcPr>
            <w:tcW w:w="185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76</w:t>
            </w:r>
          </w:p>
        </w:tc>
      </w:tr>
      <w:tr w:rsidR="00425E34" w:rsidTr="00F12C5E">
        <w:trPr>
          <w:jc w:val="center"/>
        </w:trPr>
        <w:tc>
          <w:tcPr>
            <w:tcW w:w="0" w:type="auto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2</w:t>
            </w:r>
          </w:p>
        </w:tc>
        <w:tc>
          <w:tcPr>
            <w:tcW w:w="4426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Ilobasco</w:t>
            </w:r>
          </w:p>
        </w:tc>
        <w:tc>
          <w:tcPr>
            <w:tcW w:w="226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Ilobasco, Cabañas</w:t>
            </w:r>
          </w:p>
        </w:tc>
        <w:tc>
          <w:tcPr>
            <w:tcW w:w="185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368</w:t>
            </w:r>
          </w:p>
        </w:tc>
      </w:tr>
      <w:tr w:rsidR="00425E34" w:rsidTr="00F12C5E">
        <w:trPr>
          <w:jc w:val="center"/>
        </w:trPr>
        <w:tc>
          <w:tcPr>
            <w:tcW w:w="0" w:type="auto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3</w:t>
            </w:r>
          </w:p>
        </w:tc>
        <w:tc>
          <w:tcPr>
            <w:tcW w:w="4426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Jucuapa</w:t>
            </w:r>
          </w:p>
        </w:tc>
        <w:tc>
          <w:tcPr>
            <w:tcW w:w="226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Jucuapa, Usulután</w:t>
            </w:r>
          </w:p>
        </w:tc>
        <w:tc>
          <w:tcPr>
            <w:tcW w:w="185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393</w:t>
            </w:r>
          </w:p>
        </w:tc>
      </w:tr>
      <w:tr w:rsidR="00425E34" w:rsidTr="00F12C5E">
        <w:trPr>
          <w:jc w:val="center"/>
        </w:trPr>
        <w:tc>
          <w:tcPr>
            <w:tcW w:w="0" w:type="auto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715779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4</w:t>
            </w:r>
          </w:p>
        </w:tc>
        <w:tc>
          <w:tcPr>
            <w:tcW w:w="4426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de La Unión</w:t>
            </w:r>
          </w:p>
        </w:tc>
        <w:tc>
          <w:tcPr>
            <w:tcW w:w="226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La Unión, La Unión</w:t>
            </w:r>
          </w:p>
        </w:tc>
        <w:tc>
          <w:tcPr>
            <w:tcW w:w="185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459</w:t>
            </w:r>
          </w:p>
        </w:tc>
      </w:tr>
      <w:tr w:rsidR="00425E34" w:rsidTr="00F12C5E">
        <w:trPr>
          <w:jc w:val="center"/>
        </w:trPr>
        <w:tc>
          <w:tcPr>
            <w:tcW w:w="0" w:type="auto"/>
          </w:tcPr>
          <w:p w:rsidR="00425E34" w:rsidRPr="00715779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5</w:t>
            </w:r>
          </w:p>
        </w:tc>
        <w:tc>
          <w:tcPr>
            <w:tcW w:w="4426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Centro Penitenciario Preventivo y de</w:t>
            </w:r>
          </w:p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Cumplimiento de Penas de Apanteos</w:t>
            </w:r>
          </w:p>
        </w:tc>
        <w:tc>
          <w:tcPr>
            <w:tcW w:w="226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Santa Ana, Santa Ana</w:t>
            </w:r>
          </w:p>
        </w:tc>
        <w:tc>
          <w:tcPr>
            <w:tcW w:w="1858" w:type="dxa"/>
          </w:tcPr>
          <w:p w:rsid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sz w:val="20"/>
                <w:lang w:eastAsia="es-SV"/>
              </w:rPr>
              <w:t>906</w:t>
            </w:r>
          </w:p>
        </w:tc>
      </w:tr>
      <w:tr w:rsidR="00425E34" w:rsidTr="00F12C5E">
        <w:trPr>
          <w:jc w:val="center"/>
        </w:trPr>
        <w:tc>
          <w:tcPr>
            <w:tcW w:w="7196" w:type="dxa"/>
            <w:gridSpan w:val="3"/>
          </w:tcPr>
          <w:p w:rsidR="00425E34" w:rsidRPr="00425E34" w:rsidRDefault="00425E34" w:rsidP="00425E3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 w:rsidRPr="00425E34"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TOTAL DE PDL</w:t>
            </w:r>
          </w:p>
        </w:tc>
        <w:tc>
          <w:tcPr>
            <w:tcW w:w="1858" w:type="dxa"/>
          </w:tcPr>
          <w:p w:rsidR="00425E34" w:rsidRPr="00425E34" w:rsidRDefault="00425E34" w:rsidP="00F12C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</w:pPr>
            <w:r>
              <w:rPr>
                <w:rFonts w:asciiTheme="majorHAnsi" w:eastAsia="Times New Roman" w:hAnsiTheme="majorHAnsi" w:cs="Arial"/>
                <w:b/>
                <w:i/>
                <w:kern w:val="28"/>
                <w:sz w:val="20"/>
                <w:lang w:eastAsia="es-SV"/>
              </w:rPr>
              <w:t>2,202</w:t>
            </w:r>
          </w:p>
        </w:tc>
      </w:tr>
    </w:tbl>
    <w:p w:rsidR="00B428E1" w:rsidRDefault="00B428E1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715779" w:rsidRDefault="00425E34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Referente a </w:t>
      </w:r>
      <w:r w:rsidR="00715779" w:rsidRPr="00425E34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¿Cuántos de los detenidos provisionales que actualmente se encuentran en todo el Sistema Penitenciario se encuentran en centros penales, SIN la debida separación del Centro de Cumplimiento de Pe</w:t>
      </w:r>
      <w:r w:rsidR="00EC4475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n</w:t>
      </w:r>
      <w:r w:rsidR="00715779" w:rsidRPr="00425E34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as y su población?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, se informa que: Son 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10,594 Privados de Libertad (PDL) sin la </w:t>
      </w:r>
      <w:r w:rsidR="00EC4475">
        <w:rPr>
          <w:rFonts w:asciiTheme="majorHAnsi" w:eastAsia="Times New Roman" w:hAnsiTheme="majorHAnsi" w:cs="Arial"/>
          <w:i/>
          <w:kern w:val="28"/>
          <w:sz w:val="20"/>
          <w:lang w:eastAsia="es-SV"/>
        </w:rPr>
        <w:lastRenderedPageBreak/>
        <w:t>debida separación.</w:t>
      </w:r>
    </w:p>
    <w:p w:rsidR="00B428E1" w:rsidRPr="00715779" w:rsidRDefault="00B428E1" w:rsidP="0071577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</w:p>
    <w:p w:rsidR="00715779" w:rsidRDefault="00EC4475" w:rsidP="00715779">
      <w:pPr>
        <w:spacing w:after="0"/>
        <w:jc w:val="both"/>
        <w:rPr>
          <w:rFonts w:asciiTheme="majorHAnsi" w:eastAsia="Times New Roman" w:hAnsiTheme="majorHAnsi" w:cs="Arial"/>
          <w:i/>
          <w:kern w:val="28"/>
          <w:sz w:val="20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 xml:space="preserve">Referente a </w:t>
      </w:r>
      <w:r w:rsidR="00715779" w:rsidRPr="00EC4475">
        <w:rPr>
          <w:rFonts w:asciiTheme="majorHAnsi" w:eastAsia="Times New Roman" w:hAnsiTheme="majorHAnsi" w:cs="Arial"/>
          <w:b/>
          <w:i/>
          <w:kern w:val="28"/>
          <w:sz w:val="20"/>
          <w:lang w:eastAsia="es-SV"/>
        </w:rPr>
        <w:t>¿Las limitaciones extraordinarias y transicionales contempladas en el Decreto 321 de “Medidas Extraordinarias”, en cuanto a sus derechos regulados en Art. 9 (movilidad dentro del recinto, prohibición de visitas familiares, regulación de visitas de abogados, acceso a aire libre y sol, acceso a medios escritos y de radiodifusión, etc.), se aplican de la misma manera a los detenidos provisionales?</w:t>
      </w:r>
      <w:r>
        <w:rPr>
          <w:rFonts w:asciiTheme="majorHAnsi" w:eastAsia="Times New Roman" w:hAnsiTheme="majorHAnsi" w:cs="Arial"/>
          <w:i/>
          <w:kern w:val="28"/>
          <w:sz w:val="20"/>
          <w:lang w:eastAsia="es-SV"/>
        </w:rPr>
        <w:t>, se informa que: Las Medidas Extraordinarias y Especiales contempladas en el Decreto 321, son aplicadas a los Privados de Libertad (PDL) que pertenecen a diferentes grupos de Pandillas y Maras, sean estos Procesados o Condenados.</w:t>
      </w:r>
    </w:p>
    <w:p w:rsidR="00B428E1" w:rsidRDefault="00B428E1" w:rsidP="00715779">
      <w:pPr>
        <w:spacing w:after="0"/>
        <w:jc w:val="both"/>
        <w:rPr>
          <w:rFonts w:ascii="Times New Roman" w:hAnsi="Times New Roman"/>
          <w:sz w:val="20"/>
          <w:szCs w:val="24"/>
        </w:rPr>
      </w:pPr>
    </w:p>
    <w:p w:rsidR="001342FC" w:rsidRPr="00715779" w:rsidRDefault="001342FC" w:rsidP="001342FC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  <w:r w:rsidRPr="00715779">
        <w:rPr>
          <w:rFonts w:ascii="Times New Roman" w:hAnsi="Times New Roman"/>
          <w:sz w:val="20"/>
          <w:szCs w:val="24"/>
        </w:rPr>
        <w:t>Queda expedito el derecho de la persona solicitante de proceder conforme a lo establecido en el art. 82 de la Ley de Acceso a la Información Pública.</w:t>
      </w:r>
    </w:p>
    <w:p w:rsidR="001342FC" w:rsidRPr="00715779" w:rsidRDefault="001342FC" w:rsidP="001342FC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8A2C0D" w:rsidRPr="00715779" w:rsidRDefault="008A2C0D" w:rsidP="008A2C0D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715779">
        <w:rPr>
          <w:rFonts w:ascii="Times New Roman" w:hAnsi="Times New Roman"/>
          <w:sz w:val="20"/>
          <w:szCs w:val="24"/>
        </w:rPr>
        <w:t xml:space="preserve">San Salvador, a las </w:t>
      </w:r>
      <w:r>
        <w:rPr>
          <w:rFonts w:ascii="Times New Roman" w:hAnsi="Times New Roman"/>
          <w:sz w:val="20"/>
          <w:szCs w:val="24"/>
        </w:rPr>
        <w:t>nueve</w:t>
      </w:r>
      <w:r w:rsidRPr="00715779">
        <w:rPr>
          <w:rFonts w:ascii="Times New Roman" w:hAnsi="Times New Roman"/>
          <w:sz w:val="20"/>
          <w:szCs w:val="24"/>
        </w:rPr>
        <w:t xml:space="preserve"> horas con </w:t>
      </w:r>
      <w:r>
        <w:rPr>
          <w:rFonts w:ascii="Times New Roman" w:hAnsi="Times New Roman"/>
          <w:sz w:val="20"/>
          <w:szCs w:val="24"/>
        </w:rPr>
        <w:t>veinte</w:t>
      </w:r>
      <w:r w:rsidRPr="00715779">
        <w:rPr>
          <w:rFonts w:ascii="Times New Roman" w:hAnsi="Times New Roman"/>
          <w:sz w:val="20"/>
          <w:szCs w:val="24"/>
        </w:rPr>
        <w:t xml:space="preserve"> minutos del día </w:t>
      </w:r>
      <w:r>
        <w:rPr>
          <w:rFonts w:ascii="Times New Roman" w:hAnsi="Times New Roman"/>
          <w:sz w:val="20"/>
          <w:szCs w:val="24"/>
        </w:rPr>
        <w:t xml:space="preserve">veintisiete </w:t>
      </w:r>
      <w:r w:rsidRPr="00715779">
        <w:rPr>
          <w:rFonts w:ascii="Times New Roman" w:hAnsi="Times New Roman"/>
          <w:sz w:val="20"/>
          <w:szCs w:val="24"/>
        </w:rPr>
        <w:t>de febrero de dos mil diecisiete.</w:t>
      </w:r>
    </w:p>
    <w:p w:rsidR="001342FC" w:rsidRPr="00715779" w:rsidRDefault="001342FC" w:rsidP="001342FC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</w:p>
    <w:p w:rsidR="001342FC" w:rsidRPr="00715779" w:rsidRDefault="001342FC" w:rsidP="001342FC">
      <w:pPr>
        <w:spacing w:after="0"/>
        <w:ind w:firstLine="708"/>
        <w:jc w:val="both"/>
        <w:rPr>
          <w:rFonts w:ascii="Times New Roman" w:hAnsi="Times New Roman"/>
          <w:b/>
          <w:sz w:val="20"/>
          <w:szCs w:val="24"/>
        </w:rPr>
      </w:pPr>
    </w:p>
    <w:p w:rsidR="001342FC" w:rsidRPr="00715779" w:rsidRDefault="001342FC" w:rsidP="001342FC">
      <w:pPr>
        <w:spacing w:after="0"/>
        <w:ind w:firstLine="708"/>
        <w:jc w:val="both"/>
        <w:rPr>
          <w:rFonts w:ascii="Times New Roman" w:hAnsi="Times New Roman"/>
          <w:b/>
          <w:sz w:val="20"/>
          <w:szCs w:val="24"/>
        </w:rPr>
      </w:pPr>
    </w:p>
    <w:p w:rsidR="001342FC" w:rsidRPr="00715779" w:rsidRDefault="001342FC" w:rsidP="001342FC">
      <w:pPr>
        <w:spacing w:after="0"/>
        <w:ind w:firstLine="708"/>
        <w:jc w:val="both"/>
        <w:rPr>
          <w:rFonts w:ascii="Times New Roman" w:hAnsi="Times New Roman"/>
          <w:b/>
          <w:sz w:val="20"/>
          <w:szCs w:val="24"/>
        </w:rPr>
      </w:pPr>
    </w:p>
    <w:p w:rsidR="001342FC" w:rsidRDefault="001342FC" w:rsidP="001342FC">
      <w:pPr>
        <w:spacing w:after="0"/>
        <w:ind w:firstLine="708"/>
        <w:jc w:val="both"/>
        <w:rPr>
          <w:rFonts w:ascii="Times New Roman" w:hAnsi="Times New Roman"/>
          <w:b/>
          <w:sz w:val="20"/>
          <w:szCs w:val="24"/>
        </w:rPr>
      </w:pPr>
    </w:p>
    <w:p w:rsidR="00433FCF" w:rsidRPr="00715779" w:rsidRDefault="00433FCF" w:rsidP="001342FC">
      <w:pPr>
        <w:spacing w:after="0"/>
        <w:ind w:firstLine="708"/>
        <w:jc w:val="both"/>
        <w:rPr>
          <w:rFonts w:ascii="Times New Roman" w:hAnsi="Times New Roman"/>
          <w:b/>
          <w:sz w:val="20"/>
          <w:szCs w:val="24"/>
        </w:rPr>
      </w:pPr>
    </w:p>
    <w:p w:rsidR="001342FC" w:rsidRPr="00715779" w:rsidRDefault="001342FC" w:rsidP="001342FC">
      <w:pPr>
        <w:spacing w:after="0"/>
        <w:ind w:left="3540" w:firstLine="708"/>
        <w:rPr>
          <w:rFonts w:ascii="Times New Roman" w:hAnsi="Times New Roman"/>
          <w:b/>
          <w:sz w:val="20"/>
          <w:szCs w:val="24"/>
        </w:rPr>
      </w:pPr>
      <w:r w:rsidRPr="00715779">
        <w:rPr>
          <w:rFonts w:ascii="Times New Roman" w:hAnsi="Times New Roman"/>
          <w:b/>
          <w:sz w:val="20"/>
          <w:szCs w:val="24"/>
        </w:rPr>
        <w:t>Licda. Marlene Janeth Cardona Andrade</w:t>
      </w:r>
    </w:p>
    <w:p w:rsidR="001342FC" w:rsidRPr="00715779" w:rsidRDefault="001342FC" w:rsidP="001342FC">
      <w:pPr>
        <w:spacing w:after="0"/>
        <w:ind w:left="3540" w:firstLine="708"/>
        <w:rPr>
          <w:rFonts w:ascii="Times New Roman" w:hAnsi="Times New Roman"/>
          <w:b/>
          <w:sz w:val="18"/>
        </w:rPr>
      </w:pPr>
      <w:r w:rsidRPr="00715779">
        <w:rPr>
          <w:rFonts w:ascii="Times New Roman" w:hAnsi="Times New Roman"/>
          <w:b/>
          <w:sz w:val="20"/>
          <w:szCs w:val="24"/>
        </w:rPr>
        <w:t>Oficial de Información</w:t>
      </w:r>
    </w:p>
    <w:p w:rsidR="001342FC" w:rsidRPr="00715779" w:rsidRDefault="001342FC" w:rsidP="001342FC">
      <w:pPr>
        <w:rPr>
          <w:rFonts w:ascii="Times New Roman" w:hAnsi="Times New Roman"/>
          <w:sz w:val="14"/>
          <w:szCs w:val="18"/>
        </w:rPr>
      </w:pPr>
    </w:p>
    <w:p w:rsidR="00C805EB" w:rsidRDefault="001342FC" w:rsidP="001342FC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710C51" w:rsidRDefault="00710C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10C51" w:rsidRDefault="00710C51" w:rsidP="00710C51">
      <w:pPr>
        <w:spacing w:after="0"/>
        <w:ind w:firstLine="709"/>
        <w:jc w:val="both"/>
        <w:rPr>
          <w:rFonts w:ascii="Arial" w:hAnsi="Arial" w:cs="Arial"/>
        </w:rPr>
      </w:pPr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37" w:rsidRDefault="00163937" w:rsidP="00B6563F">
      <w:pPr>
        <w:spacing w:after="0" w:line="240" w:lineRule="auto"/>
      </w:pPr>
      <w:r>
        <w:separator/>
      </w:r>
    </w:p>
  </w:endnote>
  <w:endnote w:type="continuationSeparator" w:id="0">
    <w:p w:rsidR="00163937" w:rsidRDefault="00163937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37" w:rsidRDefault="00163937" w:rsidP="00B6563F">
      <w:pPr>
        <w:spacing w:after="0" w:line="240" w:lineRule="auto"/>
      </w:pPr>
      <w:r>
        <w:separator/>
      </w:r>
    </w:p>
  </w:footnote>
  <w:footnote w:type="continuationSeparator" w:id="0">
    <w:p w:rsidR="00163937" w:rsidRDefault="00163937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2E6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3937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EF61-6840-46EB-9D0E-F0B8EDC2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2017-03-28T14:29:00Z</dcterms:created>
  <dcterms:modified xsi:type="dcterms:W3CDTF">2017-03-28T14:29:00Z</dcterms:modified>
</cp:coreProperties>
</file>