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E0" w:rsidRDefault="00C517E0" w:rsidP="00C517E0">
      <w:pPr>
        <w:rPr>
          <w:rFonts w:asciiTheme="majorHAnsi" w:hAnsiTheme="majorHAnsi" w:cs="Arial"/>
        </w:rPr>
      </w:pPr>
    </w:p>
    <w:p w:rsidR="00C517E0" w:rsidRDefault="00C517E0" w:rsidP="00C517E0">
      <w:pPr>
        <w:spacing w:after="0"/>
        <w:ind w:firstLine="708"/>
        <w:jc w:val="both"/>
        <w:rPr>
          <w:rFonts w:ascii="Times New Roman" w:hAnsi="Times New Roman"/>
          <w:sz w:val="24"/>
          <w:szCs w:val="24"/>
        </w:rPr>
      </w:pPr>
      <w:r w:rsidRPr="00E67C95">
        <w:rPr>
          <w:rFonts w:ascii="Times New Roman" w:hAnsi="Times New Roman"/>
          <w:sz w:val="24"/>
          <w:szCs w:val="24"/>
        </w:rPr>
        <w:t xml:space="preserve">Vista la solicitud del </w:t>
      </w:r>
      <w:r>
        <w:rPr>
          <w:rFonts w:ascii="Times New Roman" w:hAnsi="Times New Roman"/>
          <w:sz w:val="24"/>
          <w:szCs w:val="24"/>
        </w:rPr>
        <w:t>señor</w:t>
      </w:r>
      <w:r w:rsidRPr="00E67C95">
        <w:rPr>
          <w:rFonts w:ascii="Times New Roman" w:hAnsi="Times New Roman"/>
          <w:sz w:val="24"/>
          <w:szCs w:val="24"/>
        </w:rPr>
        <w:t xml:space="preserve"> </w:t>
      </w:r>
      <w:r w:rsidR="00BE6AD4" w:rsidRPr="00BE6AD4">
        <w:rPr>
          <w:rFonts w:ascii="Times New Roman" w:hAnsi="Times New Roman"/>
          <w:sz w:val="24"/>
          <w:szCs w:val="24"/>
          <w:highlight w:val="black"/>
        </w:rPr>
        <w:t>XXXXXXXXXXXXXXXXXXXXXXXXXXXXXX</w:t>
      </w:r>
      <w:r w:rsidRPr="00E67C95">
        <w:rPr>
          <w:rFonts w:ascii="Times New Roman" w:hAnsi="Times New Roman"/>
          <w:sz w:val="24"/>
          <w:szCs w:val="24"/>
        </w:rPr>
        <w:t xml:space="preserve">, </w:t>
      </w:r>
      <w:r w:rsidRPr="00FE1494">
        <w:rPr>
          <w:rFonts w:ascii="Times New Roman" w:hAnsi="Times New Roman"/>
          <w:sz w:val="24"/>
          <w:szCs w:val="24"/>
        </w:rPr>
        <w:t xml:space="preserve">con Documento Único de Identidad número </w:t>
      </w:r>
      <w:r w:rsidR="00BE6AD4" w:rsidRPr="00BE6AD4">
        <w:rPr>
          <w:rFonts w:ascii="Times New Roman" w:hAnsi="Times New Roman"/>
          <w:sz w:val="24"/>
          <w:szCs w:val="24"/>
          <w:highlight w:val="black"/>
        </w:rPr>
        <w:t>XXXXXXXXXXXXXXXXXXXXXXXXX</w:t>
      </w:r>
      <w:bookmarkStart w:id="0" w:name="_GoBack"/>
      <w:bookmarkEnd w:id="0"/>
      <w:r w:rsidRPr="00FE1494">
        <w:rPr>
          <w:rFonts w:ascii="Times New Roman" w:hAnsi="Times New Roman"/>
          <w:sz w:val="24"/>
          <w:szCs w:val="24"/>
        </w:rPr>
        <w:t>, quien solicita:</w:t>
      </w:r>
    </w:p>
    <w:p w:rsidR="00C517E0" w:rsidRDefault="00C517E0" w:rsidP="00F63EB2">
      <w:pPr>
        <w:pStyle w:val="Prrafodelista"/>
        <w:widowControl w:val="0"/>
        <w:numPr>
          <w:ilvl w:val="0"/>
          <w:numId w:val="41"/>
        </w:numPr>
        <w:overflowPunct w:val="0"/>
        <w:autoSpaceDE w:val="0"/>
        <w:autoSpaceDN w:val="0"/>
        <w:adjustRightInd w:val="0"/>
        <w:spacing w:after="0"/>
        <w:jc w:val="both"/>
        <w:rPr>
          <w:rFonts w:asciiTheme="majorHAnsi" w:eastAsia="Times New Roman" w:hAnsiTheme="majorHAnsi" w:cs="Arial"/>
          <w:i/>
          <w:kern w:val="28"/>
          <w:szCs w:val="24"/>
          <w:lang w:eastAsia="es-SV"/>
        </w:rPr>
      </w:pPr>
      <w:r w:rsidRPr="00B9666C">
        <w:rPr>
          <w:rFonts w:asciiTheme="majorHAnsi" w:eastAsia="Times New Roman" w:hAnsiTheme="majorHAnsi" w:cs="Arial"/>
          <w:i/>
          <w:kern w:val="28"/>
          <w:szCs w:val="24"/>
          <w:lang w:eastAsia="es-SV"/>
        </w:rPr>
        <w:t>Cuál es el monto que la Dirección General de Centros Penales, invierte mensual y anualmente, en arrendamiento de instalaciones, como edificios, parqueos, microbuses y buses para el transporte del personal, y casas donde funcionan las</w:t>
      </w:r>
      <w:r>
        <w:rPr>
          <w:rFonts w:asciiTheme="majorHAnsi" w:eastAsia="Times New Roman" w:hAnsiTheme="majorHAnsi" w:cs="Arial"/>
          <w:i/>
          <w:kern w:val="28"/>
          <w:szCs w:val="24"/>
          <w:lang w:eastAsia="es-SV"/>
        </w:rPr>
        <w:t xml:space="preserve"> diversas unidades y oficinas.</w:t>
      </w:r>
    </w:p>
    <w:p w:rsidR="00C517E0" w:rsidRDefault="00C517E0" w:rsidP="00F63EB2">
      <w:pPr>
        <w:pStyle w:val="Prrafodelista"/>
        <w:widowControl w:val="0"/>
        <w:numPr>
          <w:ilvl w:val="0"/>
          <w:numId w:val="41"/>
        </w:numPr>
        <w:overflowPunct w:val="0"/>
        <w:autoSpaceDE w:val="0"/>
        <w:autoSpaceDN w:val="0"/>
        <w:adjustRightInd w:val="0"/>
        <w:spacing w:after="0"/>
        <w:jc w:val="both"/>
        <w:rPr>
          <w:rFonts w:asciiTheme="majorHAnsi" w:eastAsia="Times New Roman" w:hAnsiTheme="majorHAnsi" w:cs="Arial"/>
          <w:i/>
          <w:kern w:val="28"/>
          <w:szCs w:val="24"/>
          <w:lang w:eastAsia="es-SV"/>
        </w:rPr>
      </w:pPr>
      <w:r w:rsidRPr="00B9666C">
        <w:rPr>
          <w:rFonts w:asciiTheme="majorHAnsi" w:eastAsia="Times New Roman" w:hAnsiTheme="majorHAnsi" w:cs="Arial"/>
          <w:i/>
          <w:kern w:val="28"/>
          <w:szCs w:val="24"/>
          <w:lang w:eastAsia="es-SV"/>
        </w:rPr>
        <w:t>Ese monto que se utiliza para arrendamientos cuanto representa en el porcentaje del presupu</w:t>
      </w:r>
      <w:r>
        <w:rPr>
          <w:rFonts w:asciiTheme="majorHAnsi" w:eastAsia="Times New Roman" w:hAnsiTheme="majorHAnsi" w:cs="Arial"/>
          <w:i/>
          <w:kern w:val="28"/>
          <w:szCs w:val="24"/>
          <w:lang w:eastAsia="es-SV"/>
        </w:rPr>
        <w:t>esto que se le asigna a la DGCP.</w:t>
      </w:r>
    </w:p>
    <w:p w:rsidR="00C517E0" w:rsidRDefault="00C517E0" w:rsidP="00F63EB2">
      <w:pPr>
        <w:pStyle w:val="Prrafodelista"/>
        <w:widowControl w:val="0"/>
        <w:numPr>
          <w:ilvl w:val="0"/>
          <w:numId w:val="41"/>
        </w:numPr>
        <w:overflowPunct w:val="0"/>
        <w:autoSpaceDE w:val="0"/>
        <w:autoSpaceDN w:val="0"/>
        <w:adjustRightInd w:val="0"/>
        <w:spacing w:after="0"/>
        <w:jc w:val="both"/>
        <w:rPr>
          <w:rFonts w:asciiTheme="majorHAnsi" w:eastAsia="Times New Roman" w:hAnsiTheme="majorHAnsi" w:cs="Arial"/>
          <w:i/>
          <w:kern w:val="28"/>
          <w:szCs w:val="24"/>
          <w:lang w:eastAsia="es-SV"/>
        </w:rPr>
      </w:pPr>
      <w:r w:rsidRPr="00B9666C">
        <w:rPr>
          <w:rFonts w:asciiTheme="majorHAnsi" w:eastAsia="Times New Roman" w:hAnsiTheme="majorHAnsi" w:cs="Arial"/>
          <w:i/>
          <w:kern w:val="28"/>
          <w:szCs w:val="24"/>
          <w:lang w:eastAsia="es-SV"/>
        </w:rPr>
        <w:t>Cuanto es el presupuesto asignado a la DGCP en los últimos cinco años, detallarlo por año.</w:t>
      </w:r>
    </w:p>
    <w:p w:rsidR="00C517E0" w:rsidRDefault="00C517E0" w:rsidP="00F63EB2">
      <w:pPr>
        <w:pStyle w:val="Prrafodelista"/>
        <w:widowControl w:val="0"/>
        <w:numPr>
          <w:ilvl w:val="0"/>
          <w:numId w:val="41"/>
        </w:numPr>
        <w:overflowPunct w:val="0"/>
        <w:autoSpaceDE w:val="0"/>
        <w:autoSpaceDN w:val="0"/>
        <w:adjustRightInd w:val="0"/>
        <w:spacing w:after="0"/>
        <w:jc w:val="both"/>
        <w:rPr>
          <w:rFonts w:asciiTheme="majorHAnsi" w:eastAsia="Times New Roman" w:hAnsiTheme="majorHAnsi" w:cs="Arial"/>
          <w:i/>
          <w:kern w:val="28"/>
          <w:szCs w:val="24"/>
          <w:lang w:eastAsia="es-SV"/>
        </w:rPr>
      </w:pPr>
      <w:r w:rsidRPr="00B9666C">
        <w:rPr>
          <w:rFonts w:asciiTheme="majorHAnsi" w:eastAsia="Times New Roman" w:hAnsiTheme="majorHAnsi" w:cs="Arial"/>
          <w:i/>
          <w:kern w:val="28"/>
          <w:szCs w:val="24"/>
          <w:lang w:eastAsia="es-SV"/>
        </w:rPr>
        <w:t>Mencionar la cantidad de edificios, parqueos, casas, buses y microbuses que se arrenda por departamento con su respectivo costo.</w:t>
      </w:r>
    </w:p>
    <w:p w:rsidR="00C517E0" w:rsidRDefault="00C517E0" w:rsidP="00F63EB2">
      <w:pPr>
        <w:pStyle w:val="Prrafodelista"/>
        <w:widowControl w:val="0"/>
        <w:numPr>
          <w:ilvl w:val="0"/>
          <w:numId w:val="41"/>
        </w:numPr>
        <w:overflowPunct w:val="0"/>
        <w:autoSpaceDE w:val="0"/>
        <w:autoSpaceDN w:val="0"/>
        <w:adjustRightInd w:val="0"/>
        <w:spacing w:after="0"/>
        <w:jc w:val="both"/>
        <w:rPr>
          <w:rFonts w:asciiTheme="majorHAnsi" w:eastAsia="Times New Roman" w:hAnsiTheme="majorHAnsi" w:cs="Arial"/>
          <w:i/>
          <w:kern w:val="28"/>
          <w:szCs w:val="24"/>
          <w:lang w:eastAsia="es-SV"/>
        </w:rPr>
      </w:pPr>
      <w:r w:rsidRPr="00B9666C">
        <w:rPr>
          <w:rFonts w:asciiTheme="majorHAnsi" w:eastAsia="Times New Roman" w:hAnsiTheme="majorHAnsi" w:cs="Arial"/>
          <w:i/>
          <w:kern w:val="28"/>
          <w:szCs w:val="24"/>
          <w:lang w:eastAsia="es-SV"/>
        </w:rPr>
        <w:t>Cuanto ha gastado la DGCP en arrendamiento en los últimos cinco años, mencionarlo por año.</w:t>
      </w:r>
    </w:p>
    <w:p w:rsidR="00C517E0" w:rsidRDefault="00C517E0" w:rsidP="00F63EB2">
      <w:pPr>
        <w:pStyle w:val="Prrafodelista"/>
        <w:widowControl w:val="0"/>
        <w:numPr>
          <w:ilvl w:val="0"/>
          <w:numId w:val="41"/>
        </w:numPr>
        <w:overflowPunct w:val="0"/>
        <w:autoSpaceDE w:val="0"/>
        <w:autoSpaceDN w:val="0"/>
        <w:adjustRightInd w:val="0"/>
        <w:spacing w:after="0"/>
        <w:jc w:val="both"/>
        <w:rPr>
          <w:rFonts w:asciiTheme="majorHAnsi" w:eastAsia="Times New Roman" w:hAnsiTheme="majorHAnsi" w:cs="Arial"/>
          <w:i/>
          <w:kern w:val="28"/>
          <w:szCs w:val="24"/>
          <w:lang w:eastAsia="es-SV"/>
        </w:rPr>
      </w:pPr>
      <w:r w:rsidRPr="00B9666C">
        <w:rPr>
          <w:rFonts w:asciiTheme="majorHAnsi" w:eastAsia="Times New Roman" w:hAnsiTheme="majorHAnsi" w:cs="Arial"/>
          <w:i/>
          <w:kern w:val="28"/>
          <w:szCs w:val="24"/>
          <w:lang w:eastAsia="es-SV"/>
        </w:rPr>
        <w:t>Si existe mora en el pago de arrendamientos, cual es el monto total que se debe</w:t>
      </w:r>
      <w:r>
        <w:rPr>
          <w:rFonts w:asciiTheme="majorHAnsi" w:eastAsia="Times New Roman" w:hAnsiTheme="majorHAnsi" w:cs="Arial"/>
          <w:i/>
          <w:kern w:val="28"/>
          <w:szCs w:val="24"/>
          <w:lang w:eastAsia="es-SV"/>
        </w:rPr>
        <w:t>.</w:t>
      </w:r>
    </w:p>
    <w:p w:rsidR="00C517E0" w:rsidRDefault="00C517E0" w:rsidP="00C517E0">
      <w:pPr>
        <w:spacing w:after="0"/>
        <w:ind w:firstLine="708"/>
        <w:jc w:val="both"/>
        <w:rPr>
          <w:rFonts w:ascii="Times New Roman" w:hAnsi="Times New Roman"/>
          <w:sz w:val="24"/>
          <w:szCs w:val="24"/>
        </w:rPr>
      </w:pPr>
    </w:p>
    <w:p w:rsidR="00C517E0" w:rsidRDefault="00C517E0" w:rsidP="00C517E0">
      <w:pPr>
        <w:spacing w:after="0"/>
        <w:ind w:firstLine="708"/>
        <w:jc w:val="both"/>
        <w:rPr>
          <w:rFonts w:ascii="Times New Roman" w:hAnsi="Times New Roman"/>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r w:rsidRPr="008E777C">
        <w:rPr>
          <w:rFonts w:ascii="Times New Roman" w:hAnsi="Times New Roman"/>
          <w:sz w:val="24"/>
          <w:szCs w:val="24"/>
        </w:rPr>
        <w:t>y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 xml:space="preserve">RESUELVE: </w:t>
      </w:r>
      <w:r w:rsidRPr="004C25C5">
        <w:rPr>
          <w:rFonts w:ascii="Times New Roman" w:hAnsi="Times New Roman"/>
          <w:sz w:val="24"/>
          <w:szCs w:val="24"/>
        </w:rPr>
        <w:t xml:space="preserve">Conceder el acceso a la información solicitada, </w:t>
      </w:r>
      <w:r>
        <w:rPr>
          <w:rFonts w:ascii="Times New Roman" w:hAnsi="Times New Roman"/>
          <w:sz w:val="24"/>
          <w:szCs w:val="24"/>
        </w:rPr>
        <w:t xml:space="preserve">recibida en esta Unidad por las Unidades Generadoras correspondiente, haciendo de conocimiento que </w:t>
      </w:r>
      <w:r w:rsidR="00F14FBB">
        <w:rPr>
          <w:rFonts w:ascii="Times New Roman" w:hAnsi="Times New Roman"/>
          <w:sz w:val="24"/>
          <w:szCs w:val="24"/>
        </w:rPr>
        <w:t xml:space="preserve">se adjunta a esta resolución Cuadro Resumen de la información antes mencionada, no omitiendo manifestar que esos gastos reflejados han sido financiados con </w:t>
      </w:r>
      <w:r w:rsidR="00F14FBB" w:rsidRPr="00C76647">
        <w:rPr>
          <w:rFonts w:ascii="Times New Roman" w:hAnsi="Times New Roman"/>
          <w:b/>
          <w:sz w:val="24"/>
          <w:szCs w:val="24"/>
        </w:rPr>
        <w:t>recursos del Fondo General GOES</w:t>
      </w:r>
      <w:r w:rsidR="00F14FBB">
        <w:rPr>
          <w:rFonts w:ascii="Times New Roman" w:hAnsi="Times New Roman"/>
          <w:sz w:val="24"/>
          <w:szCs w:val="24"/>
        </w:rPr>
        <w:t xml:space="preserve">; Asimismo, en lo que se refiere a si existe mora en el pago de arrendamiento, se informa que a excepción del edificio PRODISA, mes de julio por $9,750.00 todos los gastos </w:t>
      </w:r>
      <w:r w:rsidR="00130F1C">
        <w:rPr>
          <w:rFonts w:ascii="Times New Roman" w:hAnsi="Times New Roman"/>
          <w:sz w:val="24"/>
          <w:szCs w:val="24"/>
        </w:rPr>
        <w:t xml:space="preserve">del Fondo General GOES </w:t>
      </w:r>
      <w:r w:rsidR="00F14FBB">
        <w:rPr>
          <w:rFonts w:ascii="Times New Roman" w:hAnsi="Times New Roman"/>
          <w:sz w:val="24"/>
          <w:szCs w:val="24"/>
        </w:rPr>
        <w:t>están solventes a la fecha. Asimismo, se aclara que en lo tendiente al arrendamiento de parqueos, casas, buses y microbuses, no existen gastos, que en los últimos cinco años hayan sido pagados con Fondo General GOES.</w:t>
      </w:r>
    </w:p>
    <w:p w:rsidR="00C76647" w:rsidRDefault="00C76647" w:rsidP="00C76647">
      <w:pPr>
        <w:spacing w:after="0"/>
        <w:jc w:val="both"/>
        <w:rPr>
          <w:rFonts w:ascii="Times New Roman" w:hAnsi="Times New Roman"/>
          <w:sz w:val="24"/>
          <w:szCs w:val="24"/>
        </w:rPr>
      </w:pPr>
    </w:p>
    <w:p w:rsidR="00C76647" w:rsidRPr="00C76647" w:rsidRDefault="00C76647" w:rsidP="00C76647">
      <w:pPr>
        <w:spacing w:after="0"/>
        <w:jc w:val="both"/>
        <w:rPr>
          <w:rFonts w:ascii="Times New Roman" w:hAnsi="Times New Roman"/>
          <w:b/>
          <w:sz w:val="24"/>
          <w:szCs w:val="24"/>
        </w:rPr>
      </w:pPr>
      <w:r w:rsidRPr="00C76647">
        <w:rPr>
          <w:rFonts w:ascii="Times New Roman" w:hAnsi="Times New Roman"/>
          <w:b/>
          <w:sz w:val="24"/>
          <w:szCs w:val="24"/>
        </w:rPr>
        <w:t>Financiamiento con Fondo TIU</w:t>
      </w:r>
    </w:p>
    <w:p w:rsidR="00F14FBB" w:rsidRDefault="008F389D" w:rsidP="00C517E0">
      <w:pPr>
        <w:spacing w:after="0"/>
        <w:ind w:firstLine="708"/>
        <w:jc w:val="both"/>
        <w:rPr>
          <w:rFonts w:ascii="Times New Roman" w:hAnsi="Times New Roman"/>
          <w:sz w:val="24"/>
          <w:szCs w:val="24"/>
        </w:rPr>
      </w:pPr>
      <w:r>
        <w:rPr>
          <w:rFonts w:ascii="Times New Roman" w:hAnsi="Times New Roman"/>
          <w:sz w:val="24"/>
          <w:szCs w:val="24"/>
        </w:rPr>
        <w:t>Respondiendo a las mismas interrogantes con r</w:t>
      </w:r>
      <w:r w:rsidR="00F14FBB">
        <w:rPr>
          <w:rFonts w:ascii="Times New Roman" w:hAnsi="Times New Roman"/>
          <w:sz w:val="24"/>
          <w:szCs w:val="24"/>
        </w:rPr>
        <w:t xml:space="preserve">especto al Fondo </w:t>
      </w:r>
      <w:r w:rsidR="00C20E57">
        <w:rPr>
          <w:rFonts w:ascii="Times New Roman" w:hAnsi="Times New Roman"/>
          <w:sz w:val="24"/>
          <w:szCs w:val="24"/>
        </w:rPr>
        <w:t xml:space="preserve">de </w:t>
      </w:r>
      <w:r w:rsidR="00F14FBB">
        <w:rPr>
          <w:rFonts w:ascii="Times New Roman" w:hAnsi="Times New Roman"/>
          <w:sz w:val="24"/>
          <w:szCs w:val="24"/>
        </w:rPr>
        <w:t>T</w:t>
      </w:r>
      <w:r w:rsidR="00C20E57">
        <w:rPr>
          <w:rFonts w:ascii="Times New Roman" w:hAnsi="Times New Roman"/>
          <w:sz w:val="24"/>
          <w:szCs w:val="24"/>
        </w:rPr>
        <w:t xml:space="preserve">iendas </w:t>
      </w:r>
      <w:r w:rsidR="00F14FBB">
        <w:rPr>
          <w:rFonts w:ascii="Times New Roman" w:hAnsi="Times New Roman"/>
          <w:sz w:val="24"/>
          <w:szCs w:val="24"/>
        </w:rPr>
        <w:t>I</w:t>
      </w:r>
      <w:r w:rsidR="00C20E57">
        <w:rPr>
          <w:rFonts w:ascii="Times New Roman" w:hAnsi="Times New Roman"/>
          <w:sz w:val="24"/>
          <w:szCs w:val="24"/>
        </w:rPr>
        <w:t>nstitucionales</w:t>
      </w:r>
      <w:r>
        <w:rPr>
          <w:rFonts w:ascii="Times New Roman" w:hAnsi="Times New Roman"/>
          <w:sz w:val="24"/>
          <w:szCs w:val="24"/>
        </w:rPr>
        <w:t>, se informa que el monto que esta Dirección General, invierte mensual y anualmente en arrendamiento de instalaciones, como edificios, parqueos, microbuses y buses para el transporte del personal, y casas donde funcionan las diversas unidades y oficinas, pagados por medio de ese Fondo TIU, son tres inmuebles conforme al detalle a continuación:</w:t>
      </w:r>
    </w:p>
    <w:tbl>
      <w:tblPr>
        <w:tblStyle w:val="Tablaconcuadrcula"/>
        <w:tblW w:w="0" w:type="auto"/>
        <w:jc w:val="center"/>
        <w:tblLook w:val="04A0" w:firstRow="1" w:lastRow="0" w:firstColumn="1" w:lastColumn="0" w:noHBand="0" w:noVBand="1"/>
      </w:tblPr>
      <w:tblGrid>
        <w:gridCol w:w="511"/>
        <w:gridCol w:w="3721"/>
        <w:gridCol w:w="1566"/>
        <w:gridCol w:w="1356"/>
      </w:tblGrid>
      <w:tr w:rsidR="008F389D" w:rsidRPr="008F389D" w:rsidTr="00C76647">
        <w:trPr>
          <w:jc w:val="center"/>
        </w:trPr>
        <w:tc>
          <w:tcPr>
            <w:tcW w:w="0" w:type="auto"/>
          </w:tcPr>
          <w:p w:rsidR="008F389D" w:rsidRPr="008F389D" w:rsidRDefault="008F389D" w:rsidP="00C517E0">
            <w:pPr>
              <w:jc w:val="both"/>
              <w:rPr>
                <w:rFonts w:ascii="Times New Roman" w:hAnsi="Times New Roman"/>
                <w:b/>
                <w:sz w:val="20"/>
                <w:szCs w:val="24"/>
              </w:rPr>
            </w:pPr>
            <w:r w:rsidRPr="008F389D">
              <w:rPr>
                <w:rFonts w:ascii="Times New Roman" w:hAnsi="Times New Roman"/>
                <w:b/>
                <w:sz w:val="20"/>
                <w:szCs w:val="24"/>
              </w:rPr>
              <w:t>No.</w:t>
            </w:r>
          </w:p>
        </w:tc>
        <w:tc>
          <w:tcPr>
            <w:tcW w:w="0" w:type="auto"/>
          </w:tcPr>
          <w:p w:rsidR="008F389D" w:rsidRPr="008F389D" w:rsidRDefault="008F389D" w:rsidP="00C517E0">
            <w:pPr>
              <w:jc w:val="both"/>
              <w:rPr>
                <w:rFonts w:ascii="Times New Roman" w:hAnsi="Times New Roman"/>
                <w:b/>
                <w:sz w:val="20"/>
                <w:szCs w:val="24"/>
              </w:rPr>
            </w:pPr>
            <w:r w:rsidRPr="008F389D">
              <w:rPr>
                <w:rFonts w:ascii="Times New Roman" w:hAnsi="Times New Roman"/>
                <w:b/>
                <w:sz w:val="20"/>
                <w:szCs w:val="24"/>
              </w:rPr>
              <w:t>Unidad</w:t>
            </w:r>
          </w:p>
        </w:tc>
        <w:tc>
          <w:tcPr>
            <w:tcW w:w="0" w:type="auto"/>
          </w:tcPr>
          <w:p w:rsidR="008F389D" w:rsidRPr="008F389D" w:rsidRDefault="008F389D" w:rsidP="00C517E0">
            <w:pPr>
              <w:jc w:val="both"/>
              <w:rPr>
                <w:rFonts w:ascii="Times New Roman" w:hAnsi="Times New Roman"/>
                <w:b/>
                <w:sz w:val="20"/>
                <w:szCs w:val="24"/>
              </w:rPr>
            </w:pPr>
            <w:r w:rsidRPr="008F389D">
              <w:rPr>
                <w:rFonts w:ascii="Times New Roman" w:hAnsi="Times New Roman"/>
                <w:b/>
                <w:sz w:val="20"/>
                <w:szCs w:val="24"/>
              </w:rPr>
              <w:t>Monto Mensual</w:t>
            </w:r>
          </w:p>
        </w:tc>
        <w:tc>
          <w:tcPr>
            <w:tcW w:w="0" w:type="auto"/>
          </w:tcPr>
          <w:p w:rsidR="008F389D" w:rsidRPr="008F389D" w:rsidRDefault="008F389D" w:rsidP="00C76647">
            <w:pPr>
              <w:jc w:val="both"/>
              <w:rPr>
                <w:rFonts w:ascii="Times New Roman" w:hAnsi="Times New Roman"/>
                <w:b/>
                <w:sz w:val="20"/>
                <w:szCs w:val="24"/>
              </w:rPr>
            </w:pPr>
            <w:r w:rsidRPr="008F389D">
              <w:rPr>
                <w:rFonts w:ascii="Times New Roman" w:hAnsi="Times New Roman"/>
                <w:b/>
                <w:sz w:val="20"/>
                <w:szCs w:val="24"/>
              </w:rPr>
              <w:t>Monto Anual</w:t>
            </w:r>
          </w:p>
        </w:tc>
      </w:tr>
      <w:tr w:rsidR="008F389D" w:rsidRPr="008F389D" w:rsidTr="00C76647">
        <w:trPr>
          <w:jc w:val="center"/>
        </w:trPr>
        <w:tc>
          <w:tcPr>
            <w:tcW w:w="0" w:type="auto"/>
          </w:tcPr>
          <w:p w:rsidR="008F389D" w:rsidRPr="008F389D" w:rsidRDefault="008F389D" w:rsidP="00C517E0">
            <w:pPr>
              <w:jc w:val="both"/>
              <w:rPr>
                <w:rFonts w:ascii="Times New Roman" w:hAnsi="Times New Roman"/>
                <w:sz w:val="20"/>
                <w:szCs w:val="24"/>
              </w:rPr>
            </w:pPr>
            <w:r>
              <w:rPr>
                <w:rFonts w:ascii="Times New Roman" w:hAnsi="Times New Roman"/>
                <w:sz w:val="20"/>
                <w:szCs w:val="24"/>
              </w:rPr>
              <w:t>1</w:t>
            </w:r>
          </w:p>
        </w:tc>
        <w:tc>
          <w:tcPr>
            <w:tcW w:w="0" w:type="auto"/>
          </w:tcPr>
          <w:p w:rsidR="008F389D" w:rsidRPr="008F389D" w:rsidRDefault="005D578F" w:rsidP="00C517E0">
            <w:pPr>
              <w:jc w:val="both"/>
              <w:rPr>
                <w:rFonts w:ascii="Times New Roman" w:hAnsi="Times New Roman"/>
                <w:sz w:val="20"/>
                <w:szCs w:val="24"/>
              </w:rPr>
            </w:pPr>
            <w:r>
              <w:rPr>
                <w:rFonts w:ascii="Times New Roman" w:hAnsi="Times New Roman"/>
                <w:sz w:val="20"/>
                <w:szCs w:val="24"/>
              </w:rPr>
              <w:t>Personal de Seguridad</w:t>
            </w:r>
          </w:p>
        </w:tc>
        <w:tc>
          <w:tcPr>
            <w:tcW w:w="0" w:type="auto"/>
          </w:tcPr>
          <w:p w:rsidR="008F389D" w:rsidRPr="008F389D" w:rsidRDefault="005D578F" w:rsidP="00C517E0">
            <w:pPr>
              <w:jc w:val="both"/>
              <w:rPr>
                <w:rFonts w:ascii="Times New Roman" w:hAnsi="Times New Roman"/>
                <w:sz w:val="20"/>
                <w:szCs w:val="24"/>
              </w:rPr>
            </w:pPr>
            <w:r>
              <w:rPr>
                <w:rFonts w:ascii="Times New Roman" w:hAnsi="Times New Roman"/>
                <w:sz w:val="20"/>
                <w:szCs w:val="24"/>
              </w:rPr>
              <w:t>$ 150.00</w:t>
            </w:r>
          </w:p>
        </w:tc>
        <w:tc>
          <w:tcPr>
            <w:tcW w:w="0" w:type="auto"/>
          </w:tcPr>
          <w:p w:rsidR="008F389D" w:rsidRPr="008F389D" w:rsidRDefault="005D578F" w:rsidP="00C76647">
            <w:pPr>
              <w:jc w:val="both"/>
              <w:rPr>
                <w:rFonts w:ascii="Times New Roman" w:hAnsi="Times New Roman"/>
                <w:sz w:val="20"/>
                <w:szCs w:val="24"/>
              </w:rPr>
            </w:pPr>
            <w:r>
              <w:rPr>
                <w:rFonts w:ascii="Times New Roman" w:hAnsi="Times New Roman"/>
                <w:sz w:val="20"/>
                <w:szCs w:val="24"/>
              </w:rPr>
              <w:t>$ 1,800.00</w:t>
            </w:r>
          </w:p>
        </w:tc>
      </w:tr>
      <w:tr w:rsidR="008F389D" w:rsidRPr="008F389D" w:rsidTr="00C76647">
        <w:trPr>
          <w:jc w:val="center"/>
        </w:trPr>
        <w:tc>
          <w:tcPr>
            <w:tcW w:w="0" w:type="auto"/>
          </w:tcPr>
          <w:p w:rsidR="008F389D" w:rsidRPr="008F389D" w:rsidRDefault="008F389D" w:rsidP="00C517E0">
            <w:pPr>
              <w:jc w:val="both"/>
              <w:rPr>
                <w:rFonts w:ascii="Times New Roman" w:hAnsi="Times New Roman"/>
                <w:sz w:val="20"/>
                <w:szCs w:val="24"/>
              </w:rPr>
            </w:pPr>
            <w:r>
              <w:rPr>
                <w:rFonts w:ascii="Times New Roman" w:hAnsi="Times New Roman"/>
                <w:sz w:val="20"/>
                <w:szCs w:val="24"/>
              </w:rPr>
              <w:t>2</w:t>
            </w:r>
          </w:p>
        </w:tc>
        <w:tc>
          <w:tcPr>
            <w:tcW w:w="0" w:type="auto"/>
          </w:tcPr>
          <w:p w:rsidR="008F389D" w:rsidRPr="008F389D" w:rsidRDefault="005D578F" w:rsidP="005D578F">
            <w:pPr>
              <w:jc w:val="both"/>
              <w:rPr>
                <w:rFonts w:ascii="Times New Roman" w:hAnsi="Times New Roman"/>
                <w:sz w:val="20"/>
                <w:szCs w:val="24"/>
              </w:rPr>
            </w:pPr>
            <w:r>
              <w:rPr>
                <w:rFonts w:ascii="Times New Roman" w:hAnsi="Times New Roman"/>
                <w:sz w:val="20"/>
                <w:szCs w:val="24"/>
              </w:rPr>
              <w:t>OIR</w:t>
            </w:r>
          </w:p>
        </w:tc>
        <w:tc>
          <w:tcPr>
            <w:tcW w:w="0" w:type="auto"/>
          </w:tcPr>
          <w:p w:rsidR="008F389D" w:rsidRPr="008F389D" w:rsidRDefault="005D578F" w:rsidP="00C517E0">
            <w:pPr>
              <w:jc w:val="both"/>
              <w:rPr>
                <w:rFonts w:ascii="Times New Roman" w:hAnsi="Times New Roman"/>
                <w:sz w:val="20"/>
                <w:szCs w:val="24"/>
              </w:rPr>
            </w:pPr>
            <w:r>
              <w:rPr>
                <w:rFonts w:ascii="Times New Roman" w:hAnsi="Times New Roman"/>
                <w:sz w:val="20"/>
                <w:szCs w:val="24"/>
              </w:rPr>
              <w:t>$ 700.00</w:t>
            </w:r>
          </w:p>
        </w:tc>
        <w:tc>
          <w:tcPr>
            <w:tcW w:w="0" w:type="auto"/>
          </w:tcPr>
          <w:p w:rsidR="008F389D" w:rsidRPr="008F389D" w:rsidRDefault="005D578F" w:rsidP="005D578F">
            <w:pPr>
              <w:jc w:val="both"/>
              <w:rPr>
                <w:rFonts w:ascii="Times New Roman" w:hAnsi="Times New Roman"/>
                <w:sz w:val="20"/>
                <w:szCs w:val="24"/>
              </w:rPr>
            </w:pPr>
            <w:r>
              <w:rPr>
                <w:rFonts w:ascii="Times New Roman" w:hAnsi="Times New Roman"/>
                <w:sz w:val="20"/>
                <w:szCs w:val="24"/>
              </w:rPr>
              <w:t>$ 8,400.00</w:t>
            </w:r>
          </w:p>
        </w:tc>
      </w:tr>
      <w:tr w:rsidR="008F389D" w:rsidRPr="008F389D" w:rsidTr="00C76647">
        <w:trPr>
          <w:jc w:val="center"/>
        </w:trPr>
        <w:tc>
          <w:tcPr>
            <w:tcW w:w="0" w:type="auto"/>
          </w:tcPr>
          <w:p w:rsidR="008F389D" w:rsidRPr="008F389D" w:rsidRDefault="008F389D" w:rsidP="00C517E0">
            <w:pPr>
              <w:jc w:val="both"/>
              <w:rPr>
                <w:rFonts w:ascii="Times New Roman" w:hAnsi="Times New Roman"/>
                <w:sz w:val="20"/>
                <w:szCs w:val="24"/>
              </w:rPr>
            </w:pPr>
            <w:r>
              <w:rPr>
                <w:rFonts w:ascii="Times New Roman" w:hAnsi="Times New Roman"/>
                <w:sz w:val="20"/>
                <w:szCs w:val="24"/>
              </w:rPr>
              <w:t>3</w:t>
            </w:r>
          </w:p>
        </w:tc>
        <w:tc>
          <w:tcPr>
            <w:tcW w:w="0" w:type="auto"/>
          </w:tcPr>
          <w:p w:rsidR="008F389D" w:rsidRPr="008F389D" w:rsidRDefault="005D578F" w:rsidP="00C517E0">
            <w:pPr>
              <w:jc w:val="both"/>
              <w:rPr>
                <w:rFonts w:ascii="Times New Roman" w:hAnsi="Times New Roman"/>
                <w:sz w:val="20"/>
                <w:szCs w:val="24"/>
              </w:rPr>
            </w:pPr>
            <w:r>
              <w:rPr>
                <w:rFonts w:ascii="Times New Roman" w:hAnsi="Times New Roman"/>
                <w:sz w:val="20"/>
                <w:szCs w:val="24"/>
              </w:rPr>
              <w:t>Sub dirección General de Asuntos Jurídicos</w:t>
            </w:r>
          </w:p>
        </w:tc>
        <w:tc>
          <w:tcPr>
            <w:tcW w:w="0" w:type="auto"/>
          </w:tcPr>
          <w:p w:rsidR="008F389D" w:rsidRPr="008F389D" w:rsidRDefault="005D578F" w:rsidP="00C517E0">
            <w:pPr>
              <w:jc w:val="both"/>
              <w:rPr>
                <w:rFonts w:ascii="Times New Roman" w:hAnsi="Times New Roman"/>
                <w:sz w:val="20"/>
                <w:szCs w:val="24"/>
              </w:rPr>
            </w:pPr>
            <w:r>
              <w:rPr>
                <w:rFonts w:ascii="Times New Roman" w:hAnsi="Times New Roman"/>
                <w:sz w:val="20"/>
                <w:szCs w:val="24"/>
              </w:rPr>
              <w:t>$ 700.00</w:t>
            </w:r>
          </w:p>
        </w:tc>
        <w:tc>
          <w:tcPr>
            <w:tcW w:w="0" w:type="auto"/>
          </w:tcPr>
          <w:p w:rsidR="008F389D" w:rsidRPr="008F389D" w:rsidRDefault="005D578F" w:rsidP="00C76647">
            <w:pPr>
              <w:jc w:val="both"/>
              <w:rPr>
                <w:rFonts w:ascii="Times New Roman" w:hAnsi="Times New Roman"/>
                <w:sz w:val="20"/>
                <w:szCs w:val="24"/>
              </w:rPr>
            </w:pPr>
            <w:r>
              <w:rPr>
                <w:rFonts w:ascii="Times New Roman" w:hAnsi="Times New Roman"/>
                <w:sz w:val="20"/>
                <w:szCs w:val="24"/>
              </w:rPr>
              <w:t>$ 8,400.00</w:t>
            </w:r>
          </w:p>
        </w:tc>
      </w:tr>
    </w:tbl>
    <w:p w:rsidR="008F389D" w:rsidRDefault="005D578F" w:rsidP="00C517E0">
      <w:pPr>
        <w:spacing w:after="0"/>
        <w:ind w:firstLine="708"/>
        <w:jc w:val="both"/>
        <w:rPr>
          <w:rFonts w:ascii="Times New Roman" w:hAnsi="Times New Roman"/>
          <w:sz w:val="24"/>
          <w:szCs w:val="24"/>
        </w:rPr>
      </w:pPr>
      <w:r>
        <w:rPr>
          <w:rFonts w:ascii="Times New Roman" w:hAnsi="Times New Roman"/>
          <w:sz w:val="24"/>
          <w:szCs w:val="24"/>
        </w:rPr>
        <w:lastRenderedPageBreak/>
        <w:t>Respecto a ese monto que se utiliza para arrendamientos cuanto representa en el porcentaje del presupuesto que se le asigna a esta Dirección General se informa que el monto Fon</w:t>
      </w:r>
      <w:r w:rsidR="00C20E57">
        <w:rPr>
          <w:rFonts w:ascii="Times New Roman" w:hAnsi="Times New Roman"/>
          <w:sz w:val="24"/>
          <w:szCs w:val="24"/>
        </w:rPr>
        <w:t>d</w:t>
      </w:r>
      <w:r>
        <w:rPr>
          <w:rFonts w:ascii="Times New Roman" w:hAnsi="Times New Roman"/>
          <w:sz w:val="24"/>
          <w:szCs w:val="24"/>
        </w:rPr>
        <w:t>o TIU, no depende del presupuesto de la Dirección General, sino que depende de las utilidades generadas de las ventas de las tiendas institucionales que corresponden al cuatro por ciento de sus utilidades.</w:t>
      </w:r>
    </w:p>
    <w:p w:rsidR="005D578F" w:rsidRDefault="005D578F" w:rsidP="00C517E0">
      <w:pPr>
        <w:spacing w:after="0"/>
        <w:ind w:firstLine="708"/>
        <w:jc w:val="both"/>
        <w:rPr>
          <w:rFonts w:ascii="Times New Roman" w:hAnsi="Times New Roman"/>
          <w:sz w:val="24"/>
          <w:szCs w:val="24"/>
        </w:rPr>
      </w:pPr>
      <w:r>
        <w:rPr>
          <w:rFonts w:ascii="Times New Roman" w:hAnsi="Times New Roman"/>
          <w:sz w:val="24"/>
          <w:szCs w:val="24"/>
        </w:rPr>
        <w:t>Respecto a mencionar la cantidad de edificios, parqueos, casas, buses y microbuses que se arrenda por departamento con su respectivo costo, se informa que esa información</w:t>
      </w:r>
      <w:r w:rsidR="003C5037">
        <w:rPr>
          <w:rFonts w:ascii="Times New Roman" w:hAnsi="Times New Roman"/>
          <w:sz w:val="24"/>
          <w:szCs w:val="24"/>
        </w:rPr>
        <w:t>, salvo los datos citados,</w:t>
      </w:r>
      <w:r>
        <w:rPr>
          <w:rFonts w:ascii="Times New Roman" w:hAnsi="Times New Roman"/>
          <w:sz w:val="24"/>
          <w:szCs w:val="24"/>
        </w:rPr>
        <w:t xml:space="preserve"> no </w:t>
      </w:r>
      <w:r w:rsidR="003C5037">
        <w:rPr>
          <w:rFonts w:ascii="Times New Roman" w:hAnsi="Times New Roman"/>
          <w:sz w:val="24"/>
          <w:szCs w:val="24"/>
        </w:rPr>
        <w:t>corresponde al Fondo TIU, sino al Fondo General GOES conforme se adjunta a esta resolución.</w:t>
      </w:r>
    </w:p>
    <w:p w:rsidR="003C5037" w:rsidRDefault="003C5037" w:rsidP="00C517E0">
      <w:pPr>
        <w:spacing w:after="0"/>
        <w:ind w:firstLine="708"/>
        <w:jc w:val="both"/>
        <w:rPr>
          <w:rFonts w:ascii="Times New Roman" w:hAnsi="Times New Roman"/>
          <w:sz w:val="24"/>
          <w:szCs w:val="24"/>
        </w:rPr>
      </w:pPr>
      <w:r>
        <w:rPr>
          <w:rFonts w:ascii="Times New Roman" w:hAnsi="Times New Roman"/>
          <w:sz w:val="24"/>
          <w:szCs w:val="24"/>
        </w:rPr>
        <w:t>Respecto a cuanto ha gastado esta Dirección General en arrendamiento en los últimos cinco años, mencionándolos por año, se informa que por medio del Fondo TIU se ha gastado en arrendamiento en los últimos años, lo siguiente:</w:t>
      </w:r>
    </w:p>
    <w:tbl>
      <w:tblPr>
        <w:tblStyle w:val="Tablaconcuadrcula"/>
        <w:tblW w:w="0" w:type="auto"/>
        <w:jc w:val="center"/>
        <w:tblLook w:val="04A0" w:firstRow="1" w:lastRow="0" w:firstColumn="1" w:lastColumn="0" w:noHBand="0" w:noVBand="1"/>
      </w:tblPr>
      <w:tblGrid>
        <w:gridCol w:w="1066"/>
        <w:gridCol w:w="1066"/>
        <w:gridCol w:w="1066"/>
        <w:gridCol w:w="1166"/>
        <w:gridCol w:w="1166"/>
        <w:gridCol w:w="1166"/>
      </w:tblGrid>
      <w:tr w:rsidR="003C5037" w:rsidRPr="003C5037" w:rsidTr="003C5037">
        <w:trPr>
          <w:jc w:val="center"/>
        </w:trPr>
        <w:tc>
          <w:tcPr>
            <w:tcW w:w="0" w:type="auto"/>
          </w:tcPr>
          <w:p w:rsidR="003C5037" w:rsidRPr="003C5037" w:rsidRDefault="003C5037" w:rsidP="00C517E0">
            <w:pPr>
              <w:jc w:val="both"/>
              <w:rPr>
                <w:rFonts w:ascii="Times New Roman" w:hAnsi="Times New Roman"/>
                <w:b/>
                <w:sz w:val="20"/>
                <w:szCs w:val="24"/>
              </w:rPr>
            </w:pPr>
            <w:r w:rsidRPr="003C5037">
              <w:rPr>
                <w:rFonts w:ascii="Times New Roman" w:hAnsi="Times New Roman"/>
                <w:b/>
                <w:sz w:val="20"/>
                <w:szCs w:val="24"/>
              </w:rPr>
              <w:t>2011</w:t>
            </w:r>
          </w:p>
        </w:tc>
        <w:tc>
          <w:tcPr>
            <w:tcW w:w="0" w:type="auto"/>
          </w:tcPr>
          <w:p w:rsidR="003C5037" w:rsidRPr="003C5037" w:rsidRDefault="003C5037" w:rsidP="00C517E0">
            <w:pPr>
              <w:jc w:val="both"/>
              <w:rPr>
                <w:rFonts w:ascii="Times New Roman" w:hAnsi="Times New Roman"/>
                <w:b/>
                <w:sz w:val="20"/>
                <w:szCs w:val="24"/>
              </w:rPr>
            </w:pPr>
            <w:r w:rsidRPr="003C5037">
              <w:rPr>
                <w:rFonts w:ascii="Times New Roman" w:hAnsi="Times New Roman"/>
                <w:b/>
                <w:sz w:val="20"/>
                <w:szCs w:val="24"/>
              </w:rPr>
              <w:t>2012</w:t>
            </w:r>
          </w:p>
        </w:tc>
        <w:tc>
          <w:tcPr>
            <w:tcW w:w="0" w:type="auto"/>
          </w:tcPr>
          <w:p w:rsidR="003C5037" w:rsidRPr="003C5037" w:rsidRDefault="003C5037" w:rsidP="00C517E0">
            <w:pPr>
              <w:jc w:val="both"/>
              <w:rPr>
                <w:rFonts w:ascii="Times New Roman" w:hAnsi="Times New Roman"/>
                <w:b/>
                <w:sz w:val="20"/>
                <w:szCs w:val="24"/>
              </w:rPr>
            </w:pPr>
            <w:r w:rsidRPr="003C5037">
              <w:rPr>
                <w:rFonts w:ascii="Times New Roman" w:hAnsi="Times New Roman"/>
                <w:b/>
                <w:sz w:val="20"/>
                <w:szCs w:val="24"/>
              </w:rPr>
              <w:t>2013</w:t>
            </w:r>
          </w:p>
        </w:tc>
        <w:tc>
          <w:tcPr>
            <w:tcW w:w="0" w:type="auto"/>
          </w:tcPr>
          <w:p w:rsidR="003C5037" w:rsidRPr="003C5037" w:rsidRDefault="003C5037" w:rsidP="003C5037">
            <w:pPr>
              <w:jc w:val="both"/>
              <w:rPr>
                <w:rFonts w:ascii="Times New Roman" w:hAnsi="Times New Roman"/>
                <w:b/>
                <w:sz w:val="20"/>
                <w:szCs w:val="24"/>
              </w:rPr>
            </w:pPr>
            <w:r w:rsidRPr="003C5037">
              <w:rPr>
                <w:rFonts w:ascii="Times New Roman" w:hAnsi="Times New Roman"/>
                <w:b/>
                <w:sz w:val="20"/>
                <w:szCs w:val="24"/>
              </w:rPr>
              <w:t>2014</w:t>
            </w:r>
          </w:p>
        </w:tc>
        <w:tc>
          <w:tcPr>
            <w:tcW w:w="0" w:type="auto"/>
          </w:tcPr>
          <w:p w:rsidR="003C5037" w:rsidRPr="003C5037" w:rsidRDefault="003C5037" w:rsidP="00C517E0">
            <w:pPr>
              <w:jc w:val="both"/>
              <w:rPr>
                <w:rFonts w:ascii="Times New Roman" w:hAnsi="Times New Roman"/>
                <w:b/>
                <w:sz w:val="20"/>
                <w:szCs w:val="24"/>
              </w:rPr>
            </w:pPr>
            <w:r w:rsidRPr="003C5037">
              <w:rPr>
                <w:rFonts w:ascii="Times New Roman" w:hAnsi="Times New Roman"/>
                <w:b/>
                <w:sz w:val="20"/>
                <w:szCs w:val="24"/>
              </w:rPr>
              <w:t>2015</w:t>
            </w:r>
          </w:p>
        </w:tc>
        <w:tc>
          <w:tcPr>
            <w:tcW w:w="0" w:type="auto"/>
          </w:tcPr>
          <w:p w:rsidR="003C5037" w:rsidRPr="003C5037" w:rsidRDefault="003C5037" w:rsidP="003C5037">
            <w:pPr>
              <w:jc w:val="both"/>
              <w:rPr>
                <w:rFonts w:ascii="Times New Roman" w:hAnsi="Times New Roman"/>
                <w:b/>
                <w:sz w:val="20"/>
                <w:szCs w:val="24"/>
              </w:rPr>
            </w:pPr>
            <w:r w:rsidRPr="003C5037">
              <w:rPr>
                <w:rFonts w:ascii="Times New Roman" w:hAnsi="Times New Roman"/>
                <w:b/>
                <w:sz w:val="20"/>
                <w:szCs w:val="24"/>
              </w:rPr>
              <w:t>2016</w:t>
            </w:r>
          </w:p>
        </w:tc>
      </w:tr>
      <w:tr w:rsidR="003C5037" w:rsidRPr="003C5037" w:rsidTr="003C5037">
        <w:trPr>
          <w:jc w:val="center"/>
        </w:trPr>
        <w:tc>
          <w:tcPr>
            <w:tcW w:w="0" w:type="auto"/>
          </w:tcPr>
          <w:p w:rsidR="003C5037" w:rsidRPr="003C5037" w:rsidRDefault="003C5037" w:rsidP="00C517E0">
            <w:pPr>
              <w:jc w:val="both"/>
              <w:rPr>
                <w:rFonts w:ascii="Times New Roman" w:hAnsi="Times New Roman"/>
                <w:sz w:val="20"/>
                <w:szCs w:val="24"/>
              </w:rPr>
            </w:pPr>
            <w:r>
              <w:rPr>
                <w:rFonts w:ascii="Times New Roman" w:hAnsi="Times New Roman"/>
                <w:sz w:val="20"/>
                <w:szCs w:val="24"/>
              </w:rPr>
              <w:t>$ 2,100.00</w:t>
            </w:r>
          </w:p>
        </w:tc>
        <w:tc>
          <w:tcPr>
            <w:tcW w:w="0" w:type="auto"/>
          </w:tcPr>
          <w:p w:rsidR="003C5037" w:rsidRPr="003C5037" w:rsidRDefault="003C5037" w:rsidP="00C517E0">
            <w:pPr>
              <w:jc w:val="both"/>
              <w:rPr>
                <w:rFonts w:ascii="Times New Roman" w:hAnsi="Times New Roman"/>
                <w:sz w:val="20"/>
                <w:szCs w:val="24"/>
              </w:rPr>
            </w:pPr>
            <w:r>
              <w:rPr>
                <w:rFonts w:ascii="Times New Roman" w:hAnsi="Times New Roman"/>
                <w:sz w:val="20"/>
                <w:szCs w:val="24"/>
              </w:rPr>
              <w:t>$ 8,400.00</w:t>
            </w:r>
          </w:p>
        </w:tc>
        <w:tc>
          <w:tcPr>
            <w:tcW w:w="0" w:type="auto"/>
          </w:tcPr>
          <w:p w:rsidR="003C5037" w:rsidRPr="003C5037" w:rsidRDefault="003C5037" w:rsidP="00C517E0">
            <w:pPr>
              <w:jc w:val="both"/>
              <w:rPr>
                <w:rFonts w:ascii="Times New Roman" w:hAnsi="Times New Roman"/>
                <w:sz w:val="20"/>
                <w:szCs w:val="24"/>
              </w:rPr>
            </w:pPr>
            <w:r>
              <w:rPr>
                <w:rFonts w:ascii="Times New Roman" w:hAnsi="Times New Roman"/>
                <w:sz w:val="20"/>
                <w:szCs w:val="24"/>
              </w:rPr>
              <w:t>$ 8,400.00</w:t>
            </w:r>
          </w:p>
        </w:tc>
        <w:tc>
          <w:tcPr>
            <w:tcW w:w="0" w:type="auto"/>
          </w:tcPr>
          <w:p w:rsidR="003C5037" w:rsidRPr="003C5037" w:rsidRDefault="003C5037" w:rsidP="00C517E0">
            <w:pPr>
              <w:jc w:val="both"/>
              <w:rPr>
                <w:rFonts w:ascii="Times New Roman" w:hAnsi="Times New Roman"/>
                <w:sz w:val="20"/>
                <w:szCs w:val="24"/>
              </w:rPr>
            </w:pPr>
            <w:r>
              <w:rPr>
                <w:rFonts w:ascii="Times New Roman" w:hAnsi="Times New Roman"/>
                <w:sz w:val="20"/>
                <w:szCs w:val="24"/>
              </w:rPr>
              <w:t>$ 10,200.00</w:t>
            </w:r>
          </w:p>
        </w:tc>
        <w:tc>
          <w:tcPr>
            <w:tcW w:w="0" w:type="auto"/>
          </w:tcPr>
          <w:p w:rsidR="003C5037" w:rsidRPr="003C5037" w:rsidRDefault="003C5037" w:rsidP="00C517E0">
            <w:pPr>
              <w:jc w:val="both"/>
              <w:rPr>
                <w:rFonts w:ascii="Times New Roman" w:hAnsi="Times New Roman"/>
                <w:sz w:val="20"/>
                <w:szCs w:val="24"/>
              </w:rPr>
            </w:pPr>
            <w:r>
              <w:rPr>
                <w:rFonts w:ascii="Times New Roman" w:hAnsi="Times New Roman"/>
                <w:sz w:val="20"/>
                <w:szCs w:val="24"/>
              </w:rPr>
              <w:t>$ 10,200.00</w:t>
            </w:r>
          </w:p>
        </w:tc>
        <w:tc>
          <w:tcPr>
            <w:tcW w:w="0" w:type="auto"/>
          </w:tcPr>
          <w:p w:rsidR="003C5037" w:rsidRPr="003C5037" w:rsidRDefault="003C5037" w:rsidP="003C5037">
            <w:pPr>
              <w:jc w:val="both"/>
              <w:rPr>
                <w:rFonts w:ascii="Times New Roman" w:hAnsi="Times New Roman"/>
                <w:sz w:val="20"/>
                <w:szCs w:val="24"/>
              </w:rPr>
            </w:pPr>
            <w:r>
              <w:rPr>
                <w:rFonts w:ascii="Times New Roman" w:hAnsi="Times New Roman"/>
                <w:sz w:val="20"/>
                <w:szCs w:val="24"/>
              </w:rPr>
              <w:t>$ 10,850.00</w:t>
            </w:r>
          </w:p>
        </w:tc>
      </w:tr>
    </w:tbl>
    <w:p w:rsidR="003C5037" w:rsidRDefault="003C5037" w:rsidP="00C517E0">
      <w:pPr>
        <w:spacing w:after="0"/>
        <w:ind w:firstLine="708"/>
        <w:jc w:val="both"/>
        <w:rPr>
          <w:rFonts w:ascii="Times New Roman" w:hAnsi="Times New Roman"/>
          <w:sz w:val="24"/>
          <w:szCs w:val="24"/>
        </w:rPr>
      </w:pPr>
      <w:r>
        <w:rPr>
          <w:rFonts w:ascii="Times New Roman" w:hAnsi="Times New Roman"/>
          <w:sz w:val="24"/>
          <w:szCs w:val="24"/>
        </w:rPr>
        <w:t>Respecto si existe mora en el pago de arrendamientos y cuál es el monto total que se debe, se informa que, con el Fondo TIU, actualmente no existe ninguna mora.</w:t>
      </w:r>
    </w:p>
    <w:p w:rsidR="00C517E0" w:rsidRDefault="00C517E0" w:rsidP="00C517E0">
      <w:pPr>
        <w:spacing w:after="0"/>
        <w:jc w:val="both"/>
        <w:rPr>
          <w:rFonts w:ascii="Times New Roman" w:hAnsi="Times New Roman"/>
          <w:sz w:val="24"/>
          <w:szCs w:val="24"/>
        </w:rPr>
      </w:pPr>
    </w:p>
    <w:p w:rsidR="00C76647" w:rsidRPr="00C76647" w:rsidRDefault="00C76647" w:rsidP="00C76647">
      <w:pPr>
        <w:spacing w:after="0"/>
        <w:jc w:val="both"/>
        <w:rPr>
          <w:rFonts w:ascii="Times New Roman" w:hAnsi="Times New Roman"/>
          <w:b/>
          <w:sz w:val="24"/>
          <w:szCs w:val="24"/>
        </w:rPr>
      </w:pPr>
      <w:r w:rsidRPr="00C76647">
        <w:rPr>
          <w:rFonts w:ascii="Times New Roman" w:hAnsi="Times New Roman"/>
          <w:b/>
          <w:sz w:val="24"/>
          <w:szCs w:val="24"/>
        </w:rPr>
        <w:t xml:space="preserve">Financiamiento con Fondo </w:t>
      </w:r>
      <w:r w:rsidR="0045792B">
        <w:rPr>
          <w:rFonts w:ascii="Times New Roman" w:hAnsi="Times New Roman"/>
          <w:b/>
          <w:sz w:val="24"/>
          <w:szCs w:val="24"/>
        </w:rPr>
        <w:t>FAE</w:t>
      </w:r>
    </w:p>
    <w:p w:rsidR="00C76647" w:rsidRDefault="00C76647" w:rsidP="00C517E0">
      <w:pPr>
        <w:spacing w:after="0"/>
        <w:jc w:val="both"/>
        <w:rPr>
          <w:rFonts w:ascii="Times New Roman" w:hAnsi="Times New Roman"/>
          <w:sz w:val="24"/>
          <w:szCs w:val="24"/>
        </w:rPr>
      </w:pPr>
      <w:r>
        <w:rPr>
          <w:rFonts w:ascii="Times New Roman" w:hAnsi="Times New Roman"/>
          <w:sz w:val="24"/>
          <w:szCs w:val="24"/>
        </w:rPr>
        <w:tab/>
        <w:t>El monto de los arrendamientos que se pagan a través de los Fondos de Actividades Especiales mensualmente es $ 5,263.50 y anualmente es $63,162.00</w:t>
      </w:r>
    </w:p>
    <w:p w:rsidR="00C76647" w:rsidRDefault="00C76647" w:rsidP="00C517E0">
      <w:pPr>
        <w:spacing w:after="0"/>
        <w:jc w:val="both"/>
        <w:rPr>
          <w:rFonts w:ascii="Times New Roman" w:hAnsi="Times New Roman"/>
          <w:sz w:val="24"/>
          <w:szCs w:val="24"/>
        </w:rPr>
      </w:pPr>
      <w:r>
        <w:rPr>
          <w:rFonts w:ascii="Times New Roman" w:hAnsi="Times New Roman"/>
          <w:sz w:val="24"/>
          <w:szCs w:val="24"/>
        </w:rPr>
        <w:tab/>
        <w:t>El porcentaje del monto del arrendamiento es de 4.12% del presupuesto.</w:t>
      </w:r>
    </w:p>
    <w:p w:rsidR="00C76647" w:rsidRDefault="00C76647" w:rsidP="00C517E0">
      <w:pPr>
        <w:spacing w:after="0"/>
        <w:jc w:val="both"/>
        <w:rPr>
          <w:rFonts w:ascii="Times New Roman" w:hAnsi="Times New Roman"/>
          <w:sz w:val="24"/>
          <w:szCs w:val="24"/>
        </w:rPr>
      </w:pPr>
      <w:r>
        <w:rPr>
          <w:rFonts w:ascii="Times New Roman" w:hAnsi="Times New Roman"/>
          <w:sz w:val="24"/>
          <w:szCs w:val="24"/>
        </w:rPr>
        <w:tab/>
        <w:t>Se tienen Tres canon de arrendamientos en alquiler.</w:t>
      </w:r>
    </w:p>
    <w:p w:rsidR="00C76647" w:rsidRDefault="00C76647" w:rsidP="00C517E0">
      <w:pPr>
        <w:spacing w:after="0"/>
        <w:jc w:val="both"/>
        <w:rPr>
          <w:rFonts w:ascii="Times New Roman" w:hAnsi="Times New Roman"/>
          <w:sz w:val="24"/>
          <w:szCs w:val="24"/>
        </w:rPr>
      </w:pPr>
      <w:r>
        <w:rPr>
          <w:rFonts w:ascii="Times New Roman" w:hAnsi="Times New Roman"/>
          <w:sz w:val="24"/>
          <w:szCs w:val="24"/>
        </w:rPr>
        <w:tab/>
        <w:t>El monto de arrendamientos</w:t>
      </w:r>
      <w:r w:rsidR="0045792B">
        <w:rPr>
          <w:rFonts w:ascii="Times New Roman" w:hAnsi="Times New Roman"/>
          <w:sz w:val="24"/>
          <w:szCs w:val="24"/>
        </w:rPr>
        <w:t xml:space="preserve"> en los últimos cinco años </w:t>
      </w:r>
      <w:proofErr w:type="gramStart"/>
      <w:r w:rsidR="0045792B">
        <w:rPr>
          <w:rFonts w:ascii="Times New Roman" w:hAnsi="Times New Roman"/>
          <w:sz w:val="24"/>
          <w:szCs w:val="24"/>
        </w:rPr>
        <w:t>son</w:t>
      </w:r>
      <w:proofErr w:type="gramEnd"/>
      <w:r w:rsidR="0045792B">
        <w:rPr>
          <w:rFonts w:ascii="Times New Roman" w:hAnsi="Times New Roman"/>
          <w:sz w:val="24"/>
          <w:szCs w:val="24"/>
        </w:rPr>
        <w:t xml:space="preserve"> de $ 305,274.00</w:t>
      </w:r>
    </w:p>
    <w:p w:rsidR="0045792B" w:rsidRDefault="0045792B" w:rsidP="00C517E0">
      <w:pPr>
        <w:spacing w:after="0"/>
        <w:jc w:val="both"/>
        <w:rPr>
          <w:rFonts w:ascii="Times New Roman" w:hAnsi="Times New Roman"/>
          <w:sz w:val="24"/>
          <w:szCs w:val="24"/>
        </w:rPr>
      </w:pPr>
      <w:r>
        <w:rPr>
          <w:rFonts w:ascii="Times New Roman" w:hAnsi="Times New Roman"/>
          <w:sz w:val="24"/>
          <w:szCs w:val="24"/>
        </w:rPr>
        <w:tab/>
        <w:t xml:space="preserve">No existe mora en los arrendamientos, </w:t>
      </w:r>
      <w:r w:rsidR="00C20E57">
        <w:rPr>
          <w:rFonts w:ascii="Times New Roman" w:hAnsi="Times New Roman"/>
          <w:sz w:val="24"/>
          <w:szCs w:val="24"/>
        </w:rPr>
        <w:t>por</w:t>
      </w:r>
      <w:r>
        <w:rPr>
          <w:rFonts w:ascii="Times New Roman" w:hAnsi="Times New Roman"/>
          <w:sz w:val="24"/>
          <w:szCs w:val="24"/>
        </w:rPr>
        <w:t>que al inicio de cada año se hace un compromiso presupuestario para todo el año.</w:t>
      </w:r>
    </w:p>
    <w:p w:rsidR="0045792B" w:rsidRDefault="0045792B" w:rsidP="00C517E0">
      <w:pPr>
        <w:spacing w:after="0"/>
        <w:jc w:val="both"/>
        <w:rPr>
          <w:rFonts w:ascii="Times New Roman" w:hAnsi="Times New Roman"/>
          <w:sz w:val="24"/>
          <w:szCs w:val="24"/>
        </w:rPr>
      </w:pPr>
    </w:p>
    <w:p w:rsidR="00C517E0" w:rsidRPr="00E67C95" w:rsidRDefault="00C517E0" w:rsidP="00C517E0">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C517E0" w:rsidRDefault="00C517E0" w:rsidP="00C517E0">
      <w:pPr>
        <w:spacing w:after="0"/>
        <w:ind w:firstLine="708"/>
        <w:jc w:val="both"/>
        <w:rPr>
          <w:rFonts w:ascii="Arial" w:hAnsi="Arial" w:cs="Arial"/>
        </w:rPr>
      </w:pPr>
      <w:r w:rsidRPr="00E67C95">
        <w:rPr>
          <w:rFonts w:ascii="Times New Roman" w:hAnsi="Times New Roman"/>
          <w:sz w:val="24"/>
          <w:szCs w:val="24"/>
        </w:rPr>
        <w:t xml:space="preserve">San Salvador, a las </w:t>
      </w:r>
      <w:r>
        <w:rPr>
          <w:rFonts w:ascii="Times New Roman" w:hAnsi="Times New Roman"/>
          <w:sz w:val="24"/>
          <w:szCs w:val="24"/>
        </w:rPr>
        <w:t xml:space="preserve">trece </w:t>
      </w:r>
      <w:r w:rsidRPr="00E67C95">
        <w:rPr>
          <w:rFonts w:ascii="Times New Roman" w:hAnsi="Times New Roman"/>
          <w:sz w:val="24"/>
          <w:szCs w:val="24"/>
        </w:rPr>
        <w:t xml:space="preserve">horas </w:t>
      </w:r>
      <w:r>
        <w:rPr>
          <w:rFonts w:ascii="Times New Roman" w:hAnsi="Times New Roman"/>
          <w:sz w:val="24"/>
          <w:szCs w:val="24"/>
        </w:rPr>
        <w:t xml:space="preserve">con veinte minutos </w:t>
      </w:r>
      <w:r w:rsidRPr="00E67C95">
        <w:rPr>
          <w:rFonts w:ascii="Times New Roman" w:hAnsi="Times New Roman"/>
          <w:sz w:val="24"/>
          <w:szCs w:val="24"/>
        </w:rPr>
        <w:t xml:space="preserve">del día </w:t>
      </w:r>
      <w:r w:rsidR="00C20E57">
        <w:rPr>
          <w:rFonts w:ascii="Times New Roman" w:hAnsi="Times New Roman"/>
          <w:sz w:val="24"/>
          <w:szCs w:val="24"/>
        </w:rPr>
        <w:t>treinta y uno</w:t>
      </w:r>
      <w:r>
        <w:rPr>
          <w:rFonts w:ascii="Times New Roman" w:hAnsi="Times New Roman"/>
          <w:sz w:val="24"/>
          <w:szCs w:val="24"/>
        </w:rPr>
        <w:t xml:space="preserve"> </w:t>
      </w:r>
      <w:r w:rsidRPr="00E67C95">
        <w:rPr>
          <w:rFonts w:ascii="Times New Roman" w:hAnsi="Times New Roman"/>
          <w:sz w:val="24"/>
          <w:szCs w:val="24"/>
        </w:rPr>
        <w:t xml:space="preserve">de </w:t>
      </w:r>
      <w:r>
        <w:rPr>
          <w:rFonts w:ascii="Times New Roman" w:hAnsi="Times New Roman"/>
          <w:sz w:val="24"/>
          <w:szCs w:val="24"/>
        </w:rPr>
        <w:t>agosto</w:t>
      </w:r>
      <w:r w:rsidRPr="00E67C95">
        <w:rPr>
          <w:rFonts w:ascii="Times New Roman" w:hAnsi="Times New Roman"/>
          <w:sz w:val="24"/>
          <w:szCs w:val="24"/>
        </w:rPr>
        <w:t xml:space="preserve"> de dos mil </w:t>
      </w:r>
      <w:r>
        <w:rPr>
          <w:rFonts w:ascii="Times New Roman" w:hAnsi="Times New Roman"/>
          <w:sz w:val="24"/>
          <w:szCs w:val="24"/>
        </w:rPr>
        <w:t>dieciséis</w:t>
      </w:r>
      <w:r w:rsidRPr="00E67C95">
        <w:rPr>
          <w:rFonts w:ascii="Times New Roman" w:hAnsi="Times New Roman"/>
          <w:sz w:val="24"/>
          <w:szCs w:val="24"/>
        </w:rPr>
        <w:t>.</w:t>
      </w:r>
    </w:p>
    <w:p w:rsidR="00C517E0" w:rsidRDefault="00C517E0" w:rsidP="00C517E0">
      <w:pPr>
        <w:spacing w:after="0"/>
        <w:ind w:firstLine="708"/>
        <w:jc w:val="both"/>
        <w:rPr>
          <w:rFonts w:ascii="Times New Roman" w:hAnsi="Times New Roman"/>
          <w:b/>
        </w:rPr>
      </w:pPr>
    </w:p>
    <w:p w:rsidR="00C517E0" w:rsidRDefault="00C517E0" w:rsidP="00C517E0">
      <w:pPr>
        <w:spacing w:after="0"/>
        <w:ind w:firstLine="708"/>
        <w:jc w:val="both"/>
        <w:rPr>
          <w:rFonts w:ascii="Times New Roman" w:hAnsi="Times New Roman"/>
          <w:b/>
        </w:rPr>
      </w:pPr>
    </w:p>
    <w:p w:rsidR="00C517E0" w:rsidRDefault="00C517E0" w:rsidP="00C517E0">
      <w:pPr>
        <w:spacing w:after="0"/>
        <w:ind w:firstLine="708"/>
        <w:jc w:val="both"/>
        <w:rPr>
          <w:rFonts w:ascii="Times New Roman" w:hAnsi="Times New Roman"/>
          <w:b/>
        </w:rPr>
      </w:pPr>
    </w:p>
    <w:p w:rsidR="00C517E0" w:rsidRDefault="00C517E0" w:rsidP="00C517E0">
      <w:pPr>
        <w:spacing w:after="0"/>
        <w:ind w:firstLine="708"/>
        <w:jc w:val="both"/>
        <w:rPr>
          <w:rFonts w:ascii="Times New Roman" w:hAnsi="Times New Roman"/>
          <w:b/>
        </w:rPr>
      </w:pPr>
    </w:p>
    <w:p w:rsidR="0045792B" w:rsidRDefault="0045792B" w:rsidP="00C517E0">
      <w:pPr>
        <w:spacing w:after="0"/>
        <w:ind w:firstLine="708"/>
        <w:jc w:val="both"/>
        <w:rPr>
          <w:rFonts w:ascii="Times New Roman" w:hAnsi="Times New Roman"/>
          <w:b/>
        </w:rPr>
      </w:pPr>
    </w:p>
    <w:p w:rsidR="00C517E0" w:rsidRPr="0002077B" w:rsidRDefault="00C517E0" w:rsidP="00C517E0">
      <w:pPr>
        <w:spacing w:after="0"/>
        <w:ind w:left="3540" w:firstLine="708"/>
        <w:rPr>
          <w:rFonts w:ascii="Times New Roman" w:hAnsi="Times New Roman"/>
          <w:b/>
        </w:rPr>
      </w:pPr>
      <w:r w:rsidRPr="0002077B">
        <w:rPr>
          <w:rFonts w:ascii="Times New Roman" w:hAnsi="Times New Roman"/>
          <w:b/>
        </w:rPr>
        <w:t>Licda. Marlene Janeth Cardona Andrade</w:t>
      </w:r>
    </w:p>
    <w:p w:rsidR="00C517E0" w:rsidRDefault="00C517E0" w:rsidP="00C517E0">
      <w:pPr>
        <w:spacing w:after="0"/>
        <w:ind w:left="3540" w:firstLine="708"/>
        <w:rPr>
          <w:rFonts w:ascii="Times New Roman" w:hAnsi="Times New Roman"/>
          <w:b/>
        </w:rPr>
      </w:pPr>
      <w:r w:rsidRPr="0002077B">
        <w:rPr>
          <w:rFonts w:ascii="Times New Roman" w:hAnsi="Times New Roman"/>
          <w:b/>
        </w:rPr>
        <w:t>Oficial de Información</w:t>
      </w:r>
    </w:p>
    <w:p w:rsidR="00C16D87" w:rsidRPr="0002077B" w:rsidRDefault="00C16D87" w:rsidP="00C517E0">
      <w:pPr>
        <w:spacing w:after="0"/>
        <w:ind w:left="3540" w:firstLine="708"/>
        <w:rPr>
          <w:rFonts w:ascii="Times New Roman" w:hAnsi="Times New Roman"/>
          <w:b/>
        </w:rPr>
      </w:pPr>
    </w:p>
    <w:p w:rsidR="00C517E0" w:rsidRDefault="00C517E0" w:rsidP="00C517E0">
      <w:pPr>
        <w:rPr>
          <w:rFonts w:ascii="Times New Roman" w:hAnsi="Times New Roman"/>
          <w:sz w:val="18"/>
          <w:szCs w:val="18"/>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22</w:t>
      </w:r>
      <w:r w:rsidR="00DD5E6C">
        <w:rPr>
          <w:rFonts w:ascii="Times New Roman" w:hAnsi="Times New Roman"/>
          <w:sz w:val="18"/>
          <w:szCs w:val="18"/>
        </w:rPr>
        <w:t>0</w:t>
      </w:r>
      <w:r w:rsidRPr="00A26B3B">
        <w:rPr>
          <w:rFonts w:ascii="Times New Roman" w:hAnsi="Times New Roman"/>
          <w:sz w:val="18"/>
          <w:szCs w:val="18"/>
        </w:rPr>
        <w:t>/201</w:t>
      </w:r>
      <w:r>
        <w:rPr>
          <w:rFonts w:ascii="Times New Roman" w:hAnsi="Times New Roman"/>
          <w:sz w:val="18"/>
          <w:szCs w:val="18"/>
        </w:rPr>
        <w:t>6</w:t>
      </w:r>
    </w:p>
    <w:p w:rsidR="00613512" w:rsidRDefault="00613512">
      <w:pPr>
        <w:rPr>
          <w:rFonts w:asciiTheme="majorHAnsi" w:hAnsiTheme="majorHAnsi" w:cs="Arial"/>
        </w:rPr>
      </w:pPr>
    </w:p>
    <w:sectPr w:rsidR="00613512"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C37" w:rsidRDefault="00644C37" w:rsidP="00B6563F">
      <w:pPr>
        <w:spacing w:after="0" w:line="240" w:lineRule="auto"/>
      </w:pPr>
      <w:r>
        <w:separator/>
      </w:r>
    </w:p>
  </w:endnote>
  <w:endnote w:type="continuationSeparator" w:id="0">
    <w:p w:rsidR="00644C37" w:rsidRDefault="00644C37"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C37" w:rsidRDefault="00644C37" w:rsidP="00B6563F">
      <w:pPr>
        <w:spacing w:after="0" w:line="240" w:lineRule="auto"/>
      </w:pPr>
      <w:r>
        <w:separator/>
      </w:r>
    </w:p>
  </w:footnote>
  <w:footnote w:type="continuationSeparator" w:id="0">
    <w:p w:rsidR="00644C37" w:rsidRDefault="00644C37"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AB" w:rsidRPr="00B91F36" w:rsidRDefault="00B63EA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75CE9DA9" wp14:editId="12834705">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51485093" wp14:editId="5E47F55C">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B63EAB" w:rsidRPr="00B91F36" w:rsidRDefault="00B63EA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63EAB" w:rsidRPr="00B91F36" w:rsidRDefault="00B63EA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63EAB" w:rsidRPr="00555786" w:rsidRDefault="00B63EA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63EAB" w:rsidRPr="00555786" w:rsidRDefault="00B63EA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099CC216" wp14:editId="5DCE7C8A">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A5F8B"/>
    <w:multiLevelType w:val="hybridMultilevel"/>
    <w:tmpl w:val="DBDE6A7C"/>
    <w:lvl w:ilvl="0" w:tplc="9DC061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D241B"/>
    <w:multiLevelType w:val="hybridMultilevel"/>
    <w:tmpl w:val="6C86CE38"/>
    <w:lvl w:ilvl="0" w:tplc="E3EEDEDC">
      <w:start w:val="1"/>
      <w:numFmt w:val="decimal"/>
      <w:lvlText w:val="%1."/>
      <w:lvlJc w:val="left"/>
      <w:pPr>
        <w:ind w:left="644" w:hanging="360"/>
      </w:pPr>
      <w:rPr>
        <w:rFonts w:hint="default"/>
        <w:b/>
        <w:lang w:val="es-E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2667AD"/>
    <w:multiLevelType w:val="hybridMultilevel"/>
    <w:tmpl w:val="C0924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7D6FF0"/>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007978"/>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6">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22">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993709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26975"/>
    <w:multiLevelType w:val="hybridMultilevel"/>
    <w:tmpl w:val="DFE86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51058E"/>
    <w:multiLevelType w:val="hybridMultilevel"/>
    <w:tmpl w:val="7534C9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652E32"/>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32">
    <w:nsid w:val="5ABD49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3108AC"/>
    <w:multiLevelType w:val="hybridMultilevel"/>
    <w:tmpl w:val="08A61754"/>
    <w:lvl w:ilvl="0" w:tplc="0A12A7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3A5A7F"/>
    <w:multiLevelType w:val="hybridMultilevel"/>
    <w:tmpl w:val="D3FE613E"/>
    <w:lvl w:ilvl="0" w:tplc="FDE4DF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FA74980"/>
    <w:multiLevelType w:val="hybridMultilevel"/>
    <w:tmpl w:val="1B18B8A2"/>
    <w:lvl w:ilvl="0" w:tplc="2FB6C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355751F"/>
    <w:multiLevelType w:val="hybridMultilevel"/>
    <w:tmpl w:val="A530D44C"/>
    <w:lvl w:ilvl="0" w:tplc="133C5C4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3B01649"/>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6664FC"/>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4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8BF2350"/>
    <w:multiLevelType w:val="hybridMultilevel"/>
    <w:tmpl w:val="DC72B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6BEE56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5"/>
  </w:num>
  <w:num w:numId="2">
    <w:abstractNumId w:val="17"/>
  </w:num>
  <w:num w:numId="3">
    <w:abstractNumId w:val="9"/>
  </w:num>
  <w:num w:numId="4">
    <w:abstractNumId w:val="45"/>
  </w:num>
  <w:num w:numId="5">
    <w:abstractNumId w:val="33"/>
  </w:num>
  <w:num w:numId="6">
    <w:abstractNumId w:val="27"/>
  </w:num>
  <w:num w:numId="7">
    <w:abstractNumId w:val="50"/>
  </w:num>
  <w:num w:numId="8">
    <w:abstractNumId w:val="37"/>
  </w:num>
  <w:num w:numId="9">
    <w:abstractNumId w:val="30"/>
  </w:num>
  <w:num w:numId="10">
    <w:abstractNumId w:val="22"/>
  </w:num>
  <w:num w:numId="11">
    <w:abstractNumId w:val="16"/>
  </w:num>
  <w:num w:numId="12">
    <w:abstractNumId w:val="5"/>
  </w:num>
  <w:num w:numId="13">
    <w:abstractNumId w:val="54"/>
  </w:num>
  <w:num w:numId="14">
    <w:abstractNumId w:val="8"/>
  </w:num>
  <w:num w:numId="15">
    <w:abstractNumId w:val="0"/>
  </w:num>
  <w:num w:numId="16">
    <w:abstractNumId w:val="36"/>
  </w:num>
  <w:num w:numId="17">
    <w:abstractNumId w:val="25"/>
  </w:num>
  <w:num w:numId="18">
    <w:abstractNumId w:val="19"/>
  </w:num>
  <w:num w:numId="19">
    <w:abstractNumId w:val="48"/>
  </w:num>
  <w:num w:numId="20">
    <w:abstractNumId w:val="1"/>
  </w:num>
  <w:num w:numId="21">
    <w:abstractNumId w:val="47"/>
  </w:num>
  <w:num w:numId="22">
    <w:abstractNumId w:val="39"/>
  </w:num>
  <w:num w:numId="23">
    <w:abstractNumId w:val="52"/>
  </w:num>
  <w:num w:numId="24">
    <w:abstractNumId w:val="53"/>
  </w:num>
  <w:num w:numId="25">
    <w:abstractNumId w:val="7"/>
  </w:num>
  <w:num w:numId="26">
    <w:abstractNumId w:val="43"/>
  </w:num>
  <w:num w:numId="27">
    <w:abstractNumId w:val="13"/>
  </w:num>
  <w:num w:numId="28">
    <w:abstractNumId w:val="51"/>
  </w:num>
  <w:num w:numId="29">
    <w:abstractNumId w:val="4"/>
  </w:num>
  <w:num w:numId="30">
    <w:abstractNumId w:val="3"/>
  </w:num>
  <w:num w:numId="31">
    <w:abstractNumId w:val="12"/>
  </w:num>
  <w:num w:numId="32">
    <w:abstractNumId w:val="10"/>
  </w:num>
  <w:num w:numId="33">
    <w:abstractNumId w:val="40"/>
  </w:num>
  <w:num w:numId="34">
    <w:abstractNumId w:val="20"/>
  </w:num>
  <w:num w:numId="35">
    <w:abstractNumId w:val="26"/>
  </w:num>
  <w:num w:numId="36">
    <w:abstractNumId w:val="49"/>
  </w:num>
  <w:num w:numId="37">
    <w:abstractNumId w:val="21"/>
  </w:num>
  <w:num w:numId="38">
    <w:abstractNumId w:val="15"/>
  </w:num>
  <w:num w:numId="39">
    <w:abstractNumId w:val="31"/>
  </w:num>
  <w:num w:numId="40">
    <w:abstractNumId w:val="34"/>
  </w:num>
  <w:num w:numId="41">
    <w:abstractNumId w:val="6"/>
  </w:num>
  <w:num w:numId="42">
    <w:abstractNumId w:val="32"/>
  </w:num>
  <w:num w:numId="43">
    <w:abstractNumId w:val="44"/>
  </w:num>
  <w:num w:numId="44">
    <w:abstractNumId w:val="41"/>
  </w:num>
  <w:num w:numId="45">
    <w:abstractNumId w:val="38"/>
  </w:num>
  <w:num w:numId="46">
    <w:abstractNumId w:val="11"/>
  </w:num>
  <w:num w:numId="47">
    <w:abstractNumId w:val="35"/>
  </w:num>
  <w:num w:numId="48">
    <w:abstractNumId w:val="46"/>
  </w:num>
  <w:num w:numId="49">
    <w:abstractNumId w:val="28"/>
  </w:num>
  <w:num w:numId="50">
    <w:abstractNumId w:val="24"/>
  </w:num>
  <w:num w:numId="51">
    <w:abstractNumId w:val="23"/>
  </w:num>
  <w:num w:numId="52">
    <w:abstractNumId w:val="14"/>
  </w:num>
  <w:num w:numId="53">
    <w:abstractNumId w:val="2"/>
  </w:num>
  <w:num w:numId="54">
    <w:abstractNumId w:val="18"/>
  </w:num>
  <w:num w:numId="55">
    <w:abstractNumId w:val="29"/>
  </w:num>
  <w:num w:numId="5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5FA5"/>
    <w:rsid w:val="000078F2"/>
    <w:rsid w:val="00007E2F"/>
    <w:rsid w:val="0001003E"/>
    <w:rsid w:val="00011209"/>
    <w:rsid w:val="00011461"/>
    <w:rsid w:val="000125F6"/>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98"/>
    <w:rsid w:val="00055855"/>
    <w:rsid w:val="000558F1"/>
    <w:rsid w:val="00055A9B"/>
    <w:rsid w:val="00056184"/>
    <w:rsid w:val="00057933"/>
    <w:rsid w:val="00060C5E"/>
    <w:rsid w:val="00061C6A"/>
    <w:rsid w:val="000633FF"/>
    <w:rsid w:val="00065D55"/>
    <w:rsid w:val="00073796"/>
    <w:rsid w:val="00073E3D"/>
    <w:rsid w:val="00074D46"/>
    <w:rsid w:val="000753F3"/>
    <w:rsid w:val="000765D0"/>
    <w:rsid w:val="000768AF"/>
    <w:rsid w:val="00076AB9"/>
    <w:rsid w:val="000770FE"/>
    <w:rsid w:val="0008090D"/>
    <w:rsid w:val="0008274E"/>
    <w:rsid w:val="00082B73"/>
    <w:rsid w:val="00083172"/>
    <w:rsid w:val="00084403"/>
    <w:rsid w:val="000847F7"/>
    <w:rsid w:val="00084F02"/>
    <w:rsid w:val="000856F5"/>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627D"/>
    <w:rsid w:val="000D69C6"/>
    <w:rsid w:val="000E029E"/>
    <w:rsid w:val="000E2163"/>
    <w:rsid w:val="000E23EB"/>
    <w:rsid w:val="000E2BE1"/>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40A"/>
    <w:rsid w:val="00134822"/>
    <w:rsid w:val="0013577D"/>
    <w:rsid w:val="00135A9A"/>
    <w:rsid w:val="0013685F"/>
    <w:rsid w:val="00136A98"/>
    <w:rsid w:val="00136DE6"/>
    <w:rsid w:val="00140145"/>
    <w:rsid w:val="00140B25"/>
    <w:rsid w:val="001410BE"/>
    <w:rsid w:val="00142F56"/>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4B96"/>
    <w:rsid w:val="001E4C1D"/>
    <w:rsid w:val="001E4E64"/>
    <w:rsid w:val="001E58EC"/>
    <w:rsid w:val="001E6BB7"/>
    <w:rsid w:val="001E6E90"/>
    <w:rsid w:val="001E75BE"/>
    <w:rsid w:val="001F0311"/>
    <w:rsid w:val="001F12DE"/>
    <w:rsid w:val="001F40C9"/>
    <w:rsid w:val="001F4EDF"/>
    <w:rsid w:val="001F56A1"/>
    <w:rsid w:val="001F7049"/>
    <w:rsid w:val="001F71B5"/>
    <w:rsid w:val="001F7948"/>
    <w:rsid w:val="002013D8"/>
    <w:rsid w:val="0020299B"/>
    <w:rsid w:val="00204425"/>
    <w:rsid w:val="00205E73"/>
    <w:rsid w:val="002101E8"/>
    <w:rsid w:val="0021183B"/>
    <w:rsid w:val="002119CD"/>
    <w:rsid w:val="002137F1"/>
    <w:rsid w:val="00214CF0"/>
    <w:rsid w:val="00215D79"/>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37E6"/>
    <w:rsid w:val="00274C38"/>
    <w:rsid w:val="00282AC2"/>
    <w:rsid w:val="00282EC0"/>
    <w:rsid w:val="002856A3"/>
    <w:rsid w:val="002902A0"/>
    <w:rsid w:val="00291B33"/>
    <w:rsid w:val="0029364B"/>
    <w:rsid w:val="00295A38"/>
    <w:rsid w:val="00297830"/>
    <w:rsid w:val="00297BCE"/>
    <w:rsid w:val="002A0731"/>
    <w:rsid w:val="002A4007"/>
    <w:rsid w:val="002A7317"/>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EED"/>
    <w:rsid w:val="003033BA"/>
    <w:rsid w:val="00304277"/>
    <w:rsid w:val="00304C5D"/>
    <w:rsid w:val="00304FB9"/>
    <w:rsid w:val="003053BB"/>
    <w:rsid w:val="00305533"/>
    <w:rsid w:val="003061FA"/>
    <w:rsid w:val="00311EA4"/>
    <w:rsid w:val="00312990"/>
    <w:rsid w:val="00313312"/>
    <w:rsid w:val="003153D7"/>
    <w:rsid w:val="00315A53"/>
    <w:rsid w:val="00316BB6"/>
    <w:rsid w:val="00320A47"/>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2D0A"/>
    <w:rsid w:val="00364140"/>
    <w:rsid w:val="003643A1"/>
    <w:rsid w:val="00364510"/>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60D0"/>
    <w:rsid w:val="003F7051"/>
    <w:rsid w:val="003F74E1"/>
    <w:rsid w:val="00401CE6"/>
    <w:rsid w:val="0040472A"/>
    <w:rsid w:val="00406AE6"/>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6D11"/>
    <w:rsid w:val="00426DB2"/>
    <w:rsid w:val="00427D1B"/>
    <w:rsid w:val="00427FEB"/>
    <w:rsid w:val="00431877"/>
    <w:rsid w:val="00432E47"/>
    <w:rsid w:val="00437BB9"/>
    <w:rsid w:val="00437D57"/>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5A22"/>
    <w:rsid w:val="00495FC7"/>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7F7"/>
    <w:rsid w:val="00502B23"/>
    <w:rsid w:val="005049EF"/>
    <w:rsid w:val="00505D28"/>
    <w:rsid w:val="0050660D"/>
    <w:rsid w:val="0050711D"/>
    <w:rsid w:val="0050744F"/>
    <w:rsid w:val="005079BD"/>
    <w:rsid w:val="00507C51"/>
    <w:rsid w:val="0051091B"/>
    <w:rsid w:val="0051338D"/>
    <w:rsid w:val="0051504F"/>
    <w:rsid w:val="005152D5"/>
    <w:rsid w:val="0052099F"/>
    <w:rsid w:val="005212E1"/>
    <w:rsid w:val="00521F82"/>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3364"/>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414F"/>
    <w:rsid w:val="005C4CAD"/>
    <w:rsid w:val="005C6EE8"/>
    <w:rsid w:val="005C73EB"/>
    <w:rsid w:val="005D253E"/>
    <w:rsid w:val="005D2E88"/>
    <w:rsid w:val="005D3EC3"/>
    <w:rsid w:val="005D5252"/>
    <w:rsid w:val="005D578F"/>
    <w:rsid w:val="005D7AB3"/>
    <w:rsid w:val="005D7ADF"/>
    <w:rsid w:val="005E07C9"/>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31E15"/>
    <w:rsid w:val="006330CB"/>
    <w:rsid w:val="00633A1E"/>
    <w:rsid w:val="00633BC4"/>
    <w:rsid w:val="0063556A"/>
    <w:rsid w:val="00637034"/>
    <w:rsid w:val="00640174"/>
    <w:rsid w:val="006413EE"/>
    <w:rsid w:val="00641416"/>
    <w:rsid w:val="006423DD"/>
    <w:rsid w:val="00643401"/>
    <w:rsid w:val="00644C37"/>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7060"/>
    <w:rsid w:val="00670604"/>
    <w:rsid w:val="00673950"/>
    <w:rsid w:val="00673EB8"/>
    <w:rsid w:val="00680B17"/>
    <w:rsid w:val="00680FFA"/>
    <w:rsid w:val="006834E3"/>
    <w:rsid w:val="00683906"/>
    <w:rsid w:val="0068596F"/>
    <w:rsid w:val="00685FA7"/>
    <w:rsid w:val="00686B23"/>
    <w:rsid w:val="00690825"/>
    <w:rsid w:val="00690DB8"/>
    <w:rsid w:val="006913B4"/>
    <w:rsid w:val="0069260B"/>
    <w:rsid w:val="006960B9"/>
    <w:rsid w:val="006964AD"/>
    <w:rsid w:val="00696D18"/>
    <w:rsid w:val="006970E0"/>
    <w:rsid w:val="00697841"/>
    <w:rsid w:val="00697AD4"/>
    <w:rsid w:val="006A0D87"/>
    <w:rsid w:val="006A5583"/>
    <w:rsid w:val="006B3C23"/>
    <w:rsid w:val="006B4482"/>
    <w:rsid w:val="006B4A9F"/>
    <w:rsid w:val="006B57C5"/>
    <w:rsid w:val="006B5891"/>
    <w:rsid w:val="006B67E6"/>
    <w:rsid w:val="006B7131"/>
    <w:rsid w:val="006C3BE1"/>
    <w:rsid w:val="006C4057"/>
    <w:rsid w:val="006C56EC"/>
    <w:rsid w:val="006C5904"/>
    <w:rsid w:val="006C5FFE"/>
    <w:rsid w:val="006D3762"/>
    <w:rsid w:val="006D3868"/>
    <w:rsid w:val="006D5F18"/>
    <w:rsid w:val="006D6149"/>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DC4"/>
    <w:rsid w:val="00711140"/>
    <w:rsid w:val="00711CF2"/>
    <w:rsid w:val="00713514"/>
    <w:rsid w:val="00714391"/>
    <w:rsid w:val="00715637"/>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1603"/>
    <w:rsid w:val="00741C65"/>
    <w:rsid w:val="0074222F"/>
    <w:rsid w:val="00742248"/>
    <w:rsid w:val="0074335A"/>
    <w:rsid w:val="00744959"/>
    <w:rsid w:val="00745D13"/>
    <w:rsid w:val="0074607D"/>
    <w:rsid w:val="00747CD6"/>
    <w:rsid w:val="00750771"/>
    <w:rsid w:val="00754236"/>
    <w:rsid w:val="0076132B"/>
    <w:rsid w:val="00762B55"/>
    <w:rsid w:val="007633C2"/>
    <w:rsid w:val="00766163"/>
    <w:rsid w:val="00766A85"/>
    <w:rsid w:val="0076715B"/>
    <w:rsid w:val="00767329"/>
    <w:rsid w:val="007675CA"/>
    <w:rsid w:val="00767B19"/>
    <w:rsid w:val="00767D7C"/>
    <w:rsid w:val="00770990"/>
    <w:rsid w:val="00770CA4"/>
    <w:rsid w:val="00772775"/>
    <w:rsid w:val="007753FA"/>
    <w:rsid w:val="00775EC5"/>
    <w:rsid w:val="0077603B"/>
    <w:rsid w:val="00777405"/>
    <w:rsid w:val="0078043A"/>
    <w:rsid w:val="00780475"/>
    <w:rsid w:val="0078050B"/>
    <w:rsid w:val="00780675"/>
    <w:rsid w:val="00783F4C"/>
    <w:rsid w:val="00784670"/>
    <w:rsid w:val="007855AF"/>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D0184"/>
    <w:rsid w:val="007D054A"/>
    <w:rsid w:val="007D0D61"/>
    <w:rsid w:val="007D1DBB"/>
    <w:rsid w:val="007D20D2"/>
    <w:rsid w:val="007D3962"/>
    <w:rsid w:val="007D3F97"/>
    <w:rsid w:val="007D46CF"/>
    <w:rsid w:val="007D547F"/>
    <w:rsid w:val="007E23E6"/>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3D76"/>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3001"/>
    <w:rsid w:val="008A3552"/>
    <w:rsid w:val="008A4311"/>
    <w:rsid w:val="008A4761"/>
    <w:rsid w:val="008A5574"/>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53A8"/>
    <w:rsid w:val="0090603C"/>
    <w:rsid w:val="00906DDA"/>
    <w:rsid w:val="00906E0E"/>
    <w:rsid w:val="00906E15"/>
    <w:rsid w:val="00910222"/>
    <w:rsid w:val="0091316D"/>
    <w:rsid w:val="00913EEB"/>
    <w:rsid w:val="0091738B"/>
    <w:rsid w:val="009222B8"/>
    <w:rsid w:val="00922BC3"/>
    <w:rsid w:val="00922C38"/>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733B0"/>
    <w:rsid w:val="009740FB"/>
    <w:rsid w:val="0097584C"/>
    <w:rsid w:val="00976ACF"/>
    <w:rsid w:val="00977806"/>
    <w:rsid w:val="00980219"/>
    <w:rsid w:val="00980529"/>
    <w:rsid w:val="0098065C"/>
    <w:rsid w:val="00984CD4"/>
    <w:rsid w:val="00985077"/>
    <w:rsid w:val="00985406"/>
    <w:rsid w:val="009856EB"/>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A74AC"/>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6197"/>
    <w:rsid w:val="00A07358"/>
    <w:rsid w:val="00A10B74"/>
    <w:rsid w:val="00A14411"/>
    <w:rsid w:val="00A1518F"/>
    <w:rsid w:val="00A159AB"/>
    <w:rsid w:val="00A1643A"/>
    <w:rsid w:val="00A23B70"/>
    <w:rsid w:val="00A26B3B"/>
    <w:rsid w:val="00A309C0"/>
    <w:rsid w:val="00A30D15"/>
    <w:rsid w:val="00A32A6B"/>
    <w:rsid w:val="00A335EC"/>
    <w:rsid w:val="00A3440B"/>
    <w:rsid w:val="00A34684"/>
    <w:rsid w:val="00A36414"/>
    <w:rsid w:val="00A365CE"/>
    <w:rsid w:val="00A4070E"/>
    <w:rsid w:val="00A40FD4"/>
    <w:rsid w:val="00A4194E"/>
    <w:rsid w:val="00A433E1"/>
    <w:rsid w:val="00A43895"/>
    <w:rsid w:val="00A440B2"/>
    <w:rsid w:val="00A4435E"/>
    <w:rsid w:val="00A45317"/>
    <w:rsid w:val="00A45A19"/>
    <w:rsid w:val="00A45CEE"/>
    <w:rsid w:val="00A520F8"/>
    <w:rsid w:val="00A52787"/>
    <w:rsid w:val="00A53097"/>
    <w:rsid w:val="00A53F60"/>
    <w:rsid w:val="00A54915"/>
    <w:rsid w:val="00A55BB1"/>
    <w:rsid w:val="00A6066F"/>
    <w:rsid w:val="00A60789"/>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6361"/>
    <w:rsid w:val="00B075AB"/>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5251"/>
    <w:rsid w:val="00B2655B"/>
    <w:rsid w:val="00B26EF2"/>
    <w:rsid w:val="00B270B2"/>
    <w:rsid w:val="00B321C5"/>
    <w:rsid w:val="00B330B9"/>
    <w:rsid w:val="00B334FB"/>
    <w:rsid w:val="00B33B49"/>
    <w:rsid w:val="00B33C8E"/>
    <w:rsid w:val="00B34110"/>
    <w:rsid w:val="00B41148"/>
    <w:rsid w:val="00B4352F"/>
    <w:rsid w:val="00B43B14"/>
    <w:rsid w:val="00B4499E"/>
    <w:rsid w:val="00B44E5F"/>
    <w:rsid w:val="00B45C31"/>
    <w:rsid w:val="00B4639F"/>
    <w:rsid w:val="00B469C2"/>
    <w:rsid w:val="00B46EE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36F5"/>
    <w:rsid w:val="00B83A8B"/>
    <w:rsid w:val="00B84931"/>
    <w:rsid w:val="00B85820"/>
    <w:rsid w:val="00B91A11"/>
    <w:rsid w:val="00B91F36"/>
    <w:rsid w:val="00B92B2A"/>
    <w:rsid w:val="00B94127"/>
    <w:rsid w:val="00B94CCE"/>
    <w:rsid w:val="00B9723B"/>
    <w:rsid w:val="00BA0B33"/>
    <w:rsid w:val="00BA19B1"/>
    <w:rsid w:val="00BA2914"/>
    <w:rsid w:val="00BA404C"/>
    <w:rsid w:val="00BA7435"/>
    <w:rsid w:val="00BB1708"/>
    <w:rsid w:val="00BB2574"/>
    <w:rsid w:val="00BB26EC"/>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F48"/>
    <w:rsid w:val="00BE6AD4"/>
    <w:rsid w:val="00BE739D"/>
    <w:rsid w:val="00BE794C"/>
    <w:rsid w:val="00BF1D3C"/>
    <w:rsid w:val="00BF21B9"/>
    <w:rsid w:val="00BF3AA9"/>
    <w:rsid w:val="00BF4DA0"/>
    <w:rsid w:val="00BF5F94"/>
    <w:rsid w:val="00C00347"/>
    <w:rsid w:val="00C01FF4"/>
    <w:rsid w:val="00C03D74"/>
    <w:rsid w:val="00C04233"/>
    <w:rsid w:val="00C04524"/>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1737"/>
    <w:rsid w:val="00C62910"/>
    <w:rsid w:val="00C70DD2"/>
    <w:rsid w:val="00C73AFD"/>
    <w:rsid w:val="00C7429F"/>
    <w:rsid w:val="00C74F79"/>
    <w:rsid w:val="00C75442"/>
    <w:rsid w:val="00C75DD2"/>
    <w:rsid w:val="00C76647"/>
    <w:rsid w:val="00C77563"/>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4A60"/>
    <w:rsid w:val="00CD758B"/>
    <w:rsid w:val="00CE13E6"/>
    <w:rsid w:val="00CE1949"/>
    <w:rsid w:val="00CE29EF"/>
    <w:rsid w:val="00CE2EA6"/>
    <w:rsid w:val="00CE2F25"/>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7359"/>
    <w:rsid w:val="00D30554"/>
    <w:rsid w:val="00D30B29"/>
    <w:rsid w:val="00D31C25"/>
    <w:rsid w:val="00D31DCB"/>
    <w:rsid w:val="00D322E1"/>
    <w:rsid w:val="00D32388"/>
    <w:rsid w:val="00D32687"/>
    <w:rsid w:val="00D32D7A"/>
    <w:rsid w:val="00D33174"/>
    <w:rsid w:val="00D35C98"/>
    <w:rsid w:val="00D36C15"/>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809D7"/>
    <w:rsid w:val="00D82113"/>
    <w:rsid w:val="00D83EAB"/>
    <w:rsid w:val="00D8408B"/>
    <w:rsid w:val="00D871FC"/>
    <w:rsid w:val="00D904C2"/>
    <w:rsid w:val="00D91407"/>
    <w:rsid w:val="00D91693"/>
    <w:rsid w:val="00D92AE8"/>
    <w:rsid w:val="00D947FD"/>
    <w:rsid w:val="00D9586D"/>
    <w:rsid w:val="00D95CAB"/>
    <w:rsid w:val="00D971CF"/>
    <w:rsid w:val="00DA2AC9"/>
    <w:rsid w:val="00DA337C"/>
    <w:rsid w:val="00DA4180"/>
    <w:rsid w:val="00DA4977"/>
    <w:rsid w:val="00DA4BD3"/>
    <w:rsid w:val="00DA6FF9"/>
    <w:rsid w:val="00DA7A93"/>
    <w:rsid w:val="00DB097D"/>
    <w:rsid w:val="00DB0A6C"/>
    <w:rsid w:val="00DB1295"/>
    <w:rsid w:val="00DB1EFB"/>
    <w:rsid w:val="00DB2527"/>
    <w:rsid w:val="00DB263D"/>
    <w:rsid w:val="00DB27BB"/>
    <w:rsid w:val="00DB3C3F"/>
    <w:rsid w:val="00DB4570"/>
    <w:rsid w:val="00DB5303"/>
    <w:rsid w:val="00DB61D3"/>
    <w:rsid w:val="00DB677E"/>
    <w:rsid w:val="00DB7935"/>
    <w:rsid w:val="00DC13DE"/>
    <w:rsid w:val="00DC194B"/>
    <w:rsid w:val="00DC1A0E"/>
    <w:rsid w:val="00DC27D8"/>
    <w:rsid w:val="00DC3D78"/>
    <w:rsid w:val="00DC7D54"/>
    <w:rsid w:val="00DD039D"/>
    <w:rsid w:val="00DD0966"/>
    <w:rsid w:val="00DD0D58"/>
    <w:rsid w:val="00DD169D"/>
    <w:rsid w:val="00DD2C7B"/>
    <w:rsid w:val="00DD3311"/>
    <w:rsid w:val="00DD45A9"/>
    <w:rsid w:val="00DD5E6C"/>
    <w:rsid w:val="00DE15A3"/>
    <w:rsid w:val="00DE21C5"/>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666E"/>
    <w:rsid w:val="00EC68BA"/>
    <w:rsid w:val="00EC6D04"/>
    <w:rsid w:val="00ED0046"/>
    <w:rsid w:val="00ED1247"/>
    <w:rsid w:val="00ED18C2"/>
    <w:rsid w:val="00ED3489"/>
    <w:rsid w:val="00ED58E3"/>
    <w:rsid w:val="00ED73CE"/>
    <w:rsid w:val="00EE05BF"/>
    <w:rsid w:val="00EE0979"/>
    <w:rsid w:val="00EE0E1C"/>
    <w:rsid w:val="00EE1FB2"/>
    <w:rsid w:val="00EE791A"/>
    <w:rsid w:val="00EE79F2"/>
    <w:rsid w:val="00EF136B"/>
    <w:rsid w:val="00EF2FED"/>
    <w:rsid w:val="00EF3785"/>
    <w:rsid w:val="00EF54D9"/>
    <w:rsid w:val="00EF5B1A"/>
    <w:rsid w:val="00EF61BE"/>
    <w:rsid w:val="00EF6370"/>
    <w:rsid w:val="00EF74BE"/>
    <w:rsid w:val="00F00BBF"/>
    <w:rsid w:val="00F01B46"/>
    <w:rsid w:val="00F0218B"/>
    <w:rsid w:val="00F03D46"/>
    <w:rsid w:val="00F04B6B"/>
    <w:rsid w:val="00F07E5A"/>
    <w:rsid w:val="00F11211"/>
    <w:rsid w:val="00F112EA"/>
    <w:rsid w:val="00F1186E"/>
    <w:rsid w:val="00F1207C"/>
    <w:rsid w:val="00F12C41"/>
    <w:rsid w:val="00F13F57"/>
    <w:rsid w:val="00F14FBB"/>
    <w:rsid w:val="00F15084"/>
    <w:rsid w:val="00F15A47"/>
    <w:rsid w:val="00F16832"/>
    <w:rsid w:val="00F172E4"/>
    <w:rsid w:val="00F210E2"/>
    <w:rsid w:val="00F21264"/>
    <w:rsid w:val="00F22843"/>
    <w:rsid w:val="00F2341C"/>
    <w:rsid w:val="00F24A28"/>
    <w:rsid w:val="00F25EC9"/>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A2F"/>
    <w:rsid w:val="00F94F0B"/>
    <w:rsid w:val="00F94F45"/>
    <w:rsid w:val="00F9732A"/>
    <w:rsid w:val="00FA0B3A"/>
    <w:rsid w:val="00FA14FB"/>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67BB-092D-4F62-8090-5BC3FFE3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704</Words>
  <Characters>3876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Usuario</cp:lastModifiedBy>
  <cp:revision>3</cp:revision>
  <cp:lastPrinted>2017-01-06T17:05:00Z</cp:lastPrinted>
  <dcterms:created xsi:type="dcterms:W3CDTF">2017-02-21T15:51:00Z</dcterms:created>
  <dcterms:modified xsi:type="dcterms:W3CDTF">2017-02-21T15:54:00Z</dcterms:modified>
</cp:coreProperties>
</file>