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E739CE" w:rsidRDefault="00A76D33" w:rsidP="00E739CE">
      <w:pPr>
        <w:ind w:firstLine="708"/>
        <w:jc w:val="both"/>
        <w:rPr>
          <w:rFonts w:ascii="Cambria" w:hAnsi="Cambria"/>
          <w:sz w:val="24"/>
          <w:szCs w:val="24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03138" wp14:editId="484CEF9C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  <w:r w:rsidR="00E739CE" w:rsidRPr="00E739CE">
        <w:rPr>
          <w:rFonts w:ascii="Cambria" w:hAnsi="Cambria"/>
          <w:sz w:val="24"/>
          <w:szCs w:val="24"/>
        </w:rPr>
        <w:t xml:space="preserve"> </w:t>
      </w:r>
    </w:p>
    <w:p w:rsidR="008E18DE" w:rsidRPr="00913647" w:rsidRDefault="008E18DE" w:rsidP="001D7C50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  <w:r w:rsidRPr="00B47138">
        <w:rPr>
          <w:rFonts w:asciiTheme="majorHAnsi" w:hAnsiTheme="majorHAnsi"/>
          <w:sz w:val="24"/>
          <w:szCs w:val="24"/>
        </w:rPr>
        <w:t>Vista la solicitud de</w:t>
      </w:r>
      <w:r>
        <w:rPr>
          <w:rFonts w:asciiTheme="majorHAnsi" w:hAnsiTheme="majorHAnsi"/>
          <w:sz w:val="24"/>
          <w:szCs w:val="24"/>
        </w:rPr>
        <w:t xml:space="preserve"> </w:t>
      </w:r>
      <w:r w:rsidRPr="001D7C50">
        <w:rPr>
          <w:rFonts w:asciiTheme="majorHAnsi" w:hAnsiTheme="majorHAnsi"/>
          <w:b/>
          <w:sz w:val="24"/>
          <w:szCs w:val="24"/>
          <w:highlight w:val="black"/>
        </w:rPr>
        <w:t>XXXXXXXXXXXXXXXXXXXXXXXXXXXXXXXXXXXXXXXX</w:t>
      </w:r>
      <w:r w:rsidRPr="00B47138">
        <w:rPr>
          <w:rFonts w:asciiTheme="majorHAnsi" w:hAnsiTheme="majorHAnsi"/>
          <w:b/>
          <w:sz w:val="24"/>
          <w:szCs w:val="24"/>
        </w:rPr>
        <w:t>,</w:t>
      </w:r>
      <w:r w:rsidRPr="00B47138">
        <w:rPr>
          <w:rFonts w:asciiTheme="majorHAnsi" w:hAnsiTheme="majorHAnsi"/>
          <w:sz w:val="24"/>
          <w:szCs w:val="24"/>
        </w:rPr>
        <w:t xml:space="preserve"> con Documento Único de Identidad número</w:t>
      </w:r>
      <w:r w:rsidRPr="00B47138">
        <w:rPr>
          <w:rFonts w:asciiTheme="majorHAnsi" w:hAnsiTheme="majorHAnsi"/>
          <w:b/>
          <w:sz w:val="24"/>
          <w:szCs w:val="24"/>
        </w:rPr>
        <w:t xml:space="preserve"> </w:t>
      </w:r>
      <w:r w:rsidRPr="001D7C50">
        <w:rPr>
          <w:rFonts w:asciiTheme="majorHAnsi" w:hAnsiTheme="majorHAnsi"/>
          <w:b/>
          <w:sz w:val="24"/>
          <w:szCs w:val="24"/>
          <w:highlight w:val="black"/>
        </w:rPr>
        <w:t>XXXXXXXXXXXXXXXXXXXXXXXXXXXXX XXXXXXXXXXXXX</w:t>
      </w:r>
      <w:r w:rsidRPr="00B47138">
        <w:rPr>
          <w:rFonts w:asciiTheme="majorHAnsi" w:hAnsiTheme="majorHAnsi"/>
          <w:sz w:val="24"/>
          <w:szCs w:val="24"/>
        </w:rPr>
        <w:t xml:space="preserve"> quien SOLICITA: </w:t>
      </w:r>
      <w:r w:rsidRPr="00B47138">
        <w:rPr>
          <w:rFonts w:asciiTheme="majorHAnsi" w:hAnsiTheme="majorHAnsi" w:cs="Calibri"/>
          <w:sz w:val="24"/>
          <w:szCs w:val="24"/>
        </w:rPr>
        <w:t>“</w:t>
      </w:r>
      <w:r w:rsidRPr="00B47138">
        <w:rPr>
          <w:rFonts w:asciiTheme="majorHAnsi" w:eastAsia="Times New Roman" w:hAnsiTheme="majorHAnsi" w:cs="Arial"/>
          <w:sz w:val="24"/>
          <w:szCs w:val="24"/>
          <w:lang w:eastAsia="es-SV"/>
        </w:rPr>
        <w:t>Número total de mujeres recluidas en el Centro Penitenciario en Ilopango condenadas  y que esperan resolución judicial; Número total de mujeres recluidas en el Centro Penitenciario en Ilopango, condenadas entre el 2009 y el 2015, detalle por año;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</w:t>
      </w:r>
      <w:r w:rsidRPr="00B47138">
        <w:rPr>
          <w:rFonts w:asciiTheme="majorHAnsi" w:eastAsia="Times New Roman" w:hAnsiTheme="majorHAnsi" w:cs="Arial"/>
          <w:sz w:val="24"/>
          <w:szCs w:val="24"/>
          <w:lang w:eastAsia="es-SV"/>
        </w:rPr>
        <w:t>Delito principal por el que se condenó a las mujeres recluidas en el Centro Penitenciario de Ilopango, entre 2009 y el 2015 detalle por año; Número total de recluidas, actualmente, en el Centro Penitenciario d</w:t>
      </w:r>
      <w:bookmarkStart w:id="0" w:name="_GoBack"/>
      <w:bookmarkEnd w:id="0"/>
      <w:r w:rsidRPr="00B47138">
        <w:rPr>
          <w:rFonts w:asciiTheme="majorHAnsi" w:eastAsia="Times New Roman" w:hAnsiTheme="majorHAnsi" w:cs="Arial"/>
          <w:sz w:val="24"/>
          <w:szCs w:val="24"/>
          <w:lang w:eastAsia="es-SV"/>
        </w:rPr>
        <w:t>e Ilopango;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</w:t>
      </w:r>
      <w:r w:rsidRPr="00B47138">
        <w:rPr>
          <w:rFonts w:asciiTheme="majorHAnsi" w:eastAsia="Times New Roman" w:hAnsiTheme="majorHAnsi" w:cs="Arial"/>
          <w:sz w:val="24"/>
          <w:szCs w:val="24"/>
          <w:lang w:eastAsia="es-SV"/>
        </w:rPr>
        <w:t>Capacidad  total del Centro Penitenciario de Ilopango.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>”</w:t>
      </w:r>
      <w:r w:rsidRPr="00B47138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</w:t>
      </w:r>
      <w:r w:rsidRPr="00A06628">
        <w:rPr>
          <w:rFonts w:asciiTheme="majorHAnsi" w:hAnsiTheme="majorHAnsi"/>
          <w:sz w:val="24"/>
          <w:szCs w:val="24"/>
          <w:lang w:val="es-ES"/>
        </w:rPr>
        <w:t xml:space="preserve">Con el fin de dar cumplimiento a lo solicitado, conforme a los Arts. 1, 2, 3 Lit. </w:t>
      </w:r>
      <w:proofErr w:type="gramStart"/>
      <w:r w:rsidRPr="00A06628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A06628">
        <w:rPr>
          <w:rFonts w:asciiTheme="majorHAnsi" w:hAnsiTheme="majorHAnsi"/>
          <w:sz w:val="24"/>
          <w:szCs w:val="24"/>
          <w:lang w:val="es-ES"/>
        </w:rPr>
        <w:t xml:space="preserve">, b, j. Art. 4 Lit. </w:t>
      </w:r>
      <w:proofErr w:type="gramStart"/>
      <w:r w:rsidRPr="00A06628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A06628">
        <w:rPr>
          <w:rFonts w:asciiTheme="majorHAnsi" w:hAnsiTheme="majorHAnsi"/>
          <w:sz w:val="24"/>
          <w:szCs w:val="24"/>
          <w:lang w:val="es-ES"/>
        </w:rPr>
        <w:t xml:space="preserve">, b, c, d, e, f, g.  </w:t>
      </w:r>
      <w:proofErr w:type="gramStart"/>
      <w:r w:rsidRPr="00A06628">
        <w:rPr>
          <w:rFonts w:asciiTheme="majorHAnsi" w:hAnsiTheme="majorHAnsi"/>
          <w:sz w:val="24"/>
          <w:szCs w:val="24"/>
          <w:lang w:val="es-ES"/>
        </w:rPr>
        <w:t>y</w:t>
      </w:r>
      <w:proofErr w:type="gramEnd"/>
      <w:r w:rsidRPr="00A06628">
        <w:rPr>
          <w:rFonts w:asciiTheme="majorHAnsi" w:hAnsiTheme="majorHAnsi"/>
          <w:sz w:val="24"/>
          <w:szCs w:val="24"/>
          <w:lang w:val="es-ES"/>
        </w:rPr>
        <w:t xml:space="preserve"> Art. 71 de la Ley de Acceso a la Información Pública, la suscrita </w:t>
      </w:r>
      <w:r w:rsidRPr="006521F1">
        <w:rPr>
          <w:rFonts w:asciiTheme="majorHAnsi" w:eastAsiaTheme="minorHAnsi" w:hAnsiTheme="majorHAnsi"/>
          <w:b/>
          <w:sz w:val="24"/>
          <w:szCs w:val="24"/>
        </w:rPr>
        <w:t xml:space="preserve">RESUELVE: </w:t>
      </w:r>
      <w:r w:rsidRPr="006521F1">
        <w:rPr>
          <w:rFonts w:asciiTheme="majorHAnsi" w:hAnsiTheme="majorHAnsi"/>
          <w:sz w:val="24"/>
          <w:szCs w:val="24"/>
          <w:lang w:val="es-ES"/>
        </w:rPr>
        <w:t xml:space="preserve">: 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>Que según información recibida en esta Unidad de Acces</w:t>
      </w:r>
      <w:r>
        <w:rPr>
          <w:rFonts w:asciiTheme="majorHAnsi" w:eastAsiaTheme="minorHAnsi" w:hAnsiTheme="majorHAnsi" w:cstheme="minorBidi"/>
          <w:sz w:val="24"/>
          <w:szCs w:val="24"/>
        </w:rPr>
        <w:t>o a la Información Pública, por las unidad Administrativa g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>enerador</w:t>
      </w:r>
      <w:r>
        <w:rPr>
          <w:rFonts w:asciiTheme="majorHAnsi" w:eastAsiaTheme="minorHAnsi" w:hAnsiTheme="majorHAnsi" w:cstheme="minorBidi"/>
          <w:sz w:val="24"/>
          <w:szCs w:val="24"/>
        </w:rPr>
        <w:t>a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 xml:space="preserve"> de la Información, </w:t>
      </w:r>
      <w:r w:rsidRPr="006521F1">
        <w:rPr>
          <w:rFonts w:asciiTheme="majorHAnsi" w:hAnsiTheme="majorHAnsi"/>
          <w:sz w:val="24"/>
          <w:szCs w:val="24"/>
        </w:rPr>
        <w:t>art. 69 LAIP.</w:t>
      </w:r>
    </w:p>
    <w:p w:rsidR="008E18DE" w:rsidRDefault="008E18DE" w:rsidP="008E18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E18DE" w:rsidRDefault="008E18DE" w:rsidP="008E18DE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42B6C">
        <w:rPr>
          <w:rFonts w:asciiTheme="majorHAnsi" w:hAnsiTheme="majorHAnsi"/>
          <w:b/>
          <w:sz w:val="24"/>
          <w:szCs w:val="24"/>
        </w:rPr>
        <w:t>RESPUESTA</w:t>
      </w:r>
    </w:p>
    <w:p w:rsidR="008E18DE" w:rsidRDefault="008E18DE" w:rsidP="008E18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8E18DE" w:rsidRDefault="008E18DE" w:rsidP="008E18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1.</w:t>
      </w:r>
    </w:p>
    <w:p w:rsidR="008E18DE" w:rsidRDefault="008E18DE" w:rsidP="008E18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</w:t>
      </w: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3246"/>
        <w:gridCol w:w="3133"/>
      </w:tblGrid>
      <w:tr w:rsidR="008E18DE" w:rsidTr="007E1984">
        <w:tc>
          <w:tcPr>
            <w:tcW w:w="3246" w:type="dxa"/>
          </w:tcPr>
          <w:p w:rsidR="008E18DE" w:rsidRDefault="008E18DE" w:rsidP="007E198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Situación Jurídica</w:t>
            </w:r>
          </w:p>
        </w:tc>
        <w:tc>
          <w:tcPr>
            <w:tcW w:w="3133" w:type="dxa"/>
          </w:tcPr>
          <w:p w:rsidR="008E18DE" w:rsidRDefault="008E18DE" w:rsidP="007E198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</w:t>
            </w:r>
          </w:p>
        </w:tc>
      </w:tr>
      <w:tr w:rsidR="008E18DE" w:rsidTr="007E1984">
        <w:tc>
          <w:tcPr>
            <w:tcW w:w="3246" w:type="dxa"/>
          </w:tcPr>
          <w:p w:rsidR="008E18DE" w:rsidRPr="008B027E" w:rsidRDefault="008E18DE" w:rsidP="007E198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B027E">
              <w:rPr>
                <w:rFonts w:asciiTheme="majorHAnsi" w:hAnsiTheme="majorHAnsi"/>
                <w:sz w:val="24"/>
                <w:szCs w:val="24"/>
              </w:rPr>
              <w:t>Penadas</w:t>
            </w:r>
          </w:p>
        </w:tc>
        <w:tc>
          <w:tcPr>
            <w:tcW w:w="3133" w:type="dxa"/>
          </w:tcPr>
          <w:p w:rsidR="008E18DE" w:rsidRPr="008B027E" w:rsidRDefault="008E18DE" w:rsidP="007E198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B027E">
              <w:rPr>
                <w:rFonts w:asciiTheme="majorHAnsi" w:hAnsiTheme="majorHAnsi"/>
                <w:sz w:val="24"/>
                <w:szCs w:val="24"/>
              </w:rPr>
              <w:t>1486</w:t>
            </w:r>
          </w:p>
        </w:tc>
      </w:tr>
      <w:tr w:rsidR="008E18DE" w:rsidTr="007E1984">
        <w:tc>
          <w:tcPr>
            <w:tcW w:w="3246" w:type="dxa"/>
          </w:tcPr>
          <w:p w:rsidR="008E18DE" w:rsidRPr="008B027E" w:rsidRDefault="008E18DE" w:rsidP="007E198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B027E">
              <w:rPr>
                <w:rFonts w:asciiTheme="majorHAnsi" w:hAnsiTheme="majorHAnsi"/>
                <w:sz w:val="24"/>
                <w:szCs w:val="24"/>
              </w:rPr>
              <w:t>Procesadas</w:t>
            </w:r>
          </w:p>
        </w:tc>
        <w:tc>
          <w:tcPr>
            <w:tcW w:w="3133" w:type="dxa"/>
          </w:tcPr>
          <w:p w:rsidR="008E18DE" w:rsidRPr="008B027E" w:rsidRDefault="008E18DE" w:rsidP="007E198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B027E">
              <w:rPr>
                <w:rFonts w:asciiTheme="majorHAnsi" w:hAnsiTheme="majorHAnsi"/>
                <w:sz w:val="24"/>
                <w:szCs w:val="24"/>
              </w:rPr>
              <w:t>833</w:t>
            </w:r>
          </w:p>
        </w:tc>
      </w:tr>
    </w:tbl>
    <w:p w:rsidR="008E18DE" w:rsidRDefault="008E18DE" w:rsidP="008E18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8E18DE" w:rsidRDefault="008E18DE" w:rsidP="008E18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</w:t>
      </w:r>
    </w:p>
    <w:p w:rsidR="008E18DE" w:rsidRDefault="008E18DE" w:rsidP="008E18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2.</w:t>
      </w:r>
    </w:p>
    <w:p w:rsidR="008E18DE" w:rsidRPr="00942B6C" w:rsidRDefault="008E18DE" w:rsidP="008E18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</w:t>
      </w: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2693"/>
        <w:gridCol w:w="3686"/>
      </w:tblGrid>
      <w:tr w:rsidR="008E18DE" w:rsidTr="007E1984">
        <w:tc>
          <w:tcPr>
            <w:tcW w:w="2693" w:type="dxa"/>
          </w:tcPr>
          <w:p w:rsidR="008E18DE" w:rsidRDefault="008E18DE" w:rsidP="007E198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Años</w:t>
            </w:r>
          </w:p>
        </w:tc>
        <w:tc>
          <w:tcPr>
            <w:tcW w:w="3686" w:type="dxa"/>
          </w:tcPr>
          <w:p w:rsidR="008E18DE" w:rsidRDefault="008E18DE" w:rsidP="008E18D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de PDL’S condenadas</w:t>
            </w:r>
          </w:p>
        </w:tc>
      </w:tr>
      <w:tr w:rsidR="008E18DE" w:rsidTr="007E1984">
        <w:tc>
          <w:tcPr>
            <w:tcW w:w="2693" w:type="dxa"/>
          </w:tcPr>
          <w:p w:rsidR="008E18DE" w:rsidRPr="00607EC6" w:rsidRDefault="008E18DE" w:rsidP="007E198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07EC6">
              <w:rPr>
                <w:rFonts w:asciiTheme="majorHAnsi" w:hAnsiTheme="majorHAnsi"/>
                <w:sz w:val="24"/>
                <w:szCs w:val="24"/>
              </w:rPr>
              <w:t>2011</w:t>
            </w:r>
          </w:p>
        </w:tc>
        <w:tc>
          <w:tcPr>
            <w:tcW w:w="3686" w:type="dxa"/>
          </w:tcPr>
          <w:p w:rsidR="008E18DE" w:rsidRPr="00607EC6" w:rsidRDefault="008E18DE" w:rsidP="007E198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07EC6">
              <w:rPr>
                <w:rFonts w:asciiTheme="majorHAnsi" w:hAnsiTheme="majorHAnsi"/>
                <w:sz w:val="24"/>
                <w:szCs w:val="24"/>
              </w:rPr>
              <w:t>897</w:t>
            </w:r>
          </w:p>
        </w:tc>
      </w:tr>
      <w:tr w:rsidR="008E18DE" w:rsidTr="007E1984">
        <w:tc>
          <w:tcPr>
            <w:tcW w:w="2693" w:type="dxa"/>
          </w:tcPr>
          <w:p w:rsidR="008E18DE" w:rsidRPr="00607EC6" w:rsidRDefault="008E18DE" w:rsidP="007E198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07EC6">
              <w:rPr>
                <w:rFonts w:asciiTheme="majorHAnsi" w:hAnsiTheme="majorHAnsi"/>
                <w:sz w:val="24"/>
                <w:szCs w:val="24"/>
              </w:rPr>
              <w:t>2012</w:t>
            </w:r>
          </w:p>
        </w:tc>
        <w:tc>
          <w:tcPr>
            <w:tcW w:w="3686" w:type="dxa"/>
          </w:tcPr>
          <w:p w:rsidR="008E18DE" w:rsidRPr="00607EC6" w:rsidRDefault="008E18DE" w:rsidP="007E198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07EC6">
              <w:rPr>
                <w:rFonts w:asciiTheme="majorHAnsi" w:hAnsiTheme="majorHAnsi"/>
                <w:sz w:val="24"/>
                <w:szCs w:val="24"/>
              </w:rPr>
              <w:t>1359</w:t>
            </w:r>
          </w:p>
        </w:tc>
      </w:tr>
      <w:tr w:rsidR="008E18DE" w:rsidTr="007E1984">
        <w:tc>
          <w:tcPr>
            <w:tcW w:w="2693" w:type="dxa"/>
          </w:tcPr>
          <w:p w:rsidR="008E18DE" w:rsidRPr="00607EC6" w:rsidRDefault="008E18DE" w:rsidP="007E198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07EC6">
              <w:rPr>
                <w:rFonts w:asciiTheme="majorHAnsi" w:hAnsiTheme="majorHAnsi"/>
                <w:sz w:val="24"/>
                <w:szCs w:val="24"/>
              </w:rPr>
              <w:t>2013</w:t>
            </w:r>
          </w:p>
        </w:tc>
        <w:tc>
          <w:tcPr>
            <w:tcW w:w="3686" w:type="dxa"/>
          </w:tcPr>
          <w:p w:rsidR="008E18DE" w:rsidRPr="00607EC6" w:rsidRDefault="008E18DE" w:rsidP="007E198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07EC6">
              <w:rPr>
                <w:rFonts w:asciiTheme="majorHAnsi" w:hAnsiTheme="majorHAnsi"/>
                <w:sz w:val="24"/>
                <w:szCs w:val="24"/>
              </w:rPr>
              <w:t>1550</w:t>
            </w:r>
          </w:p>
        </w:tc>
      </w:tr>
      <w:tr w:rsidR="008E18DE" w:rsidTr="007E1984">
        <w:tc>
          <w:tcPr>
            <w:tcW w:w="2693" w:type="dxa"/>
          </w:tcPr>
          <w:p w:rsidR="008E18DE" w:rsidRPr="00607EC6" w:rsidRDefault="008E18DE" w:rsidP="007E198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07EC6">
              <w:rPr>
                <w:rFonts w:asciiTheme="majorHAnsi" w:hAnsiTheme="majorHAnsi"/>
                <w:sz w:val="24"/>
                <w:szCs w:val="24"/>
              </w:rPr>
              <w:t>2014</w:t>
            </w:r>
          </w:p>
        </w:tc>
        <w:tc>
          <w:tcPr>
            <w:tcW w:w="3686" w:type="dxa"/>
          </w:tcPr>
          <w:p w:rsidR="008E18DE" w:rsidRPr="00607EC6" w:rsidRDefault="008E18DE" w:rsidP="007E198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07EC6">
              <w:rPr>
                <w:rFonts w:asciiTheme="majorHAnsi" w:hAnsiTheme="majorHAnsi"/>
                <w:sz w:val="24"/>
                <w:szCs w:val="24"/>
              </w:rPr>
              <w:t>1826</w:t>
            </w:r>
          </w:p>
        </w:tc>
      </w:tr>
      <w:tr w:rsidR="008E18DE" w:rsidTr="007E1984">
        <w:tc>
          <w:tcPr>
            <w:tcW w:w="2693" w:type="dxa"/>
          </w:tcPr>
          <w:p w:rsidR="008E18DE" w:rsidRPr="00607EC6" w:rsidRDefault="008E18DE" w:rsidP="007E198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07EC6">
              <w:rPr>
                <w:rFonts w:asciiTheme="majorHAnsi" w:hAnsiTheme="majorHAnsi"/>
                <w:sz w:val="24"/>
                <w:szCs w:val="24"/>
              </w:rPr>
              <w:t>2015</w:t>
            </w:r>
          </w:p>
        </w:tc>
        <w:tc>
          <w:tcPr>
            <w:tcW w:w="3686" w:type="dxa"/>
          </w:tcPr>
          <w:p w:rsidR="008E18DE" w:rsidRPr="00607EC6" w:rsidRDefault="008E18DE" w:rsidP="007E198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  <w:r w:rsidRPr="00607EC6">
              <w:rPr>
                <w:rFonts w:asciiTheme="majorHAnsi" w:hAnsiTheme="majorHAnsi"/>
                <w:sz w:val="24"/>
                <w:szCs w:val="24"/>
              </w:rPr>
              <w:t>93</w:t>
            </w:r>
          </w:p>
        </w:tc>
      </w:tr>
    </w:tbl>
    <w:p w:rsidR="008E18DE" w:rsidRDefault="008E18DE" w:rsidP="008E18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8E18DE" w:rsidRDefault="008E18DE" w:rsidP="008E18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8E18DE" w:rsidRDefault="008E18DE" w:rsidP="008E18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3. </w:t>
      </w:r>
    </w:p>
    <w:tbl>
      <w:tblPr>
        <w:tblStyle w:val="Tablaconcuadrcula"/>
        <w:tblpPr w:leftFromText="141" w:rightFromText="141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2693"/>
        <w:gridCol w:w="3686"/>
      </w:tblGrid>
      <w:tr w:rsidR="008E18DE" w:rsidTr="007E1984">
        <w:tc>
          <w:tcPr>
            <w:tcW w:w="2693" w:type="dxa"/>
          </w:tcPr>
          <w:p w:rsidR="008E18DE" w:rsidRDefault="008E18DE" w:rsidP="007E198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Años</w:t>
            </w:r>
          </w:p>
        </w:tc>
        <w:tc>
          <w:tcPr>
            <w:tcW w:w="3686" w:type="dxa"/>
          </w:tcPr>
          <w:p w:rsidR="008E18DE" w:rsidRDefault="008E18DE" w:rsidP="007E198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Delitos Principales</w:t>
            </w:r>
          </w:p>
        </w:tc>
      </w:tr>
      <w:tr w:rsidR="008E18DE" w:rsidTr="007E1984">
        <w:tc>
          <w:tcPr>
            <w:tcW w:w="2693" w:type="dxa"/>
          </w:tcPr>
          <w:p w:rsidR="008E18DE" w:rsidRPr="00607EC6" w:rsidRDefault="008E18DE" w:rsidP="007E198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07EC6">
              <w:rPr>
                <w:rFonts w:asciiTheme="majorHAnsi" w:hAnsiTheme="majorHAnsi"/>
                <w:sz w:val="24"/>
                <w:szCs w:val="24"/>
              </w:rPr>
              <w:t>2011</w:t>
            </w:r>
          </w:p>
        </w:tc>
        <w:tc>
          <w:tcPr>
            <w:tcW w:w="3686" w:type="dxa"/>
          </w:tcPr>
          <w:p w:rsidR="008E18DE" w:rsidRPr="00607EC6" w:rsidRDefault="008E18DE" w:rsidP="007E198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07EC6">
              <w:rPr>
                <w:rFonts w:asciiTheme="majorHAnsi" w:hAnsiTheme="majorHAnsi"/>
                <w:sz w:val="24"/>
                <w:szCs w:val="24"/>
              </w:rPr>
              <w:t>Drogas</w:t>
            </w:r>
          </w:p>
        </w:tc>
      </w:tr>
      <w:tr w:rsidR="008E18DE" w:rsidTr="007E1984">
        <w:tc>
          <w:tcPr>
            <w:tcW w:w="2693" w:type="dxa"/>
          </w:tcPr>
          <w:p w:rsidR="008E18DE" w:rsidRPr="00607EC6" w:rsidRDefault="008E18DE" w:rsidP="007E198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07EC6">
              <w:rPr>
                <w:rFonts w:asciiTheme="majorHAnsi" w:hAnsiTheme="majorHAnsi"/>
                <w:sz w:val="24"/>
                <w:szCs w:val="24"/>
              </w:rPr>
              <w:t>2012</w:t>
            </w:r>
          </w:p>
        </w:tc>
        <w:tc>
          <w:tcPr>
            <w:tcW w:w="3686" w:type="dxa"/>
          </w:tcPr>
          <w:p w:rsidR="008E18DE" w:rsidRPr="00607EC6" w:rsidRDefault="008E18DE" w:rsidP="007E198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07EC6">
              <w:rPr>
                <w:rFonts w:asciiTheme="majorHAnsi" w:hAnsiTheme="majorHAnsi"/>
                <w:sz w:val="24"/>
                <w:szCs w:val="24"/>
              </w:rPr>
              <w:t>Extorsión</w:t>
            </w:r>
          </w:p>
        </w:tc>
      </w:tr>
      <w:tr w:rsidR="008E18DE" w:rsidTr="007E1984">
        <w:tc>
          <w:tcPr>
            <w:tcW w:w="2693" w:type="dxa"/>
          </w:tcPr>
          <w:p w:rsidR="008E18DE" w:rsidRPr="00607EC6" w:rsidRDefault="008E18DE" w:rsidP="007E198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07EC6">
              <w:rPr>
                <w:rFonts w:asciiTheme="majorHAnsi" w:hAnsiTheme="majorHAnsi"/>
                <w:sz w:val="24"/>
                <w:szCs w:val="24"/>
              </w:rPr>
              <w:t>2013</w:t>
            </w:r>
          </w:p>
        </w:tc>
        <w:tc>
          <w:tcPr>
            <w:tcW w:w="3686" w:type="dxa"/>
          </w:tcPr>
          <w:p w:rsidR="008E18DE" w:rsidRPr="00607EC6" w:rsidRDefault="008E18DE" w:rsidP="007E198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07EC6">
              <w:rPr>
                <w:rFonts w:asciiTheme="majorHAnsi" w:hAnsiTheme="majorHAnsi"/>
                <w:sz w:val="24"/>
                <w:szCs w:val="24"/>
              </w:rPr>
              <w:t>Extorsión</w:t>
            </w:r>
          </w:p>
        </w:tc>
      </w:tr>
      <w:tr w:rsidR="008E18DE" w:rsidTr="007E1984">
        <w:tc>
          <w:tcPr>
            <w:tcW w:w="2693" w:type="dxa"/>
          </w:tcPr>
          <w:p w:rsidR="008E18DE" w:rsidRPr="00607EC6" w:rsidRDefault="008E18DE" w:rsidP="007E198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07EC6">
              <w:rPr>
                <w:rFonts w:asciiTheme="majorHAnsi" w:hAnsiTheme="majorHAnsi"/>
                <w:sz w:val="24"/>
                <w:szCs w:val="24"/>
              </w:rPr>
              <w:t>2014</w:t>
            </w:r>
          </w:p>
        </w:tc>
        <w:tc>
          <w:tcPr>
            <w:tcW w:w="3686" w:type="dxa"/>
          </w:tcPr>
          <w:p w:rsidR="008E18DE" w:rsidRPr="00607EC6" w:rsidRDefault="008E18DE" w:rsidP="007E198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07EC6">
              <w:rPr>
                <w:rFonts w:asciiTheme="majorHAnsi" w:hAnsiTheme="majorHAnsi"/>
                <w:sz w:val="24"/>
                <w:szCs w:val="24"/>
              </w:rPr>
              <w:t>Extorsión</w:t>
            </w:r>
          </w:p>
        </w:tc>
      </w:tr>
      <w:tr w:rsidR="008E18DE" w:rsidTr="007E1984">
        <w:tc>
          <w:tcPr>
            <w:tcW w:w="2693" w:type="dxa"/>
          </w:tcPr>
          <w:p w:rsidR="008E18DE" w:rsidRPr="00607EC6" w:rsidRDefault="008E18DE" w:rsidP="007E198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07EC6">
              <w:rPr>
                <w:rFonts w:asciiTheme="majorHAnsi" w:hAnsiTheme="majorHAnsi"/>
                <w:sz w:val="24"/>
                <w:szCs w:val="24"/>
              </w:rPr>
              <w:t>2015</w:t>
            </w:r>
          </w:p>
        </w:tc>
        <w:tc>
          <w:tcPr>
            <w:tcW w:w="3686" w:type="dxa"/>
          </w:tcPr>
          <w:p w:rsidR="008E18DE" w:rsidRPr="00607EC6" w:rsidRDefault="008E18DE" w:rsidP="007E198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07EC6">
              <w:rPr>
                <w:rFonts w:asciiTheme="majorHAnsi" w:hAnsiTheme="majorHAnsi"/>
                <w:sz w:val="24"/>
                <w:szCs w:val="24"/>
              </w:rPr>
              <w:t>Extorsión</w:t>
            </w:r>
          </w:p>
        </w:tc>
      </w:tr>
    </w:tbl>
    <w:p w:rsidR="008E18DE" w:rsidRDefault="008E18DE" w:rsidP="008E18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</w:t>
      </w:r>
    </w:p>
    <w:p w:rsidR="008E18DE" w:rsidRPr="00942B6C" w:rsidRDefault="008E18DE" w:rsidP="008E18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</w:t>
      </w:r>
    </w:p>
    <w:p w:rsidR="008E18DE" w:rsidRPr="00942B6C" w:rsidRDefault="008E18DE" w:rsidP="008E18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8E18DE" w:rsidRPr="00942B6C" w:rsidRDefault="008E18DE" w:rsidP="008E18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8E18DE" w:rsidRDefault="008E18DE" w:rsidP="008E18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E18DE" w:rsidRDefault="008E18DE" w:rsidP="008E18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E18DE" w:rsidRDefault="008E18DE" w:rsidP="008E18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E18DE" w:rsidRDefault="008E18DE" w:rsidP="008E18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E18DE" w:rsidRDefault="008E18DE" w:rsidP="008E18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</w:t>
      </w:r>
      <w:r>
        <w:rPr>
          <w:rFonts w:asciiTheme="majorHAnsi" w:hAnsiTheme="majorHAnsi"/>
          <w:b/>
          <w:sz w:val="24"/>
          <w:szCs w:val="24"/>
        </w:rPr>
        <w:t xml:space="preserve">4.   </w:t>
      </w:r>
      <w:r w:rsidRPr="000667F1">
        <w:rPr>
          <w:rFonts w:asciiTheme="majorHAnsi" w:hAnsiTheme="majorHAnsi"/>
          <w:sz w:val="24"/>
          <w:szCs w:val="24"/>
        </w:rPr>
        <w:t>Número de total de recluidas actualmente en Ilopango</w:t>
      </w:r>
      <w:r>
        <w:rPr>
          <w:rFonts w:asciiTheme="majorHAnsi" w:hAnsiTheme="majorHAnsi"/>
          <w:sz w:val="24"/>
          <w:szCs w:val="24"/>
        </w:rPr>
        <w:t xml:space="preserve">: </w:t>
      </w:r>
    </w:p>
    <w:p w:rsidR="008E18DE" w:rsidRDefault="008E18DE" w:rsidP="008E18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</w:t>
      </w:r>
      <w:r w:rsidRPr="000667F1">
        <w:rPr>
          <w:rFonts w:asciiTheme="majorHAnsi" w:hAnsiTheme="majorHAnsi"/>
          <w:b/>
          <w:sz w:val="24"/>
          <w:szCs w:val="24"/>
        </w:rPr>
        <w:t>Cantidad 2,319 de Privadas de Libertad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8E18DE" w:rsidRDefault="008E18DE" w:rsidP="008E18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8E18DE" w:rsidRPr="000667F1" w:rsidRDefault="008E18DE" w:rsidP="008E18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5.    </w:t>
      </w:r>
      <w:r w:rsidRPr="000667F1">
        <w:rPr>
          <w:rFonts w:asciiTheme="majorHAnsi" w:hAnsiTheme="majorHAnsi"/>
          <w:sz w:val="24"/>
          <w:szCs w:val="24"/>
        </w:rPr>
        <w:t>Capacidad del Centro Penitenciario de Ilopango</w:t>
      </w:r>
      <w:r>
        <w:rPr>
          <w:rFonts w:asciiTheme="majorHAnsi" w:hAnsiTheme="majorHAnsi"/>
          <w:sz w:val="24"/>
          <w:szCs w:val="24"/>
        </w:rPr>
        <w:t>:</w:t>
      </w:r>
    </w:p>
    <w:p w:rsidR="008E18DE" w:rsidRDefault="008E18DE" w:rsidP="008E18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</w:t>
      </w:r>
      <w:r w:rsidRPr="000667F1">
        <w:rPr>
          <w:rFonts w:asciiTheme="majorHAnsi" w:hAnsiTheme="majorHAnsi"/>
          <w:b/>
          <w:sz w:val="24"/>
          <w:szCs w:val="24"/>
        </w:rPr>
        <w:t>La capacidad asignada es de 550 PDL</w:t>
      </w:r>
      <w:r>
        <w:rPr>
          <w:rFonts w:asciiTheme="majorHAnsi" w:hAnsiTheme="majorHAnsi"/>
          <w:b/>
          <w:sz w:val="24"/>
          <w:szCs w:val="24"/>
        </w:rPr>
        <w:t>’S.</w:t>
      </w:r>
    </w:p>
    <w:p w:rsidR="008E18DE" w:rsidRDefault="008E18DE" w:rsidP="008E18D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8E18DE" w:rsidRPr="00E26820" w:rsidRDefault="008E18DE" w:rsidP="008E18DE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E26820">
        <w:rPr>
          <w:rFonts w:asciiTheme="majorHAnsi" w:hAnsiTheme="majorHAnsi"/>
          <w:sz w:val="24"/>
          <w:szCs w:val="24"/>
        </w:rPr>
        <w:t xml:space="preserve">Con base en el Sistema de Información Penitenciaria (SIPE), se informa que </w:t>
      </w:r>
      <w:r>
        <w:rPr>
          <w:rFonts w:asciiTheme="majorHAnsi" w:hAnsiTheme="majorHAnsi"/>
          <w:sz w:val="24"/>
          <w:szCs w:val="24"/>
        </w:rPr>
        <w:t>no se cuenta con información de</w:t>
      </w:r>
      <w:r w:rsidRPr="00E26820">
        <w:rPr>
          <w:rFonts w:asciiTheme="majorHAnsi" w:hAnsiTheme="majorHAnsi"/>
          <w:sz w:val="24"/>
          <w:szCs w:val="24"/>
        </w:rPr>
        <w:t xml:space="preserve"> año</w:t>
      </w:r>
      <w:r>
        <w:rPr>
          <w:rFonts w:asciiTheme="majorHAnsi" w:hAnsiTheme="majorHAnsi"/>
          <w:sz w:val="24"/>
          <w:szCs w:val="24"/>
        </w:rPr>
        <w:t>s</w:t>
      </w:r>
      <w:r w:rsidRPr="00E26820">
        <w:rPr>
          <w:rFonts w:asciiTheme="majorHAnsi" w:hAnsiTheme="majorHAnsi"/>
          <w:sz w:val="24"/>
          <w:szCs w:val="24"/>
        </w:rPr>
        <w:t xml:space="preserve"> anterior al 2011, ya que en ese tiempo</w:t>
      </w:r>
      <w:r>
        <w:rPr>
          <w:rFonts w:asciiTheme="majorHAnsi" w:hAnsiTheme="majorHAnsi"/>
          <w:sz w:val="24"/>
          <w:szCs w:val="24"/>
        </w:rPr>
        <w:t xml:space="preserve"> </w:t>
      </w:r>
      <w:r w:rsidRPr="00E26820">
        <w:rPr>
          <w:rFonts w:asciiTheme="majorHAnsi" w:hAnsiTheme="majorHAnsi"/>
          <w:sz w:val="24"/>
          <w:szCs w:val="24"/>
        </w:rPr>
        <w:t>no se poseía ningún registro informativo.</w:t>
      </w:r>
    </w:p>
    <w:p w:rsidR="008E18DE" w:rsidRDefault="008E18DE" w:rsidP="008E18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E18DE" w:rsidRDefault="008E18DE" w:rsidP="008E18D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E18DE" w:rsidRPr="00687ECE" w:rsidRDefault="008E18DE" w:rsidP="008E18DE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14112">
        <w:rPr>
          <w:rFonts w:asciiTheme="majorHAnsi" w:hAnsiTheme="majorHAnsi"/>
          <w:sz w:val="24"/>
          <w:szCs w:val="24"/>
        </w:rPr>
        <w:t>Queda expedito el derecho del solicitante de proceder conforme lo establecido en el art. 82 de la Ley de Acceso a la Información Pública.</w:t>
      </w:r>
    </w:p>
    <w:p w:rsidR="008E18DE" w:rsidRDefault="008E18DE" w:rsidP="008E18DE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8E18DE" w:rsidRPr="00914112" w:rsidRDefault="008E18DE" w:rsidP="008E18DE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San Salvador, a las quince horas del día veintiuno de julio dos mil dieciséis.</w:t>
      </w:r>
    </w:p>
    <w:p w:rsidR="008E18DE" w:rsidRPr="00914112" w:rsidRDefault="008E18DE" w:rsidP="008E18DE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8E18DE" w:rsidRPr="00914112" w:rsidRDefault="008E18DE" w:rsidP="008E18DE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8E18DE" w:rsidRPr="00914112" w:rsidRDefault="008E18DE" w:rsidP="008E18DE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8E18DE" w:rsidRPr="00914112" w:rsidRDefault="008E18DE" w:rsidP="008E18DE">
      <w:pPr>
        <w:spacing w:after="0"/>
        <w:ind w:left="3540" w:firstLine="708"/>
        <w:jc w:val="both"/>
        <w:rPr>
          <w:rFonts w:asciiTheme="majorHAnsi" w:hAnsiTheme="majorHAnsi"/>
          <w:b/>
          <w:sz w:val="24"/>
          <w:szCs w:val="24"/>
        </w:rPr>
      </w:pPr>
      <w:r w:rsidRPr="00914112">
        <w:rPr>
          <w:rFonts w:asciiTheme="majorHAnsi" w:hAnsiTheme="majorHAnsi"/>
          <w:b/>
          <w:sz w:val="24"/>
          <w:szCs w:val="24"/>
        </w:rPr>
        <w:t>Licda. Marlene Janeth Cardona Andrade</w:t>
      </w:r>
    </w:p>
    <w:p w:rsidR="008E18DE" w:rsidRPr="00914112" w:rsidRDefault="008E18DE" w:rsidP="008E18DE">
      <w:pPr>
        <w:spacing w:after="0"/>
        <w:ind w:left="3540" w:firstLine="708"/>
        <w:jc w:val="both"/>
        <w:rPr>
          <w:rFonts w:asciiTheme="majorHAnsi" w:hAnsiTheme="majorHAnsi"/>
          <w:sz w:val="24"/>
          <w:szCs w:val="24"/>
        </w:rPr>
      </w:pPr>
      <w:r w:rsidRPr="00914112">
        <w:rPr>
          <w:rFonts w:asciiTheme="majorHAnsi" w:hAnsiTheme="majorHAnsi"/>
          <w:b/>
          <w:sz w:val="24"/>
          <w:szCs w:val="24"/>
        </w:rPr>
        <w:t>Oficial de Información</w:t>
      </w:r>
    </w:p>
    <w:p w:rsidR="008E18DE" w:rsidRDefault="008E18DE" w:rsidP="008E18DE">
      <w:pPr>
        <w:spacing w:after="0"/>
        <w:jc w:val="both"/>
        <w:rPr>
          <w:rFonts w:asciiTheme="majorHAnsi" w:hAnsiTheme="majorHAnsi"/>
          <w:sz w:val="16"/>
          <w:szCs w:val="16"/>
        </w:rPr>
      </w:pPr>
      <w:r w:rsidRPr="00914112"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         </w:t>
      </w:r>
      <w:r>
        <w:rPr>
          <w:rFonts w:asciiTheme="majorHAnsi" w:hAnsiTheme="majorHAnsi"/>
          <w:sz w:val="16"/>
          <w:szCs w:val="16"/>
        </w:rPr>
        <w:t xml:space="preserve">                    Ref. Solicitud UAIP/OIR/192</w:t>
      </w:r>
      <w:r w:rsidRPr="00914112">
        <w:rPr>
          <w:rFonts w:asciiTheme="majorHAnsi" w:hAnsiTheme="majorHAnsi"/>
          <w:sz w:val="16"/>
          <w:szCs w:val="16"/>
        </w:rPr>
        <w:t>/</w:t>
      </w:r>
      <w:r>
        <w:rPr>
          <w:rFonts w:asciiTheme="majorHAnsi" w:hAnsiTheme="majorHAnsi"/>
          <w:sz w:val="16"/>
          <w:szCs w:val="16"/>
        </w:rPr>
        <w:t>2016.</w:t>
      </w:r>
    </w:p>
    <w:p w:rsidR="00644664" w:rsidRPr="00E739CE" w:rsidRDefault="00644664" w:rsidP="00570932">
      <w:pPr>
        <w:spacing w:after="0" w:line="240" w:lineRule="auto"/>
        <w:jc w:val="both"/>
        <w:rPr>
          <w:rFonts w:ascii="Cambria" w:hAnsi="Cambria"/>
          <w:sz w:val="18"/>
          <w:szCs w:val="18"/>
          <w:lang w:val="en-US"/>
        </w:rPr>
      </w:pPr>
    </w:p>
    <w:sectPr w:rsidR="00644664" w:rsidRPr="00E739CE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E2CC7"/>
    <w:multiLevelType w:val="hybridMultilevel"/>
    <w:tmpl w:val="3BA0B8A8"/>
    <w:lvl w:ilvl="0" w:tplc="2AC4F2BE">
      <w:start w:val="1"/>
      <w:numFmt w:val="decimal"/>
      <w:lvlText w:val="%1-"/>
      <w:lvlJc w:val="left"/>
      <w:pPr>
        <w:ind w:left="1070" w:hanging="360"/>
      </w:pPr>
      <w:rPr>
        <w:rFonts w:ascii="Cambria" w:eastAsia="Calibri" w:hAnsi="Cambria" w:cs="Calibri"/>
      </w:r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370AE3"/>
    <w:multiLevelType w:val="hybridMultilevel"/>
    <w:tmpl w:val="806AE68A"/>
    <w:lvl w:ilvl="0" w:tplc="F1B67F7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1D7C50"/>
    <w:rsid w:val="00433BB2"/>
    <w:rsid w:val="00491FFD"/>
    <w:rsid w:val="004A0CE1"/>
    <w:rsid w:val="00570932"/>
    <w:rsid w:val="005F0C13"/>
    <w:rsid w:val="0061746E"/>
    <w:rsid w:val="00644664"/>
    <w:rsid w:val="008918B5"/>
    <w:rsid w:val="008E18DE"/>
    <w:rsid w:val="00A10C4D"/>
    <w:rsid w:val="00A25199"/>
    <w:rsid w:val="00A76452"/>
    <w:rsid w:val="00A76D33"/>
    <w:rsid w:val="00A86B81"/>
    <w:rsid w:val="00BC0D00"/>
    <w:rsid w:val="00BD2051"/>
    <w:rsid w:val="00C73F5B"/>
    <w:rsid w:val="00E739CE"/>
    <w:rsid w:val="00EF0428"/>
    <w:rsid w:val="00F45E25"/>
    <w:rsid w:val="00F8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C4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C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3BFD4-92ED-4381-A8B7-1CA131E9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2016-08-08T15:05:00Z</dcterms:created>
  <dcterms:modified xsi:type="dcterms:W3CDTF">2016-09-26T17:06:00Z</dcterms:modified>
</cp:coreProperties>
</file>