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2CA" w:rsidRPr="00B91F36" w:rsidRDefault="005102CA" w:rsidP="005102CA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63D2A6F" wp14:editId="3391B53F">
            <wp:simplePos x="0" y="0"/>
            <wp:positionH relativeFrom="column">
              <wp:posOffset>-584835</wp:posOffset>
            </wp:positionH>
            <wp:positionV relativeFrom="paragraph">
              <wp:posOffset>-182880</wp:posOffset>
            </wp:positionV>
            <wp:extent cx="1025525" cy="809625"/>
            <wp:effectExtent l="0" t="0" r="3175" b="9525"/>
            <wp:wrapSquare wrapText="bothSides"/>
            <wp:docPr id="5" name="Imagen 5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77E31251" wp14:editId="5D42A4DC">
            <wp:simplePos x="0" y="0"/>
            <wp:positionH relativeFrom="column">
              <wp:posOffset>4816475</wp:posOffset>
            </wp:positionH>
            <wp:positionV relativeFrom="paragraph">
              <wp:posOffset>-178435</wp:posOffset>
            </wp:positionV>
            <wp:extent cx="1421765" cy="809625"/>
            <wp:effectExtent l="0" t="0" r="6985" b="9525"/>
            <wp:wrapSquare wrapText="bothSides"/>
            <wp:docPr id="8" name="Imagen 8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5102CA" w:rsidRPr="00B91F36" w:rsidRDefault="005102CA" w:rsidP="005102CA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5102CA" w:rsidRPr="00B91F36" w:rsidRDefault="005102CA" w:rsidP="005102CA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5102CA" w:rsidRPr="00555786" w:rsidRDefault="005102CA" w:rsidP="005102CA">
      <w:pPr>
        <w:pStyle w:val="Piedepgina"/>
        <w:jc w:val="center"/>
        <w:rPr>
          <w:rFonts w:ascii="Arial" w:hAnsi="Arial" w:cs="Arial"/>
          <w:bCs/>
          <w:sz w:val="18"/>
          <w:szCs w:val="18"/>
          <w:lang w:val="es-ES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 xml:space="preserve">7ª Avenida Norte y Pasaje N° 3 Urbanización Santa Adela Casa N° 1 Sn. </w:t>
      </w:r>
      <w:proofErr w:type="spellStart"/>
      <w:r w:rsidRPr="00555786">
        <w:rPr>
          <w:rFonts w:ascii="Arial" w:hAnsi="Arial" w:cs="Arial"/>
          <w:bCs/>
          <w:sz w:val="18"/>
          <w:szCs w:val="18"/>
          <w:lang w:val="es-ES"/>
        </w:rPr>
        <w:t>Salv</w:t>
      </w:r>
      <w:proofErr w:type="spellEnd"/>
      <w:r w:rsidRPr="00555786">
        <w:rPr>
          <w:rFonts w:ascii="Arial" w:hAnsi="Arial" w:cs="Arial"/>
          <w:bCs/>
          <w:sz w:val="18"/>
          <w:szCs w:val="18"/>
          <w:lang w:val="es-ES"/>
        </w:rPr>
        <w:t>.</w:t>
      </w:r>
    </w:p>
    <w:p w:rsidR="005102CA" w:rsidRPr="00555786" w:rsidRDefault="005102CA" w:rsidP="005102CA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Tel. 2527-8700</w:t>
      </w:r>
      <w:r>
        <w:rPr>
          <w:rFonts w:ascii="Arial Narrow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13197" wp14:editId="2A383138">
                <wp:simplePos x="0" y="0"/>
                <wp:positionH relativeFrom="column">
                  <wp:posOffset>-603885</wp:posOffset>
                </wp:positionH>
                <wp:positionV relativeFrom="paragraph">
                  <wp:posOffset>139700</wp:posOffset>
                </wp:positionV>
                <wp:extent cx="6809740" cy="0"/>
                <wp:effectExtent l="0" t="0" r="10160" b="19050"/>
                <wp:wrapNone/>
                <wp:docPr id="4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  </w:pict>
          </mc:Fallback>
        </mc:AlternateContent>
      </w:r>
    </w:p>
    <w:p w:rsidR="005102CA" w:rsidRDefault="005102CA" w:rsidP="005102CA">
      <w:pPr>
        <w:spacing w:after="0"/>
        <w:ind w:firstLine="709"/>
        <w:jc w:val="both"/>
        <w:rPr>
          <w:rFonts w:ascii="Arial" w:hAnsi="Arial" w:cs="Arial"/>
        </w:rPr>
      </w:pPr>
    </w:p>
    <w:p w:rsidR="005102CA" w:rsidRPr="0056518D" w:rsidRDefault="005102CA" w:rsidP="005102CA">
      <w:pPr>
        <w:spacing w:after="0"/>
        <w:ind w:firstLine="708"/>
        <w:jc w:val="both"/>
        <w:rPr>
          <w:rFonts w:asciiTheme="minorHAnsi" w:hAnsiTheme="minorHAnsi"/>
          <w:sz w:val="24"/>
        </w:rPr>
      </w:pPr>
      <w:r w:rsidRPr="0056518D">
        <w:rPr>
          <w:rFonts w:asciiTheme="minorHAnsi" w:hAnsiTheme="minorHAnsi"/>
          <w:sz w:val="24"/>
        </w:rPr>
        <w:t xml:space="preserve">Vista la solicitud de la señora </w:t>
      </w:r>
      <w:r w:rsidRPr="00F330AB">
        <w:rPr>
          <w:rFonts w:asciiTheme="minorHAnsi" w:hAnsiTheme="minorHAnsi"/>
          <w:sz w:val="24"/>
          <w:highlight w:val="black"/>
        </w:rPr>
        <w:t>XXXXXXXXXXX</w:t>
      </w:r>
      <w:bookmarkStart w:id="0" w:name="_GoBack"/>
      <w:bookmarkEnd w:id="0"/>
      <w:r w:rsidRPr="0056518D">
        <w:rPr>
          <w:rFonts w:asciiTheme="minorHAnsi" w:hAnsiTheme="minorHAnsi"/>
          <w:sz w:val="24"/>
        </w:rPr>
        <w:t xml:space="preserve">, con Documento Único de Identidad número </w:t>
      </w:r>
      <w:r w:rsidRPr="00F330AB">
        <w:rPr>
          <w:rFonts w:asciiTheme="minorHAnsi" w:hAnsiTheme="minorHAnsi"/>
          <w:sz w:val="24"/>
          <w:highlight w:val="black"/>
        </w:rPr>
        <w:t>XXXXXXXXXXXXXXXXXXXXX</w:t>
      </w:r>
      <w:r w:rsidRPr="0056518D">
        <w:rPr>
          <w:rFonts w:asciiTheme="minorHAnsi" w:hAnsiTheme="minorHAnsi"/>
          <w:sz w:val="24"/>
        </w:rPr>
        <w:t>, quien solicita:</w:t>
      </w:r>
    </w:p>
    <w:p w:rsidR="005102CA" w:rsidRPr="0056518D" w:rsidRDefault="005102CA" w:rsidP="005102CA">
      <w:pPr>
        <w:pStyle w:val="Prrafode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="Arial"/>
          <w:i/>
          <w:kern w:val="28"/>
          <w:sz w:val="24"/>
          <w:lang w:eastAsia="es-SV"/>
        </w:rPr>
      </w:pPr>
      <w:r w:rsidRPr="0056518D">
        <w:rPr>
          <w:rFonts w:asciiTheme="minorHAnsi" w:eastAsia="Times New Roman" w:hAnsiTheme="minorHAnsi" w:cs="Arial"/>
          <w:i/>
          <w:kern w:val="28"/>
          <w:sz w:val="24"/>
          <w:lang w:eastAsia="es-SV"/>
        </w:rPr>
        <w:t>Presupuesto asignado al Centro Penal de Quezaltepeque, total y desglosado por área.</w:t>
      </w:r>
    </w:p>
    <w:p w:rsidR="005102CA" w:rsidRPr="0056518D" w:rsidRDefault="005102CA" w:rsidP="005102CA">
      <w:pPr>
        <w:pStyle w:val="Prrafode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="Arial"/>
          <w:i/>
          <w:kern w:val="28"/>
          <w:sz w:val="24"/>
          <w:lang w:eastAsia="es-SV"/>
        </w:rPr>
      </w:pPr>
      <w:r w:rsidRPr="0056518D">
        <w:rPr>
          <w:rFonts w:asciiTheme="minorHAnsi" w:eastAsia="Times New Roman" w:hAnsiTheme="minorHAnsi" w:cs="Arial"/>
          <w:i/>
          <w:kern w:val="28"/>
          <w:sz w:val="24"/>
          <w:lang w:eastAsia="es-SV"/>
        </w:rPr>
        <w:t>Cantidad Presupuestaria asignada a programas de reinserción social por sexo.</w:t>
      </w:r>
    </w:p>
    <w:p w:rsidR="005102CA" w:rsidRPr="0056518D" w:rsidRDefault="005102CA" w:rsidP="005102CA">
      <w:pPr>
        <w:pStyle w:val="Prrafode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="Arial"/>
          <w:i/>
          <w:kern w:val="28"/>
          <w:sz w:val="24"/>
          <w:lang w:eastAsia="es-SV"/>
        </w:rPr>
      </w:pPr>
      <w:r w:rsidRPr="0056518D">
        <w:rPr>
          <w:rFonts w:asciiTheme="minorHAnsi" w:eastAsia="Times New Roman" w:hAnsiTheme="minorHAnsi" w:cs="Arial"/>
          <w:i/>
          <w:kern w:val="28"/>
          <w:sz w:val="24"/>
          <w:lang w:eastAsia="es-SV"/>
        </w:rPr>
        <w:t>Tipos de programas de reinserción social por sexo.</w:t>
      </w:r>
    </w:p>
    <w:p w:rsidR="005102CA" w:rsidRPr="0056518D" w:rsidRDefault="005102CA" w:rsidP="005102CA">
      <w:pPr>
        <w:pStyle w:val="Prrafode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="Arial"/>
          <w:i/>
          <w:kern w:val="28"/>
          <w:sz w:val="24"/>
          <w:lang w:eastAsia="es-SV"/>
        </w:rPr>
      </w:pPr>
      <w:r w:rsidRPr="0056518D">
        <w:rPr>
          <w:rFonts w:asciiTheme="minorHAnsi" w:eastAsia="Times New Roman" w:hAnsiTheme="minorHAnsi" w:cs="Arial"/>
          <w:i/>
          <w:kern w:val="28"/>
          <w:sz w:val="24"/>
          <w:lang w:eastAsia="es-SV"/>
        </w:rPr>
        <w:t>Desde que año alberga mujeres el Centro Penal de Quezaltepeque.</w:t>
      </w:r>
    </w:p>
    <w:p w:rsidR="005102CA" w:rsidRPr="0056518D" w:rsidRDefault="005102CA" w:rsidP="005102CA">
      <w:pPr>
        <w:pStyle w:val="Prrafode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="Arial"/>
          <w:i/>
          <w:kern w:val="28"/>
          <w:sz w:val="24"/>
          <w:lang w:eastAsia="es-SV"/>
        </w:rPr>
      </w:pPr>
      <w:r w:rsidRPr="0056518D">
        <w:rPr>
          <w:rFonts w:asciiTheme="minorHAnsi" w:eastAsia="Times New Roman" w:hAnsiTheme="minorHAnsi" w:cs="Arial"/>
          <w:i/>
          <w:kern w:val="28"/>
          <w:sz w:val="24"/>
          <w:lang w:eastAsia="es-SV"/>
        </w:rPr>
        <w:t>A cuántas mujeres, está capacitado para albergar este Centro Penal y cantidad de mujeres internas por año del 2009 a la fecha.</w:t>
      </w:r>
    </w:p>
    <w:p w:rsidR="005102CA" w:rsidRPr="0056518D" w:rsidRDefault="005102CA" w:rsidP="005102CA">
      <w:pPr>
        <w:pStyle w:val="Prrafode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="Arial"/>
          <w:i/>
          <w:kern w:val="28"/>
          <w:sz w:val="24"/>
          <w:lang w:eastAsia="es-SV"/>
        </w:rPr>
      </w:pPr>
      <w:r w:rsidRPr="0056518D">
        <w:rPr>
          <w:rFonts w:asciiTheme="minorHAnsi" w:eastAsia="Times New Roman" w:hAnsiTheme="minorHAnsi" w:cs="Arial"/>
          <w:i/>
          <w:kern w:val="28"/>
          <w:sz w:val="24"/>
          <w:lang w:eastAsia="es-SV"/>
        </w:rPr>
        <w:t>De que se trató la ampliación en el Centro de Cumplimiento de Penas de Quezaltepeque en el año 2013 y a qué población beneficio es específico.</w:t>
      </w:r>
    </w:p>
    <w:p w:rsidR="005102CA" w:rsidRPr="0056518D" w:rsidRDefault="005102CA" w:rsidP="005102CA">
      <w:pPr>
        <w:pStyle w:val="Prrafodelista"/>
        <w:widowControl w:val="0"/>
        <w:overflowPunct w:val="0"/>
        <w:autoSpaceDE w:val="0"/>
        <w:autoSpaceDN w:val="0"/>
        <w:adjustRightInd w:val="0"/>
        <w:spacing w:after="0"/>
        <w:ind w:firstLine="696"/>
        <w:jc w:val="both"/>
        <w:rPr>
          <w:rFonts w:asciiTheme="minorHAnsi" w:eastAsia="Times New Roman" w:hAnsiTheme="minorHAnsi" w:cs="Arial"/>
          <w:i/>
          <w:kern w:val="28"/>
          <w:sz w:val="24"/>
          <w:lang w:eastAsia="es-SV"/>
        </w:rPr>
      </w:pPr>
      <w:r w:rsidRPr="0056518D">
        <w:rPr>
          <w:rFonts w:asciiTheme="minorHAnsi" w:eastAsia="Times New Roman" w:hAnsiTheme="minorHAnsi" w:cs="Arial"/>
          <w:i/>
          <w:kern w:val="28"/>
          <w:sz w:val="24"/>
          <w:lang w:eastAsia="es-SV"/>
        </w:rPr>
        <w:t>Lo anterior del Centro Penal de Quezaltepeque.</w:t>
      </w:r>
    </w:p>
    <w:p w:rsidR="005102CA" w:rsidRPr="0056518D" w:rsidRDefault="005102CA" w:rsidP="005102CA">
      <w:pPr>
        <w:spacing w:after="0"/>
        <w:ind w:firstLine="708"/>
        <w:jc w:val="both"/>
        <w:rPr>
          <w:rFonts w:asciiTheme="minorHAnsi" w:hAnsiTheme="minorHAnsi"/>
          <w:sz w:val="24"/>
        </w:rPr>
      </w:pPr>
    </w:p>
    <w:p w:rsidR="005102CA" w:rsidRPr="0056518D" w:rsidRDefault="005102CA" w:rsidP="005102CA">
      <w:pPr>
        <w:spacing w:after="0"/>
        <w:ind w:firstLine="708"/>
        <w:jc w:val="both"/>
        <w:rPr>
          <w:rFonts w:asciiTheme="minorHAnsi" w:hAnsiTheme="minorHAnsi"/>
          <w:sz w:val="24"/>
        </w:rPr>
      </w:pPr>
      <w:r w:rsidRPr="0056518D">
        <w:rPr>
          <w:rFonts w:asciiTheme="minorHAnsi" w:hAnsiTheme="minorHAnsi"/>
          <w:sz w:val="24"/>
        </w:rPr>
        <w:t xml:space="preserve">Con el fin de dar cumplimiento a lo solicitado, conforme a los Arts. 1, 2, 3 Lit. </w:t>
      </w:r>
      <w:proofErr w:type="gramStart"/>
      <w:r w:rsidRPr="0056518D">
        <w:rPr>
          <w:rFonts w:asciiTheme="minorHAnsi" w:hAnsiTheme="minorHAnsi"/>
          <w:sz w:val="24"/>
        </w:rPr>
        <w:t>a</w:t>
      </w:r>
      <w:proofErr w:type="gramEnd"/>
      <w:r w:rsidRPr="0056518D">
        <w:rPr>
          <w:rFonts w:asciiTheme="minorHAnsi" w:hAnsiTheme="minorHAnsi"/>
          <w:sz w:val="24"/>
        </w:rPr>
        <w:t xml:space="preserve">, b, j. Art. 4 Lit. </w:t>
      </w:r>
      <w:proofErr w:type="gramStart"/>
      <w:r w:rsidRPr="0056518D">
        <w:rPr>
          <w:rFonts w:asciiTheme="minorHAnsi" w:hAnsiTheme="minorHAnsi"/>
          <w:sz w:val="24"/>
        </w:rPr>
        <w:t>a</w:t>
      </w:r>
      <w:proofErr w:type="gramEnd"/>
      <w:r w:rsidRPr="0056518D">
        <w:rPr>
          <w:rFonts w:asciiTheme="minorHAnsi" w:hAnsiTheme="minorHAnsi"/>
          <w:sz w:val="24"/>
        </w:rPr>
        <w:t xml:space="preserve">, b, c, d, e, f, g.  y Artículos 65, 69, 71 y 72 de la Ley de Acceso a la Información Pública, la suscrita </w:t>
      </w:r>
      <w:r w:rsidRPr="0056518D">
        <w:rPr>
          <w:rFonts w:asciiTheme="minorHAnsi" w:hAnsiTheme="minorHAnsi"/>
          <w:b/>
          <w:sz w:val="24"/>
        </w:rPr>
        <w:t>RESUELVE:</w:t>
      </w:r>
      <w:r w:rsidRPr="0056518D">
        <w:rPr>
          <w:rFonts w:asciiTheme="minorHAnsi" w:hAnsiTheme="minorHAnsi"/>
          <w:sz w:val="24"/>
        </w:rPr>
        <w:t xml:space="preserve"> Conceder el acceso a la información solicitada, recibida en esta Unidad por el Centro Penitenciario y las Unidades Administrativas correspondientes, en tal sentido se hace de conocimiento lo siguiente:</w:t>
      </w:r>
    </w:p>
    <w:p w:rsidR="005102CA" w:rsidRPr="0056518D" w:rsidRDefault="005102CA" w:rsidP="005102CA">
      <w:pPr>
        <w:spacing w:after="0"/>
        <w:ind w:firstLine="708"/>
        <w:jc w:val="both"/>
        <w:rPr>
          <w:rFonts w:asciiTheme="minorHAnsi" w:hAnsiTheme="minorHAnsi"/>
          <w:sz w:val="24"/>
        </w:rPr>
      </w:pPr>
    </w:p>
    <w:p w:rsidR="005102CA" w:rsidRPr="0056518D" w:rsidRDefault="005102CA" w:rsidP="005102CA">
      <w:pPr>
        <w:spacing w:after="0"/>
        <w:ind w:firstLine="708"/>
        <w:jc w:val="both"/>
        <w:rPr>
          <w:rFonts w:asciiTheme="minorHAnsi" w:eastAsia="Times New Roman" w:hAnsiTheme="minorHAnsi" w:cs="Arial"/>
          <w:kern w:val="28"/>
          <w:sz w:val="24"/>
          <w:lang w:eastAsia="es-SV"/>
        </w:rPr>
      </w:pPr>
      <w:r w:rsidRPr="0056518D">
        <w:rPr>
          <w:rFonts w:asciiTheme="minorHAnsi" w:eastAsia="Times New Roman" w:hAnsiTheme="minorHAnsi" w:cs="Arial"/>
          <w:kern w:val="28"/>
          <w:sz w:val="24"/>
          <w:lang w:eastAsia="es-SV"/>
        </w:rPr>
        <w:t>En cuanto a dar respuesta a los ítems 1 y 2 se informa que el presupuesto es autorizado en forma global para atender todas las necesidades del Sistema Penitenciario, en tal sentido se anexa el Presupuesto Asignado Año 2016 a favor de esta Dirección General.</w:t>
      </w:r>
    </w:p>
    <w:p w:rsidR="005102CA" w:rsidRPr="0056518D" w:rsidRDefault="005102CA" w:rsidP="005102CA">
      <w:pPr>
        <w:spacing w:after="0"/>
        <w:ind w:firstLine="708"/>
        <w:jc w:val="both"/>
        <w:rPr>
          <w:rFonts w:asciiTheme="minorHAnsi" w:eastAsia="Times New Roman" w:hAnsiTheme="minorHAnsi" w:cs="Arial"/>
          <w:kern w:val="28"/>
          <w:sz w:val="24"/>
          <w:lang w:eastAsia="es-SV"/>
        </w:rPr>
      </w:pPr>
    </w:p>
    <w:p w:rsidR="005102CA" w:rsidRPr="0056518D" w:rsidRDefault="005102CA" w:rsidP="005102CA">
      <w:pPr>
        <w:spacing w:after="0"/>
        <w:ind w:firstLine="708"/>
        <w:jc w:val="both"/>
        <w:rPr>
          <w:rFonts w:asciiTheme="minorHAnsi" w:hAnsiTheme="minorHAnsi"/>
          <w:sz w:val="24"/>
        </w:rPr>
      </w:pPr>
      <w:r w:rsidRPr="0056518D">
        <w:rPr>
          <w:rFonts w:asciiTheme="minorHAnsi" w:hAnsiTheme="minorHAnsi"/>
          <w:sz w:val="24"/>
        </w:rPr>
        <w:t>En cuanto a tipos de programas de reinserción social por sexo, se informa que los tipos de programas de reinserción social son los generales (educación, arte y cultura, deporte, religión, trabajo penitenciario y salud) y los programas especializados (drogodependencia y ofensores sexuales).</w:t>
      </w:r>
    </w:p>
    <w:p w:rsidR="005102CA" w:rsidRPr="0056518D" w:rsidRDefault="005102CA" w:rsidP="005102CA">
      <w:pPr>
        <w:spacing w:after="0"/>
        <w:ind w:firstLine="708"/>
        <w:jc w:val="both"/>
        <w:rPr>
          <w:rFonts w:asciiTheme="minorHAnsi" w:hAnsiTheme="minorHAnsi"/>
          <w:sz w:val="24"/>
        </w:rPr>
      </w:pPr>
    </w:p>
    <w:p w:rsidR="005102CA" w:rsidRPr="0056518D" w:rsidRDefault="005102CA" w:rsidP="005102CA">
      <w:pPr>
        <w:spacing w:after="0"/>
        <w:ind w:firstLine="708"/>
        <w:jc w:val="both"/>
        <w:rPr>
          <w:rFonts w:asciiTheme="minorHAnsi" w:hAnsiTheme="minorHAnsi"/>
          <w:sz w:val="24"/>
        </w:rPr>
      </w:pPr>
      <w:r w:rsidRPr="0056518D">
        <w:rPr>
          <w:rFonts w:asciiTheme="minorHAnsi" w:hAnsiTheme="minorHAnsi"/>
          <w:sz w:val="24"/>
        </w:rPr>
        <w:t>Referente a desde que año alberga mujeres el Centro Penal de Quezaltepeque, se informa que el mismo alberga mujeres desde el año 2007.</w:t>
      </w:r>
    </w:p>
    <w:p w:rsidR="005102CA" w:rsidRPr="0056518D" w:rsidRDefault="005102CA" w:rsidP="005102CA">
      <w:pPr>
        <w:spacing w:after="0"/>
        <w:ind w:firstLine="708"/>
        <w:jc w:val="both"/>
        <w:rPr>
          <w:rFonts w:asciiTheme="minorHAnsi" w:hAnsiTheme="minorHAnsi"/>
          <w:sz w:val="24"/>
        </w:rPr>
      </w:pPr>
    </w:p>
    <w:p w:rsidR="005102CA" w:rsidRPr="0056518D" w:rsidRDefault="005102CA" w:rsidP="005102CA">
      <w:pPr>
        <w:spacing w:after="0"/>
        <w:ind w:firstLine="708"/>
        <w:jc w:val="both"/>
        <w:rPr>
          <w:rFonts w:asciiTheme="minorHAnsi" w:eastAsia="Times New Roman" w:hAnsiTheme="minorHAnsi" w:cs="Arial"/>
          <w:kern w:val="28"/>
          <w:sz w:val="24"/>
          <w:lang w:eastAsia="es-SV"/>
        </w:rPr>
      </w:pPr>
      <w:r w:rsidRPr="0056518D">
        <w:rPr>
          <w:rFonts w:asciiTheme="minorHAnsi" w:hAnsiTheme="minorHAnsi"/>
          <w:sz w:val="24"/>
        </w:rPr>
        <w:lastRenderedPageBreak/>
        <w:t xml:space="preserve">Referente a </w:t>
      </w:r>
      <w:r w:rsidRPr="0056518D">
        <w:rPr>
          <w:rFonts w:asciiTheme="minorHAnsi" w:eastAsia="Times New Roman" w:hAnsiTheme="minorHAnsi" w:cs="Arial"/>
          <w:kern w:val="28"/>
          <w:sz w:val="24"/>
          <w:lang w:eastAsia="es-SV"/>
        </w:rPr>
        <w:t>cuántas mujeres, está capacitado para albergar el Centro Penal de Quezaltepeque y cantidad de mujeres internas por año del 2009 a la fecha, se proporciona el siguiente cuadro informativo:</w:t>
      </w:r>
    </w:p>
    <w:p w:rsidR="005102CA" w:rsidRPr="0056518D" w:rsidRDefault="005102CA" w:rsidP="005102CA">
      <w:pPr>
        <w:spacing w:after="0"/>
        <w:ind w:firstLine="708"/>
        <w:jc w:val="both"/>
        <w:rPr>
          <w:rFonts w:asciiTheme="minorHAnsi" w:eastAsia="Times New Roman" w:hAnsiTheme="minorHAnsi" w:cs="Arial"/>
          <w:kern w:val="28"/>
          <w:sz w:val="24"/>
          <w:lang w:eastAsia="es-SV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12"/>
        <w:gridCol w:w="1441"/>
        <w:gridCol w:w="3090"/>
      </w:tblGrid>
      <w:tr w:rsidR="005102CA" w:rsidTr="00123E58">
        <w:trPr>
          <w:jc w:val="center"/>
        </w:trPr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5102CA" w:rsidRPr="00E6580F" w:rsidRDefault="005102CA" w:rsidP="00123E58">
            <w:pPr>
              <w:jc w:val="center"/>
              <w:rPr>
                <w:rFonts w:asciiTheme="majorHAnsi" w:eastAsia="Times New Roman" w:hAnsiTheme="majorHAnsi" w:cs="Arial"/>
                <w:b/>
                <w:i/>
                <w:kern w:val="28"/>
                <w:lang w:eastAsia="es-SV"/>
              </w:rPr>
            </w:pPr>
            <w:r w:rsidRPr="00E6580F">
              <w:rPr>
                <w:rFonts w:asciiTheme="majorHAnsi" w:eastAsia="Times New Roman" w:hAnsiTheme="majorHAnsi" w:cs="Arial"/>
                <w:b/>
                <w:i/>
                <w:kern w:val="28"/>
                <w:lang w:eastAsia="es-SV"/>
              </w:rPr>
              <w:t>CAPACIDAD INSTALADA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5102CA" w:rsidRPr="00E6580F" w:rsidRDefault="005102CA" w:rsidP="00123E58">
            <w:pPr>
              <w:jc w:val="center"/>
              <w:rPr>
                <w:rFonts w:asciiTheme="majorHAnsi" w:eastAsia="Times New Roman" w:hAnsiTheme="majorHAnsi" w:cs="Arial"/>
                <w:b/>
                <w:i/>
                <w:kern w:val="28"/>
                <w:lang w:eastAsia="es-SV"/>
              </w:rPr>
            </w:pPr>
            <w:r w:rsidRPr="00E6580F">
              <w:rPr>
                <w:rFonts w:asciiTheme="majorHAnsi" w:eastAsia="Times New Roman" w:hAnsiTheme="majorHAnsi" w:cs="Arial"/>
                <w:b/>
                <w:i/>
                <w:kern w:val="28"/>
                <w:lang w:eastAsia="es-SV"/>
              </w:rPr>
              <w:t>TOTAL DE MUJERES POR AÑO</w:t>
            </w:r>
          </w:p>
        </w:tc>
      </w:tr>
      <w:tr w:rsidR="005102CA" w:rsidTr="00123E58">
        <w:trPr>
          <w:jc w:val="center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:rsidR="005102CA" w:rsidRPr="00E6580F" w:rsidRDefault="005102CA" w:rsidP="00123E58">
            <w:pPr>
              <w:jc w:val="center"/>
              <w:rPr>
                <w:rFonts w:asciiTheme="majorHAnsi" w:eastAsia="Times New Roman" w:hAnsiTheme="majorHAnsi" w:cs="Arial"/>
                <w:b/>
                <w:i/>
                <w:kern w:val="28"/>
                <w:lang w:eastAsia="es-SV"/>
              </w:rPr>
            </w:pPr>
            <w:r w:rsidRPr="00E6580F">
              <w:rPr>
                <w:rFonts w:asciiTheme="majorHAnsi" w:eastAsia="Times New Roman" w:hAnsiTheme="majorHAnsi" w:cs="Arial"/>
                <w:b/>
                <w:i/>
                <w:kern w:val="28"/>
                <w:lang w:eastAsia="es-SV"/>
              </w:rPr>
              <w:t>AÑO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5102CA" w:rsidRPr="00E6580F" w:rsidRDefault="005102CA" w:rsidP="00123E58">
            <w:pPr>
              <w:jc w:val="center"/>
              <w:rPr>
                <w:rFonts w:asciiTheme="majorHAnsi" w:eastAsia="Times New Roman" w:hAnsiTheme="majorHAnsi" w:cs="Arial"/>
                <w:b/>
                <w:i/>
                <w:kern w:val="28"/>
                <w:lang w:eastAsia="es-SV"/>
              </w:rPr>
            </w:pPr>
            <w:r w:rsidRPr="00E6580F">
              <w:rPr>
                <w:rFonts w:asciiTheme="majorHAnsi" w:eastAsia="Times New Roman" w:hAnsiTheme="majorHAnsi" w:cs="Arial"/>
                <w:b/>
                <w:i/>
                <w:kern w:val="28"/>
                <w:lang w:eastAsia="es-SV"/>
              </w:rPr>
              <w:t>TOTAL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5102CA" w:rsidRPr="00E6580F" w:rsidRDefault="005102CA" w:rsidP="00123E58">
            <w:pPr>
              <w:jc w:val="center"/>
              <w:rPr>
                <w:rFonts w:asciiTheme="majorHAnsi" w:eastAsia="Times New Roman" w:hAnsiTheme="majorHAnsi" w:cs="Arial"/>
                <w:b/>
                <w:i/>
                <w:kern w:val="28"/>
                <w:lang w:eastAsia="es-SV"/>
              </w:rPr>
            </w:pPr>
          </w:p>
        </w:tc>
      </w:tr>
      <w:tr w:rsidR="005102CA" w:rsidTr="00123E58">
        <w:trPr>
          <w:jc w:val="center"/>
        </w:trPr>
        <w:tc>
          <w:tcPr>
            <w:tcW w:w="0" w:type="auto"/>
          </w:tcPr>
          <w:p w:rsidR="005102CA" w:rsidRDefault="005102CA" w:rsidP="00123E58">
            <w:pPr>
              <w:jc w:val="center"/>
              <w:rPr>
                <w:rFonts w:asciiTheme="majorHAnsi" w:eastAsia="Times New Roman" w:hAnsiTheme="majorHAnsi" w:cs="Arial"/>
                <w:i/>
                <w:kern w:val="28"/>
                <w:lang w:eastAsia="es-SV"/>
              </w:rPr>
            </w:pPr>
            <w:r>
              <w:rPr>
                <w:rFonts w:asciiTheme="majorHAnsi" w:eastAsia="Times New Roman" w:hAnsiTheme="majorHAnsi" w:cs="Arial"/>
                <w:i/>
                <w:kern w:val="28"/>
                <w:lang w:eastAsia="es-SV"/>
              </w:rPr>
              <w:t>2009</w:t>
            </w:r>
          </w:p>
        </w:tc>
        <w:tc>
          <w:tcPr>
            <w:tcW w:w="0" w:type="auto"/>
            <w:vMerge w:val="restart"/>
            <w:vAlign w:val="center"/>
          </w:tcPr>
          <w:p w:rsidR="005102CA" w:rsidRDefault="005102CA" w:rsidP="00123E58">
            <w:pPr>
              <w:jc w:val="center"/>
              <w:rPr>
                <w:rFonts w:asciiTheme="majorHAnsi" w:eastAsia="Times New Roman" w:hAnsiTheme="majorHAnsi" w:cs="Arial"/>
                <w:i/>
                <w:kern w:val="28"/>
                <w:lang w:eastAsia="es-SV"/>
              </w:rPr>
            </w:pPr>
            <w:r>
              <w:rPr>
                <w:rFonts w:asciiTheme="majorHAnsi" w:eastAsia="Times New Roman" w:hAnsiTheme="majorHAnsi" w:cs="Arial"/>
                <w:i/>
                <w:kern w:val="28"/>
                <w:lang w:eastAsia="es-SV"/>
              </w:rPr>
              <w:t>96</w:t>
            </w:r>
          </w:p>
        </w:tc>
        <w:tc>
          <w:tcPr>
            <w:tcW w:w="0" w:type="auto"/>
            <w:vAlign w:val="center"/>
          </w:tcPr>
          <w:p w:rsidR="005102CA" w:rsidRPr="00AB6A5F" w:rsidRDefault="005102CA" w:rsidP="00123E58">
            <w:pPr>
              <w:jc w:val="center"/>
              <w:rPr>
                <w:rFonts w:asciiTheme="majorHAnsi" w:eastAsia="Times New Roman" w:hAnsiTheme="majorHAnsi" w:cs="Arial"/>
                <w:b/>
                <w:i/>
                <w:kern w:val="28"/>
                <w:lang w:eastAsia="es-SV"/>
              </w:rPr>
            </w:pPr>
            <w:r w:rsidRPr="00AB6A5F">
              <w:rPr>
                <w:rFonts w:asciiTheme="majorHAnsi" w:eastAsia="Times New Roman" w:hAnsiTheme="majorHAnsi" w:cs="Arial"/>
                <w:b/>
                <w:i/>
                <w:kern w:val="28"/>
                <w:lang w:eastAsia="es-SV"/>
              </w:rPr>
              <w:t>149</w:t>
            </w:r>
          </w:p>
        </w:tc>
      </w:tr>
      <w:tr w:rsidR="005102CA" w:rsidTr="00123E58">
        <w:trPr>
          <w:jc w:val="center"/>
        </w:trPr>
        <w:tc>
          <w:tcPr>
            <w:tcW w:w="0" w:type="auto"/>
          </w:tcPr>
          <w:p w:rsidR="005102CA" w:rsidRDefault="005102CA" w:rsidP="00123E58">
            <w:pPr>
              <w:jc w:val="center"/>
              <w:rPr>
                <w:rFonts w:asciiTheme="majorHAnsi" w:eastAsia="Times New Roman" w:hAnsiTheme="majorHAnsi" w:cs="Arial"/>
                <w:i/>
                <w:kern w:val="28"/>
                <w:lang w:eastAsia="es-SV"/>
              </w:rPr>
            </w:pPr>
            <w:r>
              <w:rPr>
                <w:rFonts w:asciiTheme="majorHAnsi" w:eastAsia="Times New Roman" w:hAnsiTheme="majorHAnsi" w:cs="Arial"/>
                <w:i/>
                <w:kern w:val="28"/>
                <w:lang w:eastAsia="es-SV"/>
              </w:rPr>
              <w:t>2010</w:t>
            </w:r>
          </w:p>
        </w:tc>
        <w:tc>
          <w:tcPr>
            <w:tcW w:w="0" w:type="auto"/>
            <w:vMerge/>
            <w:vAlign w:val="center"/>
          </w:tcPr>
          <w:p w:rsidR="005102CA" w:rsidRDefault="005102CA" w:rsidP="00123E58">
            <w:pPr>
              <w:jc w:val="center"/>
              <w:rPr>
                <w:rFonts w:asciiTheme="majorHAnsi" w:eastAsia="Times New Roman" w:hAnsiTheme="majorHAnsi" w:cs="Arial"/>
                <w:i/>
                <w:kern w:val="28"/>
                <w:lang w:eastAsia="es-SV"/>
              </w:rPr>
            </w:pPr>
          </w:p>
        </w:tc>
        <w:tc>
          <w:tcPr>
            <w:tcW w:w="0" w:type="auto"/>
            <w:vAlign w:val="center"/>
          </w:tcPr>
          <w:p w:rsidR="005102CA" w:rsidRPr="00AB6A5F" w:rsidRDefault="005102CA" w:rsidP="00123E58">
            <w:pPr>
              <w:jc w:val="center"/>
              <w:rPr>
                <w:rFonts w:asciiTheme="majorHAnsi" w:eastAsia="Times New Roman" w:hAnsiTheme="majorHAnsi" w:cs="Arial"/>
                <w:b/>
                <w:i/>
                <w:kern w:val="28"/>
                <w:lang w:eastAsia="es-SV"/>
              </w:rPr>
            </w:pPr>
            <w:r w:rsidRPr="00AB6A5F">
              <w:rPr>
                <w:rFonts w:asciiTheme="majorHAnsi" w:eastAsia="Times New Roman" w:hAnsiTheme="majorHAnsi" w:cs="Arial"/>
                <w:b/>
                <w:i/>
                <w:kern w:val="28"/>
                <w:lang w:eastAsia="es-SV"/>
              </w:rPr>
              <w:t>126</w:t>
            </w:r>
          </w:p>
        </w:tc>
      </w:tr>
      <w:tr w:rsidR="005102CA" w:rsidTr="00123E58">
        <w:trPr>
          <w:jc w:val="center"/>
        </w:trPr>
        <w:tc>
          <w:tcPr>
            <w:tcW w:w="0" w:type="auto"/>
          </w:tcPr>
          <w:p w:rsidR="005102CA" w:rsidRDefault="005102CA" w:rsidP="00123E58">
            <w:pPr>
              <w:jc w:val="center"/>
              <w:rPr>
                <w:rFonts w:asciiTheme="majorHAnsi" w:eastAsia="Times New Roman" w:hAnsiTheme="majorHAnsi" w:cs="Arial"/>
                <w:i/>
                <w:kern w:val="28"/>
                <w:lang w:eastAsia="es-SV"/>
              </w:rPr>
            </w:pPr>
            <w:r>
              <w:rPr>
                <w:rFonts w:asciiTheme="majorHAnsi" w:eastAsia="Times New Roman" w:hAnsiTheme="majorHAnsi" w:cs="Arial"/>
                <w:i/>
                <w:kern w:val="28"/>
                <w:lang w:eastAsia="es-SV"/>
              </w:rPr>
              <w:t>2011</w:t>
            </w:r>
          </w:p>
        </w:tc>
        <w:tc>
          <w:tcPr>
            <w:tcW w:w="0" w:type="auto"/>
            <w:vMerge/>
            <w:vAlign w:val="center"/>
          </w:tcPr>
          <w:p w:rsidR="005102CA" w:rsidRDefault="005102CA" w:rsidP="00123E58">
            <w:pPr>
              <w:jc w:val="center"/>
              <w:rPr>
                <w:rFonts w:asciiTheme="majorHAnsi" w:eastAsia="Times New Roman" w:hAnsiTheme="majorHAnsi" w:cs="Arial"/>
                <w:i/>
                <w:kern w:val="28"/>
                <w:lang w:eastAsia="es-SV"/>
              </w:rPr>
            </w:pPr>
          </w:p>
        </w:tc>
        <w:tc>
          <w:tcPr>
            <w:tcW w:w="0" w:type="auto"/>
            <w:vAlign w:val="center"/>
          </w:tcPr>
          <w:p w:rsidR="005102CA" w:rsidRPr="00AB6A5F" w:rsidRDefault="005102CA" w:rsidP="00123E58">
            <w:pPr>
              <w:jc w:val="center"/>
              <w:rPr>
                <w:rFonts w:asciiTheme="majorHAnsi" w:eastAsia="Times New Roman" w:hAnsiTheme="majorHAnsi" w:cs="Arial"/>
                <w:b/>
                <w:i/>
                <w:kern w:val="28"/>
                <w:lang w:eastAsia="es-SV"/>
              </w:rPr>
            </w:pPr>
            <w:r w:rsidRPr="00AB6A5F">
              <w:rPr>
                <w:rFonts w:asciiTheme="majorHAnsi" w:eastAsia="Times New Roman" w:hAnsiTheme="majorHAnsi" w:cs="Arial"/>
                <w:b/>
                <w:i/>
                <w:kern w:val="28"/>
                <w:lang w:eastAsia="es-SV"/>
              </w:rPr>
              <w:t>86</w:t>
            </w:r>
          </w:p>
        </w:tc>
      </w:tr>
      <w:tr w:rsidR="005102CA" w:rsidTr="00123E58">
        <w:trPr>
          <w:jc w:val="center"/>
        </w:trPr>
        <w:tc>
          <w:tcPr>
            <w:tcW w:w="0" w:type="auto"/>
          </w:tcPr>
          <w:p w:rsidR="005102CA" w:rsidRDefault="005102CA" w:rsidP="00123E58">
            <w:pPr>
              <w:jc w:val="center"/>
              <w:rPr>
                <w:rFonts w:asciiTheme="majorHAnsi" w:eastAsia="Times New Roman" w:hAnsiTheme="majorHAnsi" w:cs="Arial"/>
                <w:i/>
                <w:kern w:val="28"/>
                <w:lang w:eastAsia="es-SV"/>
              </w:rPr>
            </w:pPr>
            <w:r>
              <w:rPr>
                <w:rFonts w:asciiTheme="majorHAnsi" w:eastAsia="Times New Roman" w:hAnsiTheme="majorHAnsi" w:cs="Arial"/>
                <w:i/>
                <w:kern w:val="28"/>
                <w:lang w:eastAsia="es-SV"/>
              </w:rPr>
              <w:t>2012</w:t>
            </w:r>
          </w:p>
        </w:tc>
        <w:tc>
          <w:tcPr>
            <w:tcW w:w="0" w:type="auto"/>
            <w:vMerge/>
            <w:vAlign w:val="center"/>
          </w:tcPr>
          <w:p w:rsidR="005102CA" w:rsidRDefault="005102CA" w:rsidP="00123E58">
            <w:pPr>
              <w:jc w:val="center"/>
              <w:rPr>
                <w:rFonts w:asciiTheme="majorHAnsi" w:eastAsia="Times New Roman" w:hAnsiTheme="majorHAnsi" w:cs="Arial"/>
                <w:i/>
                <w:kern w:val="28"/>
                <w:lang w:eastAsia="es-SV"/>
              </w:rPr>
            </w:pPr>
          </w:p>
        </w:tc>
        <w:tc>
          <w:tcPr>
            <w:tcW w:w="0" w:type="auto"/>
            <w:vAlign w:val="center"/>
          </w:tcPr>
          <w:p w:rsidR="005102CA" w:rsidRPr="00AB6A5F" w:rsidRDefault="005102CA" w:rsidP="00123E58">
            <w:pPr>
              <w:jc w:val="center"/>
              <w:rPr>
                <w:rFonts w:asciiTheme="majorHAnsi" w:eastAsia="Times New Roman" w:hAnsiTheme="majorHAnsi" w:cs="Arial"/>
                <w:b/>
                <w:i/>
                <w:kern w:val="28"/>
                <w:lang w:eastAsia="es-SV"/>
              </w:rPr>
            </w:pPr>
            <w:r w:rsidRPr="00AB6A5F">
              <w:rPr>
                <w:rFonts w:asciiTheme="majorHAnsi" w:eastAsia="Times New Roman" w:hAnsiTheme="majorHAnsi" w:cs="Arial"/>
                <w:b/>
                <w:i/>
                <w:kern w:val="28"/>
                <w:lang w:eastAsia="es-SV"/>
              </w:rPr>
              <w:t>103</w:t>
            </w:r>
          </w:p>
        </w:tc>
      </w:tr>
      <w:tr w:rsidR="005102CA" w:rsidTr="00123E58">
        <w:trPr>
          <w:jc w:val="center"/>
        </w:trPr>
        <w:tc>
          <w:tcPr>
            <w:tcW w:w="0" w:type="auto"/>
          </w:tcPr>
          <w:p w:rsidR="005102CA" w:rsidRDefault="005102CA" w:rsidP="00123E58">
            <w:pPr>
              <w:jc w:val="center"/>
              <w:rPr>
                <w:rFonts w:asciiTheme="majorHAnsi" w:eastAsia="Times New Roman" w:hAnsiTheme="majorHAnsi" w:cs="Arial"/>
                <w:i/>
                <w:kern w:val="28"/>
                <w:lang w:eastAsia="es-SV"/>
              </w:rPr>
            </w:pPr>
            <w:r>
              <w:rPr>
                <w:rFonts w:asciiTheme="majorHAnsi" w:eastAsia="Times New Roman" w:hAnsiTheme="majorHAnsi" w:cs="Arial"/>
                <w:i/>
                <w:kern w:val="28"/>
                <w:lang w:eastAsia="es-SV"/>
              </w:rPr>
              <w:t>2013</w:t>
            </w:r>
          </w:p>
        </w:tc>
        <w:tc>
          <w:tcPr>
            <w:tcW w:w="0" w:type="auto"/>
            <w:vMerge/>
            <w:vAlign w:val="center"/>
          </w:tcPr>
          <w:p w:rsidR="005102CA" w:rsidRDefault="005102CA" w:rsidP="00123E58">
            <w:pPr>
              <w:jc w:val="center"/>
              <w:rPr>
                <w:rFonts w:asciiTheme="majorHAnsi" w:eastAsia="Times New Roman" w:hAnsiTheme="majorHAnsi" w:cs="Arial"/>
                <w:i/>
                <w:kern w:val="28"/>
                <w:lang w:eastAsia="es-SV"/>
              </w:rPr>
            </w:pPr>
          </w:p>
        </w:tc>
        <w:tc>
          <w:tcPr>
            <w:tcW w:w="0" w:type="auto"/>
            <w:vAlign w:val="center"/>
          </w:tcPr>
          <w:p w:rsidR="005102CA" w:rsidRPr="00AB6A5F" w:rsidRDefault="005102CA" w:rsidP="00123E58">
            <w:pPr>
              <w:jc w:val="center"/>
              <w:rPr>
                <w:rFonts w:asciiTheme="majorHAnsi" w:eastAsia="Times New Roman" w:hAnsiTheme="majorHAnsi" w:cs="Arial"/>
                <w:b/>
                <w:i/>
                <w:kern w:val="28"/>
                <w:lang w:eastAsia="es-SV"/>
              </w:rPr>
            </w:pPr>
            <w:r w:rsidRPr="00AB6A5F">
              <w:rPr>
                <w:rFonts w:asciiTheme="majorHAnsi" w:eastAsia="Times New Roman" w:hAnsiTheme="majorHAnsi" w:cs="Arial"/>
                <w:b/>
                <w:i/>
                <w:kern w:val="28"/>
                <w:lang w:eastAsia="es-SV"/>
              </w:rPr>
              <w:t>110</w:t>
            </w:r>
          </w:p>
        </w:tc>
      </w:tr>
      <w:tr w:rsidR="005102CA" w:rsidTr="00123E58">
        <w:trPr>
          <w:jc w:val="center"/>
        </w:trPr>
        <w:tc>
          <w:tcPr>
            <w:tcW w:w="0" w:type="auto"/>
          </w:tcPr>
          <w:p w:rsidR="005102CA" w:rsidRDefault="005102CA" w:rsidP="00123E58">
            <w:pPr>
              <w:jc w:val="center"/>
              <w:rPr>
                <w:rFonts w:asciiTheme="majorHAnsi" w:eastAsia="Times New Roman" w:hAnsiTheme="majorHAnsi" w:cs="Arial"/>
                <w:i/>
                <w:kern w:val="28"/>
                <w:lang w:eastAsia="es-SV"/>
              </w:rPr>
            </w:pPr>
            <w:r>
              <w:rPr>
                <w:rFonts w:asciiTheme="majorHAnsi" w:eastAsia="Times New Roman" w:hAnsiTheme="majorHAnsi" w:cs="Arial"/>
                <w:i/>
                <w:kern w:val="28"/>
                <w:lang w:eastAsia="es-SV"/>
              </w:rPr>
              <w:t>2014</w:t>
            </w:r>
          </w:p>
        </w:tc>
        <w:tc>
          <w:tcPr>
            <w:tcW w:w="0" w:type="auto"/>
            <w:vMerge/>
            <w:vAlign w:val="center"/>
          </w:tcPr>
          <w:p w:rsidR="005102CA" w:rsidRDefault="005102CA" w:rsidP="00123E58">
            <w:pPr>
              <w:jc w:val="center"/>
              <w:rPr>
                <w:rFonts w:asciiTheme="majorHAnsi" w:eastAsia="Times New Roman" w:hAnsiTheme="majorHAnsi" w:cs="Arial"/>
                <w:i/>
                <w:kern w:val="28"/>
                <w:lang w:eastAsia="es-SV"/>
              </w:rPr>
            </w:pPr>
          </w:p>
        </w:tc>
        <w:tc>
          <w:tcPr>
            <w:tcW w:w="0" w:type="auto"/>
            <w:vAlign w:val="center"/>
          </w:tcPr>
          <w:p w:rsidR="005102CA" w:rsidRPr="00AB6A5F" w:rsidRDefault="005102CA" w:rsidP="00123E58">
            <w:pPr>
              <w:jc w:val="center"/>
              <w:rPr>
                <w:rFonts w:asciiTheme="majorHAnsi" w:eastAsia="Times New Roman" w:hAnsiTheme="majorHAnsi" w:cs="Arial"/>
                <w:b/>
                <w:i/>
                <w:kern w:val="28"/>
                <w:lang w:eastAsia="es-SV"/>
              </w:rPr>
            </w:pPr>
            <w:r w:rsidRPr="00AB6A5F">
              <w:rPr>
                <w:rFonts w:asciiTheme="majorHAnsi" w:eastAsia="Times New Roman" w:hAnsiTheme="majorHAnsi" w:cs="Arial"/>
                <w:b/>
                <w:i/>
                <w:kern w:val="28"/>
                <w:lang w:eastAsia="es-SV"/>
              </w:rPr>
              <w:t>128</w:t>
            </w:r>
          </w:p>
        </w:tc>
      </w:tr>
      <w:tr w:rsidR="005102CA" w:rsidTr="00123E58">
        <w:trPr>
          <w:trHeight w:val="164"/>
          <w:jc w:val="center"/>
        </w:trPr>
        <w:tc>
          <w:tcPr>
            <w:tcW w:w="0" w:type="auto"/>
            <w:vAlign w:val="center"/>
          </w:tcPr>
          <w:p w:rsidR="005102CA" w:rsidRDefault="005102CA" w:rsidP="00123E58">
            <w:pPr>
              <w:jc w:val="center"/>
              <w:rPr>
                <w:rFonts w:asciiTheme="majorHAnsi" w:eastAsia="Times New Roman" w:hAnsiTheme="majorHAnsi" w:cs="Arial"/>
                <w:i/>
                <w:kern w:val="28"/>
                <w:lang w:eastAsia="es-SV"/>
              </w:rPr>
            </w:pPr>
            <w:r>
              <w:rPr>
                <w:rFonts w:asciiTheme="majorHAnsi" w:eastAsia="Times New Roman" w:hAnsiTheme="majorHAnsi" w:cs="Arial"/>
                <w:i/>
                <w:kern w:val="28"/>
                <w:lang w:eastAsia="es-SV"/>
              </w:rPr>
              <w:t>2015</w:t>
            </w:r>
          </w:p>
        </w:tc>
        <w:tc>
          <w:tcPr>
            <w:tcW w:w="0" w:type="auto"/>
            <w:vAlign w:val="center"/>
          </w:tcPr>
          <w:p w:rsidR="005102CA" w:rsidRDefault="005102CA" w:rsidP="00123E58">
            <w:pPr>
              <w:jc w:val="center"/>
              <w:rPr>
                <w:rFonts w:asciiTheme="majorHAnsi" w:eastAsia="Times New Roman" w:hAnsiTheme="majorHAnsi" w:cs="Arial"/>
                <w:i/>
                <w:kern w:val="28"/>
                <w:lang w:eastAsia="es-SV"/>
              </w:rPr>
            </w:pPr>
            <w:r>
              <w:rPr>
                <w:rFonts w:asciiTheme="majorHAnsi" w:eastAsia="Times New Roman" w:hAnsiTheme="majorHAnsi" w:cs="Arial"/>
                <w:i/>
                <w:kern w:val="28"/>
                <w:lang w:eastAsia="es-SV"/>
              </w:rPr>
              <w:t>376</w:t>
            </w:r>
          </w:p>
        </w:tc>
        <w:tc>
          <w:tcPr>
            <w:tcW w:w="0" w:type="auto"/>
            <w:vAlign w:val="center"/>
          </w:tcPr>
          <w:p w:rsidR="005102CA" w:rsidRPr="00AB6A5F" w:rsidRDefault="005102CA" w:rsidP="00123E58">
            <w:pPr>
              <w:jc w:val="center"/>
              <w:rPr>
                <w:rFonts w:asciiTheme="majorHAnsi" w:eastAsia="Times New Roman" w:hAnsiTheme="majorHAnsi" w:cs="Arial"/>
                <w:b/>
                <w:i/>
                <w:kern w:val="28"/>
                <w:lang w:eastAsia="es-SV"/>
              </w:rPr>
            </w:pPr>
            <w:r w:rsidRPr="00AB6A5F">
              <w:rPr>
                <w:rFonts w:asciiTheme="majorHAnsi" w:eastAsia="Times New Roman" w:hAnsiTheme="majorHAnsi" w:cs="Arial"/>
                <w:b/>
                <w:i/>
                <w:kern w:val="28"/>
                <w:lang w:eastAsia="es-SV"/>
              </w:rPr>
              <w:t>272</w:t>
            </w:r>
          </w:p>
        </w:tc>
      </w:tr>
      <w:tr w:rsidR="005102CA" w:rsidTr="00123E58">
        <w:trPr>
          <w:trHeight w:val="268"/>
          <w:jc w:val="center"/>
        </w:trPr>
        <w:tc>
          <w:tcPr>
            <w:tcW w:w="0" w:type="auto"/>
            <w:vAlign w:val="center"/>
          </w:tcPr>
          <w:p w:rsidR="005102CA" w:rsidRDefault="005102CA" w:rsidP="00123E58">
            <w:pPr>
              <w:jc w:val="center"/>
              <w:rPr>
                <w:rFonts w:asciiTheme="majorHAnsi" w:eastAsia="Times New Roman" w:hAnsiTheme="majorHAnsi" w:cs="Arial"/>
                <w:i/>
                <w:kern w:val="28"/>
                <w:lang w:eastAsia="es-SV"/>
              </w:rPr>
            </w:pPr>
            <w:r>
              <w:rPr>
                <w:rFonts w:asciiTheme="majorHAnsi" w:eastAsia="Times New Roman" w:hAnsiTheme="majorHAnsi" w:cs="Arial"/>
                <w:i/>
                <w:kern w:val="28"/>
                <w:lang w:eastAsia="es-SV"/>
              </w:rPr>
              <w:t>2016</w:t>
            </w:r>
          </w:p>
        </w:tc>
        <w:tc>
          <w:tcPr>
            <w:tcW w:w="0" w:type="auto"/>
            <w:vAlign w:val="center"/>
          </w:tcPr>
          <w:p w:rsidR="005102CA" w:rsidRDefault="005102CA" w:rsidP="00123E58">
            <w:pPr>
              <w:jc w:val="center"/>
              <w:rPr>
                <w:rFonts w:asciiTheme="majorHAnsi" w:eastAsia="Times New Roman" w:hAnsiTheme="majorHAnsi" w:cs="Arial"/>
                <w:i/>
                <w:kern w:val="28"/>
                <w:lang w:eastAsia="es-SV"/>
              </w:rPr>
            </w:pPr>
            <w:r>
              <w:rPr>
                <w:rFonts w:asciiTheme="majorHAnsi" w:eastAsia="Times New Roman" w:hAnsiTheme="majorHAnsi" w:cs="Arial"/>
                <w:i/>
                <w:kern w:val="28"/>
                <w:lang w:eastAsia="es-SV"/>
              </w:rPr>
              <w:t>376</w:t>
            </w:r>
          </w:p>
        </w:tc>
        <w:tc>
          <w:tcPr>
            <w:tcW w:w="0" w:type="auto"/>
            <w:vAlign w:val="center"/>
          </w:tcPr>
          <w:p w:rsidR="005102CA" w:rsidRPr="00AB6A5F" w:rsidRDefault="005102CA" w:rsidP="00123E58">
            <w:pPr>
              <w:jc w:val="center"/>
              <w:rPr>
                <w:rFonts w:asciiTheme="majorHAnsi" w:eastAsia="Times New Roman" w:hAnsiTheme="majorHAnsi" w:cs="Arial"/>
                <w:b/>
                <w:i/>
                <w:kern w:val="28"/>
                <w:lang w:eastAsia="es-SV"/>
              </w:rPr>
            </w:pPr>
            <w:r w:rsidRPr="00AB6A5F">
              <w:rPr>
                <w:rFonts w:asciiTheme="majorHAnsi" w:eastAsia="Times New Roman" w:hAnsiTheme="majorHAnsi" w:cs="Arial"/>
                <w:b/>
                <w:i/>
                <w:kern w:val="28"/>
                <w:lang w:eastAsia="es-SV"/>
              </w:rPr>
              <w:t>396</w:t>
            </w:r>
          </w:p>
        </w:tc>
      </w:tr>
    </w:tbl>
    <w:p w:rsidR="005102CA" w:rsidRPr="0056518D" w:rsidRDefault="005102CA" w:rsidP="005102CA">
      <w:pPr>
        <w:spacing w:after="0"/>
        <w:ind w:firstLine="708"/>
        <w:jc w:val="both"/>
        <w:rPr>
          <w:rFonts w:asciiTheme="minorHAnsi" w:eastAsia="Times New Roman" w:hAnsiTheme="minorHAnsi" w:cs="Arial"/>
          <w:i/>
          <w:kern w:val="28"/>
          <w:sz w:val="24"/>
          <w:lang w:eastAsia="es-SV"/>
        </w:rPr>
      </w:pPr>
    </w:p>
    <w:p w:rsidR="005102CA" w:rsidRPr="0056518D" w:rsidRDefault="005102CA" w:rsidP="005102CA">
      <w:pPr>
        <w:spacing w:after="0"/>
        <w:ind w:firstLine="708"/>
        <w:jc w:val="both"/>
        <w:rPr>
          <w:rFonts w:asciiTheme="minorHAnsi" w:hAnsiTheme="minorHAnsi"/>
          <w:sz w:val="24"/>
        </w:rPr>
      </w:pPr>
      <w:r w:rsidRPr="0056518D">
        <w:rPr>
          <w:rFonts w:asciiTheme="minorHAnsi" w:hAnsiTheme="minorHAnsi"/>
          <w:sz w:val="24"/>
        </w:rPr>
        <w:t xml:space="preserve">En respuesta a de que se trató la ampliación en el Centro de Cumplimiento de Penas de Quezaltepeque en el año 2013 y a qué población beneficio es específico, se informa que el objetivo de la ampliación de ese Centro Penal en el año 2013 fue el </w:t>
      </w:r>
      <w:proofErr w:type="spellStart"/>
      <w:r w:rsidRPr="0056518D">
        <w:rPr>
          <w:rFonts w:asciiTheme="minorHAnsi" w:hAnsiTheme="minorHAnsi"/>
          <w:sz w:val="24"/>
        </w:rPr>
        <w:t>deshacinamiento</w:t>
      </w:r>
      <w:proofErr w:type="spellEnd"/>
      <w:r w:rsidRPr="0056518D">
        <w:rPr>
          <w:rFonts w:asciiTheme="minorHAnsi" w:hAnsiTheme="minorHAnsi"/>
          <w:sz w:val="24"/>
        </w:rPr>
        <w:t xml:space="preserve"> de la zona, sin embargo se encuentran internas trasladadas del Centro Preventivo y de Cumplimiento de Penas de Apanteos, y del Centro Preventivo y de Cumplimiento de Penas de Ilopango.</w:t>
      </w:r>
    </w:p>
    <w:p w:rsidR="005102CA" w:rsidRPr="0056518D" w:rsidRDefault="005102CA" w:rsidP="005102CA">
      <w:pPr>
        <w:spacing w:after="0"/>
        <w:ind w:firstLine="708"/>
        <w:jc w:val="both"/>
        <w:rPr>
          <w:rFonts w:asciiTheme="minorHAnsi" w:hAnsiTheme="minorHAnsi"/>
          <w:sz w:val="24"/>
        </w:rPr>
      </w:pPr>
    </w:p>
    <w:p w:rsidR="005102CA" w:rsidRPr="0056518D" w:rsidRDefault="005102CA" w:rsidP="005102CA">
      <w:pPr>
        <w:spacing w:after="0"/>
        <w:ind w:firstLine="708"/>
        <w:jc w:val="both"/>
        <w:rPr>
          <w:rFonts w:asciiTheme="minorHAnsi" w:hAnsiTheme="minorHAnsi"/>
          <w:sz w:val="24"/>
        </w:rPr>
      </w:pPr>
      <w:r w:rsidRPr="0056518D">
        <w:rPr>
          <w:rFonts w:asciiTheme="minorHAnsi" w:hAnsiTheme="minorHAnsi"/>
          <w:sz w:val="24"/>
        </w:rPr>
        <w:t>No omito manifestar que los datos proporcionados en cuanto a privados de libertad son cambiantes constantemente según resoluciones judiciales que los diferentes Juzgados y Tribunales del país nos notifican a fin de ejecutar en estricto cumplimiento.</w:t>
      </w:r>
    </w:p>
    <w:p w:rsidR="005102CA" w:rsidRPr="0056518D" w:rsidRDefault="005102CA" w:rsidP="005102CA">
      <w:pPr>
        <w:spacing w:after="0"/>
        <w:ind w:firstLine="708"/>
        <w:jc w:val="both"/>
        <w:rPr>
          <w:rFonts w:asciiTheme="minorHAnsi" w:hAnsiTheme="minorHAnsi"/>
          <w:sz w:val="24"/>
        </w:rPr>
      </w:pPr>
    </w:p>
    <w:p w:rsidR="005102CA" w:rsidRPr="0056518D" w:rsidRDefault="005102CA" w:rsidP="005102CA">
      <w:pPr>
        <w:spacing w:after="0"/>
        <w:ind w:firstLine="708"/>
        <w:jc w:val="both"/>
        <w:rPr>
          <w:rFonts w:asciiTheme="minorHAnsi" w:hAnsiTheme="minorHAnsi"/>
          <w:sz w:val="24"/>
        </w:rPr>
      </w:pPr>
      <w:r w:rsidRPr="0056518D">
        <w:rPr>
          <w:rFonts w:asciiTheme="minorHAnsi" w:hAnsiTheme="minorHAnsi"/>
          <w:sz w:val="24"/>
        </w:rPr>
        <w:t>Queda expedito el derecho de la persona solicitante de proceder conforme a lo establecido en el art. 82 de la Ley de Acceso a la Información Pública.</w:t>
      </w:r>
    </w:p>
    <w:p w:rsidR="005102CA" w:rsidRPr="0056518D" w:rsidRDefault="005102CA" w:rsidP="005102CA">
      <w:pPr>
        <w:spacing w:after="0"/>
        <w:ind w:firstLine="708"/>
        <w:jc w:val="both"/>
        <w:rPr>
          <w:rFonts w:asciiTheme="minorHAnsi" w:hAnsiTheme="minorHAnsi"/>
          <w:sz w:val="24"/>
        </w:rPr>
      </w:pPr>
    </w:p>
    <w:p w:rsidR="005102CA" w:rsidRPr="0056518D" w:rsidRDefault="005102CA" w:rsidP="005102CA">
      <w:pPr>
        <w:spacing w:after="0"/>
        <w:ind w:firstLine="708"/>
        <w:jc w:val="both"/>
        <w:rPr>
          <w:rFonts w:asciiTheme="minorHAnsi" w:hAnsiTheme="minorHAnsi" w:cs="Arial"/>
          <w:sz w:val="24"/>
        </w:rPr>
      </w:pPr>
      <w:r w:rsidRPr="0056518D">
        <w:rPr>
          <w:rFonts w:asciiTheme="minorHAnsi" w:hAnsiTheme="minorHAnsi"/>
          <w:sz w:val="24"/>
        </w:rPr>
        <w:t>San Salvador, a las catorce horas con veinte minutos del día veinticuatro de febrero de dos mil dieciséis.</w:t>
      </w:r>
    </w:p>
    <w:p w:rsidR="005102CA" w:rsidRPr="0056518D" w:rsidRDefault="005102CA" w:rsidP="005102CA">
      <w:pPr>
        <w:spacing w:after="0"/>
        <w:ind w:firstLine="708"/>
        <w:jc w:val="both"/>
        <w:rPr>
          <w:rFonts w:asciiTheme="minorHAnsi" w:hAnsiTheme="minorHAnsi"/>
          <w:b/>
          <w:sz w:val="24"/>
        </w:rPr>
      </w:pPr>
    </w:p>
    <w:p w:rsidR="005102CA" w:rsidRPr="0056518D" w:rsidRDefault="005102CA" w:rsidP="005102CA">
      <w:pPr>
        <w:spacing w:after="0"/>
        <w:ind w:firstLine="708"/>
        <w:jc w:val="both"/>
        <w:rPr>
          <w:rFonts w:asciiTheme="minorHAnsi" w:hAnsiTheme="minorHAnsi"/>
          <w:b/>
          <w:sz w:val="24"/>
        </w:rPr>
      </w:pPr>
    </w:p>
    <w:p w:rsidR="005102CA" w:rsidRPr="0056518D" w:rsidRDefault="005102CA" w:rsidP="005102CA">
      <w:pPr>
        <w:spacing w:after="0"/>
        <w:ind w:firstLine="708"/>
        <w:jc w:val="both"/>
        <w:rPr>
          <w:rFonts w:asciiTheme="minorHAnsi" w:hAnsiTheme="minorHAnsi"/>
          <w:b/>
          <w:sz w:val="24"/>
        </w:rPr>
      </w:pPr>
    </w:p>
    <w:p w:rsidR="005102CA" w:rsidRPr="0056518D" w:rsidRDefault="005102CA" w:rsidP="005102CA">
      <w:pPr>
        <w:spacing w:after="0"/>
        <w:ind w:firstLine="708"/>
        <w:jc w:val="both"/>
        <w:rPr>
          <w:rFonts w:asciiTheme="minorHAnsi" w:hAnsiTheme="minorHAnsi"/>
          <w:b/>
          <w:sz w:val="24"/>
        </w:rPr>
      </w:pPr>
    </w:p>
    <w:p w:rsidR="005102CA" w:rsidRPr="0002077B" w:rsidRDefault="005102CA" w:rsidP="005102CA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Licda. Marlene Janeth Cardona Andrade</w:t>
      </w:r>
    </w:p>
    <w:p w:rsidR="005102CA" w:rsidRPr="0002077B" w:rsidRDefault="005102CA" w:rsidP="005102CA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Oficial de Información</w:t>
      </w:r>
    </w:p>
    <w:p w:rsidR="005102CA" w:rsidRDefault="005102CA" w:rsidP="005102CA">
      <w:pPr>
        <w:rPr>
          <w:rFonts w:ascii="Times New Roman" w:hAnsi="Times New Roman"/>
          <w:sz w:val="18"/>
          <w:szCs w:val="18"/>
        </w:rPr>
      </w:pPr>
    </w:p>
    <w:p w:rsidR="00920652" w:rsidRDefault="005102CA" w:rsidP="005102CA">
      <w:r w:rsidRPr="00A26B3B">
        <w:rPr>
          <w:rFonts w:ascii="Times New Roman" w:hAnsi="Times New Roman"/>
          <w:sz w:val="18"/>
          <w:szCs w:val="18"/>
        </w:rPr>
        <w:t>MJCA/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  <w:t xml:space="preserve">             Ref. Solicitud UAIP/OIR/0</w:t>
      </w:r>
      <w:r>
        <w:rPr>
          <w:rFonts w:ascii="Times New Roman" w:hAnsi="Times New Roman"/>
          <w:sz w:val="18"/>
          <w:szCs w:val="18"/>
        </w:rPr>
        <w:t>41</w:t>
      </w:r>
      <w:r w:rsidRPr="00A26B3B">
        <w:rPr>
          <w:rFonts w:ascii="Times New Roman" w:hAnsi="Times New Roman"/>
          <w:sz w:val="18"/>
          <w:szCs w:val="18"/>
        </w:rPr>
        <w:t>/201</w:t>
      </w:r>
      <w:r>
        <w:rPr>
          <w:rFonts w:ascii="Times New Roman" w:hAnsi="Times New Roman"/>
          <w:sz w:val="18"/>
          <w:szCs w:val="18"/>
        </w:rPr>
        <w:t>6</w:t>
      </w:r>
    </w:p>
    <w:sectPr w:rsidR="009206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0079A"/>
    <w:multiLevelType w:val="hybridMultilevel"/>
    <w:tmpl w:val="CAC6A978"/>
    <w:lvl w:ilvl="0" w:tplc="401CC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2CA"/>
    <w:rsid w:val="004627B7"/>
    <w:rsid w:val="005102CA"/>
    <w:rsid w:val="00705DB2"/>
    <w:rsid w:val="00726726"/>
    <w:rsid w:val="00920652"/>
    <w:rsid w:val="00DB5315"/>
    <w:rsid w:val="00F330AB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2C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102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102CA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102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02C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2C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102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102CA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102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02C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535</Words>
  <Characters>2948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Usuario</cp:lastModifiedBy>
  <cp:revision>2</cp:revision>
  <dcterms:created xsi:type="dcterms:W3CDTF">2016-07-25T16:34:00Z</dcterms:created>
  <dcterms:modified xsi:type="dcterms:W3CDTF">2016-09-01T19:32:00Z</dcterms:modified>
</cp:coreProperties>
</file>