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DF" w:rsidRPr="00B91F36" w:rsidRDefault="003D75DF" w:rsidP="003D75DF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77FD8B5D" wp14:editId="54D8774E">
            <wp:simplePos x="0" y="0"/>
            <wp:positionH relativeFrom="column">
              <wp:posOffset>-564515</wp:posOffset>
            </wp:positionH>
            <wp:positionV relativeFrom="paragraph">
              <wp:posOffset>-209550</wp:posOffset>
            </wp:positionV>
            <wp:extent cx="896620" cy="708025"/>
            <wp:effectExtent l="0" t="0" r="0" b="0"/>
            <wp:wrapSquare wrapText="bothSides"/>
            <wp:docPr id="2" name="Imagen 2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96620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0F65C361" wp14:editId="4E05241F">
            <wp:simplePos x="0" y="0"/>
            <wp:positionH relativeFrom="column">
              <wp:posOffset>5021580</wp:posOffset>
            </wp:positionH>
            <wp:positionV relativeFrom="paragraph">
              <wp:posOffset>-140335</wp:posOffset>
            </wp:positionV>
            <wp:extent cx="1138555" cy="647700"/>
            <wp:effectExtent l="0" t="0" r="4445" b="0"/>
            <wp:wrapSquare wrapText="bothSides"/>
            <wp:docPr id="3" name="Imagen 3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3D75DF" w:rsidRPr="00B91F36" w:rsidRDefault="003D75DF" w:rsidP="003D75DF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3D75DF" w:rsidRPr="00B91F36" w:rsidRDefault="003D75DF" w:rsidP="003D75DF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3D75DF" w:rsidRPr="00555786" w:rsidRDefault="003D75DF" w:rsidP="003D75DF">
      <w:pPr>
        <w:pStyle w:val="Piedepgina"/>
        <w:jc w:val="center"/>
        <w:rPr>
          <w:rFonts w:ascii="Arial" w:hAnsi="Arial" w:cs="Arial"/>
          <w:bCs/>
          <w:sz w:val="18"/>
          <w:szCs w:val="18"/>
        </w:rPr>
      </w:pPr>
      <w:r w:rsidRPr="007A60C6">
        <w:rPr>
          <w:rFonts w:ascii="Arial" w:hAnsi="Arial" w:cs="Arial"/>
          <w:bCs/>
          <w:sz w:val="16"/>
          <w:szCs w:val="16"/>
          <w:lang w:val="es-ES"/>
        </w:rPr>
        <w:t xml:space="preserve">7ª Avenida Norte y Pasaje N° 3 Urbanización Santa Adela Casa N° 1 Sn. </w:t>
      </w:r>
      <w:proofErr w:type="spellStart"/>
      <w:r w:rsidRPr="007A60C6">
        <w:rPr>
          <w:rFonts w:ascii="Arial" w:hAnsi="Arial" w:cs="Arial"/>
          <w:bCs/>
          <w:sz w:val="16"/>
          <w:szCs w:val="16"/>
          <w:lang w:val="es-ES"/>
        </w:rPr>
        <w:t>Salv.Tel</w:t>
      </w:r>
      <w:proofErr w:type="spellEnd"/>
      <w:r w:rsidRPr="007A60C6">
        <w:rPr>
          <w:rFonts w:ascii="Arial" w:hAnsi="Arial" w:cs="Arial"/>
          <w:bCs/>
          <w:sz w:val="16"/>
          <w:szCs w:val="16"/>
          <w:lang w:val="es-ES"/>
        </w:rPr>
        <w:t>. 2527-8700</w:t>
      </w:r>
    </w:p>
    <w:p w:rsidR="003D75DF" w:rsidRDefault="003D75DF" w:rsidP="003D75DF">
      <w:pPr>
        <w:pStyle w:val="Encabezado"/>
      </w:pP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B5E2" wp14:editId="357350B4">
                <wp:simplePos x="0" y="0"/>
                <wp:positionH relativeFrom="column">
                  <wp:posOffset>-613146</wp:posOffset>
                </wp:positionH>
                <wp:positionV relativeFrom="paragraph">
                  <wp:posOffset>22860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3pt,1.8pt" to="487.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SvAR79wAAAAHAQAADwAAAAAAAAAAAAAAAABzBAAAZHJzL2Rvd25yZXYueG1sUEsFBgAA&#10;AAAEAAQA8wAAAHwFAAAAAA==&#10;" strokeweight="1.5pt"/>
            </w:pict>
          </mc:Fallback>
        </mc:AlternateContent>
      </w:r>
    </w:p>
    <w:p w:rsidR="00E60930" w:rsidRPr="00E50BE1" w:rsidRDefault="00E60930" w:rsidP="00E60930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es-ES"/>
        </w:rPr>
      </w:pPr>
      <w:r w:rsidRPr="00E50BE1">
        <w:rPr>
          <w:rFonts w:ascii="Times New Roman" w:hAnsi="Times New Roman"/>
          <w:sz w:val="24"/>
          <w:szCs w:val="24"/>
        </w:rPr>
        <w:t>Vista la solicitud de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s-ES"/>
        </w:rPr>
        <w:t>XXXXXXXXXXXXXXXXXXXXXXXXXXXXXXXX</w:t>
      </w:r>
      <w:r w:rsidRPr="00E50BE1">
        <w:rPr>
          <w:rFonts w:ascii="Times New Roman" w:hAnsi="Times New Roman"/>
          <w:sz w:val="24"/>
          <w:szCs w:val="24"/>
          <w:lang w:val="es-ES"/>
        </w:rPr>
        <w:t>,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E50BE1">
        <w:rPr>
          <w:rFonts w:ascii="Times New Roman" w:hAnsi="Times New Roman"/>
          <w:sz w:val="24"/>
          <w:szCs w:val="24"/>
          <w:lang w:val="es-ES"/>
        </w:rPr>
        <w:t xml:space="preserve">con </w:t>
      </w:r>
      <w:r w:rsidRPr="00E50BE1">
        <w:rPr>
          <w:rFonts w:ascii="Times New Roman" w:hAnsi="Times New Roman"/>
          <w:sz w:val="24"/>
          <w:szCs w:val="24"/>
        </w:rPr>
        <w:t xml:space="preserve">Documento Único de Identidad número </w:t>
      </w:r>
      <w:r>
        <w:rPr>
          <w:rFonts w:ascii="Times New Roman" w:hAnsi="Times New Roman"/>
          <w:b/>
          <w:sz w:val="24"/>
          <w:szCs w:val="24"/>
        </w:rPr>
        <w:t>XXXXXXXXXXXXXXXXXXXXXXXXXXXX XXXXXXXXXXXXXX</w:t>
      </w:r>
      <w:r w:rsidRPr="00E50BE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0BE1">
        <w:rPr>
          <w:rFonts w:ascii="Times New Roman" w:hAnsi="Times New Roman"/>
          <w:sz w:val="24"/>
          <w:szCs w:val="24"/>
          <w:lang w:val="es-ES"/>
        </w:rPr>
        <w:t>quien solicita:</w:t>
      </w:r>
    </w:p>
    <w:p w:rsidR="00E60930" w:rsidRDefault="00E60930" w:rsidP="00E6093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89487E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“</w:t>
      </w:r>
      <w:r w:rsidRPr="00060C5E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1.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La población de reos del Centro Penal de Izalco en los años 2012, 2013 y 2014 (si se puede ocupar el mes de diciembre de cada año como referencia)”;</w:t>
      </w:r>
    </w:p>
    <w:p w:rsidR="00E60930" w:rsidRDefault="00E60930" w:rsidP="00E6093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“</w:t>
      </w:r>
      <w:r w:rsidRPr="00060C5E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2.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La capacidad del Centro Penal de Izalco en los años 2012, 2013, 2014 y 2015 (para poder ver el po</w:t>
      </w:r>
      <w:bookmarkStart w:id="0" w:name="_GoBack"/>
      <w:bookmarkEnd w:id="0"/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rcentaje de sobre-población o hacinamiento)”;</w:t>
      </w:r>
    </w:p>
    <w:p w:rsidR="00E60930" w:rsidRDefault="00E60930" w:rsidP="00E6093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“</w:t>
      </w:r>
      <w:r w:rsidRPr="00060C5E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3.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La capacidad que tendrá al terminar de construir y habilitar todas las fases del proyecto del Complejo Penitenciario de Izalco (fase I, II y III)”;</w:t>
      </w:r>
    </w:p>
    <w:p w:rsidR="00E60930" w:rsidRPr="00526318" w:rsidRDefault="00E60930" w:rsidP="00E6093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“</w:t>
      </w:r>
      <w:r w:rsidRPr="00060C5E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4.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Fecha estimada de finalización de todas las etapas del Complejo Penitenciario de Izalco</w:t>
      </w:r>
      <w:r w:rsidRPr="0089487E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”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.</w:t>
      </w:r>
    </w:p>
    <w:p w:rsidR="00E60930" w:rsidRPr="00526318" w:rsidRDefault="00E60930" w:rsidP="00E6093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60930" w:rsidRDefault="00E60930" w:rsidP="00E6093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26318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526318">
        <w:rPr>
          <w:rFonts w:ascii="Times New Roman" w:hAnsi="Times New Roman"/>
          <w:sz w:val="24"/>
          <w:szCs w:val="24"/>
        </w:rPr>
        <w:t>a</w:t>
      </w:r>
      <w:proofErr w:type="gramEnd"/>
      <w:r w:rsidRPr="00526318">
        <w:rPr>
          <w:rFonts w:ascii="Times New Roman" w:hAnsi="Times New Roman"/>
          <w:sz w:val="24"/>
          <w:szCs w:val="24"/>
        </w:rPr>
        <w:t xml:space="preserve">, b, j. Art. 4 Lit. </w:t>
      </w:r>
      <w:proofErr w:type="gramStart"/>
      <w:r w:rsidRPr="00526318">
        <w:rPr>
          <w:rFonts w:ascii="Times New Roman" w:hAnsi="Times New Roman"/>
          <w:sz w:val="24"/>
          <w:szCs w:val="24"/>
        </w:rPr>
        <w:t>a</w:t>
      </w:r>
      <w:proofErr w:type="gramEnd"/>
      <w:r w:rsidRPr="00526318">
        <w:rPr>
          <w:rFonts w:ascii="Times New Roman" w:hAnsi="Times New Roman"/>
          <w:sz w:val="24"/>
          <w:szCs w:val="24"/>
        </w:rPr>
        <w:t xml:space="preserve">, b, c, d, e, f, g.  </w:t>
      </w:r>
      <w:proofErr w:type="gramStart"/>
      <w:r w:rsidRPr="008E777C">
        <w:rPr>
          <w:rFonts w:ascii="Times New Roman" w:hAnsi="Times New Roman"/>
          <w:sz w:val="24"/>
          <w:szCs w:val="24"/>
        </w:rPr>
        <w:t>y</w:t>
      </w:r>
      <w:proofErr w:type="gramEnd"/>
      <w:r w:rsidRPr="008E777C">
        <w:rPr>
          <w:rFonts w:ascii="Times New Roman" w:hAnsi="Times New Roman"/>
          <w:sz w:val="24"/>
          <w:szCs w:val="24"/>
        </w:rPr>
        <w:t xml:space="preserve"> Artículos 24, 65, 69, 71 y 72 de la Ley de Acceso a la Información Pública, la suscrita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777C">
        <w:rPr>
          <w:rFonts w:ascii="Times New Roman" w:hAnsi="Times New Roman"/>
          <w:b/>
          <w:sz w:val="24"/>
          <w:szCs w:val="24"/>
        </w:rPr>
        <w:t>RESUELVE: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E777C">
        <w:rPr>
          <w:rFonts w:ascii="Times New Roman" w:hAnsi="Times New Roman"/>
          <w:sz w:val="24"/>
          <w:szCs w:val="24"/>
        </w:rPr>
        <w:t>Conceder el acceso a la información solicitada, recibida en esta Unidad por l</w:t>
      </w:r>
      <w:r>
        <w:rPr>
          <w:rFonts w:ascii="Times New Roman" w:hAnsi="Times New Roman"/>
          <w:sz w:val="24"/>
          <w:szCs w:val="24"/>
        </w:rPr>
        <w:t>as</w:t>
      </w:r>
      <w:r w:rsidRPr="008E77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Unidades Administrativas correspondientes</w:t>
      </w:r>
      <w:r w:rsidRPr="0052631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6318">
        <w:rPr>
          <w:rFonts w:ascii="Times New Roman" w:hAnsi="Times New Roman"/>
          <w:sz w:val="24"/>
          <w:szCs w:val="24"/>
        </w:rPr>
        <w:t xml:space="preserve">a tal efecto se </w:t>
      </w:r>
      <w:r>
        <w:rPr>
          <w:rFonts w:ascii="Times New Roman" w:hAnsi="Times New Roman"/>
          <w:sz w:val="24"/>
          <w:szCs w:val="24"/>
        </w:rPr>
        <w:t>informa que la población de privados de libertad del Centro Penal de Izalco, así como la capacidad del mismo, durante los años 2012, 2013, 2014, hasta el día 12/Noviembre/2015 fue la siguiente:</w:t>
      </w:r>
    </w:p>
    <w:p w:rsidR="00E60930" w:rsidRDefault="00E60930" w:rsidP="00E6093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60930" w:rsidRDefault="00E60930" w:rsidP="00E6093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5"/>
        <w:gridCol w:w="1795"/>
        <w:gridCol w:w="1796"/>
        <w:gridCol w:w="1796"/>
        <w:gridCol w:w="1796"/>
      </w:tblGrid>
      <w:tr w:rsidR="00E60930" w:rsidTr="00061548">
        <w:tc>
          <w:tcPr>
            <w:tcW w:w="1795" w:type="dxa"/>
            <w:shd w:val="clear" w:color="auto" w:fill="BFBFBF" w:themeFill="background1" w:themeFillShade="BF"/>
            <w:vAlign w:val="center"/>
          </w:tcPr>
          <w:p w:rsidR="00E60930" w:rsidRPr="004D3319" w:rsidRDefault="00E60930" w:rsidP="00061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3319">
              <w:rPr>
                <w:rFonts w:ascii="Times New Roman" w:hAnsi="Times New Roman"/>
                <w:b/>
                <w:sz w:val="24"/>
                <w:szCs w:val="24"/>
              </w:rPr>
              <w:t>Años</w:t>
            </w:r>
          </w:p>
        </w:tc>
        <w:tc>
          <w:tcPr>
            <w:tcW w:w="1795" w:type="dxa"/>
            <w:shd w:val="clear" w:color="auto" w:fill="BFBFBF" w:themeFill="background1" w:themeFillShade="BF"/>
            <w:vAlign w:val="center"/>
          </w:tcPr>
          <w:p w:rsidR="00E60930" w:rsidRPr="004D3319" w:rsidRDefault="00E60930" w:rsidP="00061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3319">
              <w:rPr>
                <w:rFonts w:ascii="Times New Roman" w:hAnsi="Times New Roman"/>
                <w:b/>
                <w:sz w:val="24"/>
                <w:szCs w:val="24"/>
              </w:rPr>
              <w:t>Capacidad Instalada</w:t>
            </w:r>
          </w:p>
        </w:tc>
        <w:tc>
          <w:tcPr>
            <w:tcW w:w="1796" w:type="dxa"/>
            <w:shd w:val="clear" w:color="auto" w:fill="BFBFBF" w:themeFill="background1" w:themeFillShade="BF"/>
            <w:vAlign w:val="center"/>
          </w:tcPr>
          <w:p w:rsidR="00E60930" w:rsidRPr="004D3319" w:rsidRDefault="00E60930" w:rsidP="00061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3319">
              <w:rPr>
                <w:rFonts w:ascii="Times New Roman" w:hAnsi="Times New Roman"/>
                <w:b/>
                <w:sz w:val="24"/>
                <w:szCs w:val="24"/>
              </w:rPr>
              <w:t>Total de PDL</w:t>
            </w:r>
          </w:p>
        </w:tc>
        <w:tc>
          <w:tcPr>
            <w:tcW w:w="1796" w:type="dxa"/>
            <w:shd w:val="clear" w:color="auto" w:fill="BFBFBF" w:themeFill="background1" w:themeFillShade="BF"/>
            <w:vAlign w:val="center"/>
          </w:tcPr>
          <w:p w:rsidR="00E60930" w:rsidRPr="004D3319" w:rsidRDefault="00E60930" w:rsidP="00061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Cantidad</w:t>
            </w:r>
            <w:r w:rsidRPr="004D3319">
              <w:rPr>
                <w:rFonts w:ascii="Times New Roman" w:hAnsi="Times New Roman"/>
                <w:b/>
                <w:sz w:val="24"/>
                <w:szCs w:val="24"/>
              </w:rPr>
              <w:t xml:space="preserve"> de Hacinamiento</w:t>
            </w:r>
          </w:p>
        </w:tc>
        <w:tc>
          <w:tcPr>
            <w:tcW w:w="1796" w:type="dxa"/>
            <w:shd w:val="clear" w:color="auto" w:fill="BFBFBF" w:themeFill="background1" w:themeFillShade="BF"/>
            <w:vAlign w:val="center"/>
          </w:tcPr>
          <w:p w:rsidR="00E60930" w:rsidRPr="004D3319" w:rsidRDefault="00E60930" w:rsidP="00061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3319">
              <w:rPr>
                <w:rFonts w:ascii="Times New Roman" w:hAnsi="Times New Roman"/>
                <w:b/>
                <w:sz w:val="24"/>
                <w:szCs w:val="24"/>
              </w:rPr>
              <w:t>Porcentaje</w:t>
            </w:r>
          </w:p>
        </w:tc>
      </w:tr>
      <w:tr w:rsidR="00E60930" w:rsidTr="00061548">
        <w:tc>
          <w:tcPr>
            <w:tcW w:w="1795" w:type="dxa"/>
            <w:vAlign w:val="center"/>
          </w:tcPr>
          <w:p w:rsidR="00E60930" w:rsidRDefault="00E60930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795" w:type="dxa"/>
            <w:vAlign w:val="center"/>
          </w:tcPr>
          <w:p w:rsidR="00E60930" w:rsidRDefault="00E60930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</w:t>
            </w:r>
          </w:p>
        </w:tc>
        <w:tc>
          <w:tcPr>
            <w:tcW w:w="1796" w:type="dxa"/>
            <w:vAlign w:val="center"/>
          </w:tcPr>
          <w:p w:rsidR="00E60930" w:rsidRDefault="00E60930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1690</w:t>
            </w:r>
          </w:p>
        </w:tc>
        <w:tc>
          <w:tcPr>
            <w:tcW w:w="1796" w:type="dxa"/>
            <w:vAlign w:val="center"/>
          </w:tcPr>
          <w:p w:rsidR="00E60930" w:rsidRDefault="00E60930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922</w:t>
            </w:r>
          </w:p>
        </w:tc>
        <w:tc>
          <w:tcPr>
            <w:tcW w:w="1796" w:type="dxa"/>
            <w:vAlign w:val="center"/>
          </w:tcPr>
          <w:p w:rsidR="00E60930" w:rsidRPr="004D3319" w:rsidRDefault="00E60930" w:rsidP="00061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3319">
              <w:rPr>
                <w:rFonts w:ascii="Times New Roman" w:hAnsi="Times New Roman"/>
                <w:b/>
                <w:sz w:val="24"/>
                <w:szCs w:val="24"/>
              </w:rPr>
              <w:t>220%</w:t>
            </w:r>
          </w:p>
        </w:tc>
      </w:tr>
      <w:tr w:rsidR="00E60930" w:rsidTr="00061548">
        <w:tc>
          <w:tcPr>
            <w:tcW w:w="1795" w:type="dxa"/>
            <w:vAlign w:val="center"/>
          </w:tcPr>
          <w:p w:rsidR="00E60930" w:rsidRDefault="00E60930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795" w:type="dxa"/>
            <w:vAlign w:val="center"/>
          </w:tcPr>
          <w:p w:rsidR="00E60930" w:rsidRDefault="00E60930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</w:t>
            </w:r>
          </w:p>
        </w:tc>
        <w:tc>
          <w:tcPr>
            <w:tcW w:w="1796" w:type="dxa"/>
            <w:vAlign w:val="center"/>
          </w:tcPr>
          <w:p w:rsidR="00E60930" w:rsidRDefault="00E60930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1668</w:t>
            </w:r>
          </w:p>
        </w:tc>
        <w:tc>
          <w:tcPr>
            <w:tcW w:w="1796" w:type="dxa"/>
            <w:vAlign w:val="center"/>
          </w:tcPr>
          <w:p w:rsidR="00E60930" w:rsidRDefault="00E60930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796" w:type="dxa"/>
            <w:vAlign w:val="center"/>
          </w:tcPr>
          <w:p w:rsidR="00E60930" w:rsidRPr="004D3319" w:rsidRDefault="00E60930" w:rsidP="00061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3319">
              <w:rPr>
                <w:rFonts w:ascii="Times New Roman" w:hAnsi="Times New Roman"/>
                <w:b/>
                <w:sz w:val="24"/>
                <w:szCs w:val="24"/>
              </w:rPr>
              <w:t>217%</w:t>
            </w:r>
          </w:p>
        </w:tc>
      </w:tr>
      <w:tr w:rsidR="00E60930" w:rsidTr="00061548">
        <w:tc>
          <w:tcPr>
            <w:tcW w:w="1795" w:type="dxa"/>
            <w:vAlign w:val="center"/>
          </w:tcPr>
          <w:p w:rsidR="00E60930" w:rsidRDefault="00E60930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795" w:type="dxa"/>
            <w:vAlign w:val="center"/>
          </w:tcPr>
          <w:p w:rsidR="00E60930" w:rsidRDefault="00E60930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</w:t>
            </w:r>
          </w:p>
        </w:tc>
        <w:tc>
          <w:tcPr>
            <w:tcW w:w="1796" w:type="dxa"/>
            <w:vAlign w:val="center"/>
          </w:tcPr>
          <w:p w:rsidR="00E60930" w:rsidRDefault="00E60930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2225</w:t>
            </w:r>
          </w:p>
        </w:tc>
        <w:tc>
          <w:tcPr>
            <w:tcW w:w="1796" w:type="dxa"/>
            <w:vAlign w:val="center"/>
          </w:tcPr>
          <w:p w:rsidR="00E60930" w:rsidRDefault="00E60930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1457</w:t>
            </w:r>
          </w:p>
        </w:tc>
        <w:tc>
          <w:tcPr>
            <w:tcW w:w="1796" w:type="dxa"/>
            <w:vAlign w:val="center"/>
          </w:tcPr>
          <w:p w:rsidR="00E60930" w:rsidRPr="004D3319" w:rsidRDefault="00E60930" w:rsidP="00061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3319">
              <w:rPr>
                <w:rFonts w:ascii="Times New Roman" w:hAnsi="Times New Roman"/>
                <w:b/>
                <w:sz w:val="24"/>
                <w:szCs w:val="24"/>
              </w:rPr>
              <w:t>290%</w:t>
            </w:r>
          </w:p>
        </w:tc>
      </w:tr>
      <w:tr w:rsidR="00E60930" w:rsidTr="00061548">
        <w:tc>
          <w:tcPr>
            <w:tcW w:w="1795" w:type="dxa"/>
            <w:vAlign w:val="center"/>
          </w:tcPr>
          <w:p w:rsidR="00E60930" w:rsidRDefault="00E60930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12/Nov/2015</w:t>
            </w:r>
          </w:p>
        </w:tc>
        <w:tc>
          <w:tcPr>
            <w:tcW w:w="1795" w:type="dxa"/>
            <w:vAlign w:val="center"/>
          </w:tcPr>
          <w:p w:rsidR="00E60930" w:rsidRDefault="00E60930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</w:t>
            </w:r>
          </w:p>
        </w:tc>
        <w:tc>
          <w:tcPr>
            <w:tcW w:w="1796" w:type="dxa"/>
            <w:vAlign w:val="center"/>
          </w:tcPr>
          <w:p w:rsidR="00E60930" w:rsidRDefault="00E60930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2561</w:t>
            </w:r>
          </w:p>
        </w:tc>
        <w:tc>
          <w:tcPr>
            <w:tcW w:w="1796" w:type="dxa"/>
            <w:vAlign w:val="center"/>
          </w:tcPr>
          <w:p w:rsidR="00E60930" w:rsidRDefault="00E60930" w:rsidP="000615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1793</w:t>
            </w:r>
          </w:p>
        </w:tc>
        <w:tc>
          <w:tcPr>
            <w:tcW w:w="1796" w:type="dxa"/>
            <w:vAlign w:val="center"/>
          </w:tcPr>
          <w:p w:rsidR="00E60930" w:rsidRPr="004D3319" w:rsidRDefault="00E60930" w:rsidP="00061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3319">
              <w:rPr>
                <w:rFonts w:ascii="Times New Roman" w:hAnsi="Times New Roman"/>
                <w:b/>
                <w:sz w:val="24"/>
                <w:szCs w:val="24"/>
              </w:rPr>
              <w:t>333%</w:t>
            </w:r>
          </w:p>
        </w:tc>
      </w:tr>
    </w:tbl>
    <w:p w:rsidR="00E60930" w:rsidRDefault="00E60930" w:rsidP="00E6093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60930" w:rsidRDefault="00E60930" w:rsidP="00E6093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60930" w:rsidRPr="004D3319" w:rsidRDefault="00E60930" w:rsidP="00E6093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Referente a</w:t>
      </w:r>
      <w:r w:rsidRPr="004D3319">
        <w:rPr>
          <w:rFonts w:ascii="Times New Roman" w:hAnsi="Times New Roman"/>
          <w:sz w:val="24"/>
          <w:szCs w:val="24"/>
        </w:rPr>
        <w:t xml:space="preserve"> la capacidad que tendrá al terminar de construir y habilitar todas las fases del proyecto del Complejo Penitenciario de Izalco (fase I, II y III)</w:t>
      </w:r>
      <w:r>
        <w:rPr>
          <w:rFonts w:ascii="Times New Roman" w:hAnsi="Times New Roman"/>
          <w:sz w:val="24"/>
          <w:szCs w:val="24"/>
        </w:rPr>
        <w:t xml:space="preserve"> se informa que la fase I de dicho proyecto es la que actualmente está habilitada y detallada en el cuadro anterior; Por lo que en respuesta a sus restantes peticiones se hace de conocimiento que</w:t>
      </w:r>
      <w:r w:rsidRPr="004D33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la ampliación </w:t>
      </w:r>
      <w:r w:rsidRPr="004D3319">
        <w:rPr>
          <w:rFonts w:ascii="Times New Roman" w:hAnsi="Times New Roman"/>
          <w:sz w:val="24"/>
          <w:szCs w:val="24"/>
        </w:rPr>
        <w:t>del Complejo Penitenciario de Izalco</w:t>
      </w:r>
      <w:r>
        <w:rPr>
          <w:rFonts w:ascii="Times New Roman" w:hAnsi="Times New Roman"/>
          <w:sz w:val="24"/>
          <w:szCs w:val="24"/>
        </w:rPr>
        <w:t>, fase II, tendrá una capacidad de 2,350 espacios y la Construcción de Obras Complementarias del Complejo Penitenciario Izalco, fase III, contará con 2,750 espacios. Además, se tiene  estimado que en agosto del 2016 se dará por finalizada la construcción.</w:t>
      </w:r>
    </w:p>
    <w:p w:rsidR="00E60930" w:rsidRDefault="00E60930" w:rsidP="00E6093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60930" w:rsidRDefault="00E60930" w:rsidP="00E6093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60930" w:rsidRPr="00526318" w:rsidRDefault="00E60930" w:rsidP="00E6093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26318">
        <w:rPr>
          <w:rFonts w:ascii="Times New Roman" w:hAnsi="Times New Roman"/>
          <w:sz w:val="24"/>
          <w:szCs w:val="24"/>
        </w:rPr>
        <w:lastRenderedPageBreak/>
        <w:t>Queda expedito el derecho del solicitante de proceder conforme a lo establecido en el art. 82 de la Ley de Acceso a la Información Pública.</w:t>
      </w:r>
    </w:p>
    <w:p w:rsidR="00E60930" w:rsidRPr="00526318" w:rsidRDefault="00E60930" w:rsidP="00E6093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60930" w:rsidRPr="00766163" w:rsidRDefault="00E60930" w:rsidP="00E6093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66163">
        <w:rPr>
          <w:rFonts w:ascii="Times New Roman" w:hAnsi="Times New Roman"/>
          <w:sz w:val="24"/>
          <w:szCs w:val="24"/>
        </w:rPr>
        <w:t>San Salvador, a las ocho horas con cuarenta minutos del día veintitrés de noviembre de dos mil quince.</w:t>
      </w:r>
    </w:p>
    <w:p w:rsidR="00E60930" w:rsidRPr="00E50BE1" w:rsidRDefault="00E60930" w:rsidP="00E60930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60930" w:rsidRDefault="00E60930" w:rsidP="00E60930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60930" w:rsidRDefault="00E60930" w:rsidP="00E60930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60930" w:rsidRPr="00E50BE1" w:rsidRDefault="00E60930" w:rsidP="00E60930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60930" w:rsidRPr="00E50BE1" w:rsidRDefault="00E60930" w:rsidP="00E60930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60930" w:rsidRPr="002E2F39" w:rsidRDefault="00E60930" w:rsidP="00E60930">
      <w:pPr>
        <w:spacing w:after="0"/>
        <w:ind w:left="3540" w:firstLine="708"/>
        <w:rPr>
          <w:rFonts w:ascii="Times New Roman" w:hAnsi="Times New Roman"/>
          <w:b/>
          <w:szCs w:val="24"/>
        </w:rPr>
      </w:pPr>
      <w:r w:rsidRPr="002E2F39">
        <w:rPr>
          <w:rFonts w:ascii="Times New Roman" w:hAnsi="Times New Roman"/>
          <w:b/>
          <w:szCs w:val="24"/>
        </w:rPr>
        <w:t>Licda. Marlene Janeth Cardona Andrade</w:t>
      </w:r>
    </w:p>
    <w:p w:rsidR="00E60930" w:rsidRPr="00E50BE1" w:rsidRDefault="00E60930" w:rsidP="00E60930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2E2F39">
        <w:rPr>
          <w:rFonts w:ascii="Times New Roman" w:hAnsi="Times New Roman"/>
          <w:b/>
          <w:szCs w:val="24"/>
        </w:rPr>
        <w:t>Oficial de Información</w:t>
      </w:r>
    </w:p>
    <w:p w:rsidR="00E60930" w:rsidRDefault="00E60930" w:rsidP="00E60930">
      <w:pPr>
        <w:spacing w:after="0"/>
        <w:rPr>
          <w:rFonts w:ascii="Times New Roman" w:hAnsi="Times New Roman"/>
          <w:sz w:val="24"/>
          <w:szCs w:val="24"/>
        </w:rPr>
      </w:pPr>
    </w:p>
    <w:p w:rsidR="00E60930" w:rsidRDefault="00E60930" w:rsidP="00E60930">
      <w:pPr>
        <w:spacing w:after="0"/>
        <w:rPr>
          <w:rFonts w:ascii="Times New Roman" w:hAnsi="Times New Roman"/>
          <w:sz w:val="24"/>
          <w:szCs w:val="24"/>
        </w:rPr>
      </w:pPr>
    </w:p>
    <w:p w:rsidR="00E60930" w:rsidRDefault="00E60930" w:rsidP="00E60930">
      <w:pPr>
        <w:spacing w:after="0"/>
        <w:rPr>
          <w:rFonts w:ascii="Times New Roman" w:hAnsi="Times New Roman"/>
          <w:sz w:val="18"/>
          <w:szCs w:val="18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</w:t>
      </w:r>
      <w:r>
        <w:rPr>
          <w:rFonts w:ascii="Times New Roman" w:hAnsi="Times New Roman"/>
          <w:sz w:val="18"/>
          <w:szCs w:val="18"/>
        </w:rPr>
        <w:t>187</w:t>
      </w:r>
      <w:r w:rsidRPr="00A26B3B">
        <w:rPr>
          <w:rFonts w:ascii="Times New Roman" w:hAnsi="Times New Roman"/>
          <w:sz w:val="18"/>
          <w:szCs w:val="18"/>
        </w:rPr>
        <w:t>/2015</w:t>
      </w:r>
    </w:p>
    <w:p w:rsidR="00C50A06" w:rsidRPr="00330E8F" w:rsidRDefault="00C50A06" w:rsidP="00E60930">
      <w:pPr>
        <w:spacing w:after="0"/>
        <w:ind w:firstLine="708"/>
        <w:jc w:val="both"/>
        <w:rPr>
          <w:lang w:val="en-US"/>
        </w:rPr>
      </w:pPr>
    </w:p>
    <w:sectPr w:rsidR="00C50A06" w:rsidRPr="00330E8F" w:rsidSect="003D75DF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DF"/>
    <w:rsid w:val="00330E8F"/>
    <w:rsid w:val="003D75DF"/>
    <w:rsid w:val="005877E2"/>
    <w:rsid w:val="00765815"/>
    <w:rsid w:val="00C50A06"/>
    <w:rsid w:val="00E6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D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5DF"/>
  </w:style>
  <w:style w:type="paragraph" w:styleId="Piedepgina">
    <w:name w:val="footer"/>
    <w:basedOn w:val="Normal"/>
    <w:link w:val="Piedepgina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5DF"/>
  </w:style>
  <w:style w:type="table" w:styleId="Tablaconcuadrcula">
    <w:name w:val="Table Grid"/>
    <w:basedOn w:val="Tablanormal"/>
    <w:uiPriority w:val="59"/>
    <w:rsid w:val="00E60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D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5DF"/>
  </w:style>
  <w:style w:type="paragraph" w:styleId="Piedepgina">
    <w:name w:val="footer"/>
    <w:basedOn w:val="Normal"/>
    <w:link w:val="PiedepginaCar"/>
    <w:uiPriority w:val="99"/>
    <w:unhideWhenUsed/>
    <w:rsid w:val="003D7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5DF"/>
  </w:style>
  <w:style w:type="table" w:styleId="Tablaconcuadrcula">
    <w:name w:val="Table Grid"/>
    <w:basedOn w:val="Tablanormal"/>
    <w:uiPriority w:val="59"/>
    <w:rsid w:val="00E60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2016-07-28T19:50:00Z</dcterms:created>
  <dcterms:modified xsi:type="dcterms:W3CDTF">2016-07-28T19:50:00Z</dcterms:modified>
</cp:coreProperties>
</file>