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top w:w="75" w:type="dxa"/>
          <w:left w:w="75" w:type="dxa"/>
          <w:bottom w:w="75" w:type="dxa"/>
          <w:right w:w="75" w:type="dxa"/>
        </w:tblCellMar>
        <w:tblLook w:val="04A0" w:firstRow="1" w:lastRow="0" w:firstColumn="1" w:lastColumn="0" w:noHBand="0" w:noVBand="1"/>
      </w:tblPr>
      <w:tblGrid>
        <w:gridCol w:w="8892"/>
        <w:gridCol w:w="156"/>
        <w:gridCol w:w="156"/>
        <w:gridCol w:w="156"/>
      </w:tblGrid>
      <w:tr w:rsidR="00795131" w:rsidRPr="00795131" w:rsidTr="00795131">
        <w:tc>
          <w:tcPr>
            <w:tcW w:w="5000" w:type="pct"/>
            <w:vAlign w:val="center"/>
            <w:hideMark/>
          </w:tcPr>
          <w:p w:rsidR="00795131" w:rsidRPr="00795131" w:rsidRDefault="00795131" w:rsidP="00795131">
            <w:pPr>
              <w:spacing w:after="150" w:line="288" w:lineRule="auto"/>
              <w:jc w:val="both"/>
              <w:rPr>
                <w:rFonts w:ascii="Arial" w:eastAsia="Times New Roman" w:hAnsi="Arial" w:cs="Arial"/>
                <w:b/>
                <w:bCs/>
                <w:color w:val="3A67C5"/>
                <w:sz w:val="38"/>
                <w:szCs w:val="38"/>
                <w:lang w:eastAsia="es-SV"/>
              </w:rPr>
            </w:pPr>
            <w:bookmarkStart w:id="0" w:name="_GoBack"/>
            <w:r w:rsidRPr="00795131">
              <w:rPr>
                <w:rFonts w:ascii="Arial" w:eastAsia="Times New Roman" w:hAnsi="Arial" w:cs="Arial"/>
                <w:b/>
                <w:bCs/>
                <w:color w:val="3A67C5"/>
                <w:sz w:val="38"/>
                <w:szCs w:val="38"/>
                <w:lang w:eastAsia="es-SV"/>
              </w:rPr>
              <w:t xml:space="preserve">La Defensoría presenta informe de resultados del 2014 </w:t>
            </w:r>
          </w:p>
        </w:tc>
        <w:tc>
          <w:tcPr>
            <w:tcW w:w="5000" w:type="pct"/>
            <w:vAlign w:val="center"/>
            <w:hideMark/>
          </w:tcPr>
          <w:p w:rsidR="00795131" w:rsidRPr="00795131" w:rsidRDefault="00795131" w:rsidP="00795131">
            <w:pPr>
              <w:spacing w:after="0" w:line="288" w:lineRule="auto"/>
              <w:jc w:val="both"/>
              <w:rPr>
                <w:rFonts w:ascii="Verdana" w:eastAsia="Times New Roman" w:hAnsi="Verdana" w:cs="Times New Roman"/>
                <w:sz w:val="24"/>
                <w:szCs w:val="24"/>
                <w:lang w:eastAsia="es-SV"/>
              </w:rPr>
            </w:pPr>
          </w:p>
        </w:tc>
        <w:tc>
          <w:tcPr>
            <w:tcW w:w="5000" w:type="pct"/>
            <w:vAlign w:val="center"/>
            <w:hideMark/>
          </w:tcPr>
          <w:p w:rsidR="00795131" w:rsidRPr="00795131" w:rsidRDefault="00795131" w:rsidP="00795131">
            <w:pPr>
              <w:spacing w:after="0" w:line="288" w:lineRule="auto"/>
              <w:jc w:val="both"/>
              <w:rPr>
                <w:rFonts w:ascii="Verdana" w:eastAsia="Times New Roman" w:hAnsi="Verdana" w:cs="Times New Roman"/>
                <w:sz w:val="24"/>
                <w:szCs w:val="24"/>
                <w:lang w:eastAsia="es-SV"/>
              </w:rPr>
            </w:pPr>
          </w:p>
        </w:tc>
        <w:tc>
          <w:tcPr>
            <w:tcW w:w="5000" w:type="pct"/>
            <w:vAlign w:val="center"/>
            <w:hideMark/>
          </w:tcPr>
          <w:p w:rsidR="00795131" w:rsidRPr="00795131" w:rsidRDefault="00795131" w:rsidP="00795131">
            <w:pPr>
              <w:spacing w:after="0" w:line="288" w:lineRule="auto"/>
              <w:jc w:val="both"/>
              <w:rPr>
                <w:rFonts w:ascii="Verdana" w:eastAsia="Times New Roman" w:hAnsi="Verdana" w:cs="Times New Roman"/>
                <w:sz w:val="24"/>
                <w:szCs w:val="24"/>
                <w:lang w:eastAsia="es-SV"/>
              </w:rPr>
            </w:pPr>
          </w:p>
        </w:tc>
      </w:tr>
      <w:bookmarkEnd w:id="0"/>
    </w:tbl>
    <w:p w:rsidR="00795131" w:rsidRPr="00795131" w:rsidRDefault="00795131" w:rsidP="00795131">
      <w:pPr>
        <w:shd w:val="clear" w:color="auto" w:fill="FFFFFF"/>
        <w:spacing w:after="0" w:line="288" w:lineRule="auto"/>
        <w:jc w:val="both"/>
        <w:rPr>
          <w:rFonts w:ascii="Verdana" w:eastAsia="Times New Roman" w:hAnsi="Verdana" w:cs="Times New Roman"/>
          <w:vanish/>
          <w:sz w:val="18"/>
          <w:szCs w:val="18"/>
          <w:lang w:val="es-ES" w:eastAsia="es-SV"/>
        </w:rPr>
      </w:pPr>
    </w:p>
    <w:tbl>
      <w:tblPr>
        <w:tblW w:w="0" w:type="auto"/>
        <w:tblCellMar>
          <w:top w:w="75" w:type="dxa"/>
          <w:left w:w="75" w:type="dxa"/>
          <w:bottom w:w="75" w:type="dxa"/>
          <w:right w:w="75" w:type="dxa"/>
        </w:tblCellMar>
        <w:tblLook w:val="04A0" w:firstRow="1" w:lastRow="0" w:firstColumn="1" w:lastColumn="0" w:noHBand="0" w:noVBand="1"/>
      </w:tblPr>
      <w:tblGrid>
        <w:gridCol w:w="9360"/>
      </w:tblGrid>
      <w:tr w:rsidR="00795131" w:rsidRPr="00795131" w:rsidTr="00795131">
        <w:tc>
          <w:tcPr>
            <w:tcW w:w="0" w:type="auto"/>
            <w:tcMar>
              <w:top w:w="0" w:type="dxa"/>
              <w:left w:w="0" w:type="dxa"/>
              <w:bottom w:w="150" w:type="dxa"/>
              <w:right w:w="0" w:type="dxa"/>
            </w:tcMar>
            <w:hideMark/>
          </w:tcPr>
          <w:p w:rsidR="00795131" w:rsidRPr="00795131" w:rsidRDefault="00795131" w:rsidP="00795131">
            <w:pPr>
              <w:spacing w:after="0" w:line="288" w:lineRule="auto"/>
              <w:jc w:val="both"/>
              <w:rPr>
                <w:rFonts w:ascii="Verdana" w:eastAsia="Times New Roman" w:hAnsi="Verdana" w:cs="Times New Roman"/>
                <w:i/>
                <w:iCs/>
                <w:color w:val="999999"/>
                <w:lang w:eastAsia="es-SV"/>
              </w:rPr>
            </w:pPr>
            <w:r w:rsidRPr="00795131">
              <w:rPr>
                <w:rFonts w:ascii="Verdana" w:eastAsia="Times New Roman" w:hAnsi="Verdana" w:cs="Times New Roman"/>
                <w:i/>
                <w:iCs/>
                <w:color w:val="999999"/>
                <w:lang w:eastAsia="es-SV"/>
              </w:rPr>
              <w:t xml:space="preserve">Martes, 23 de Diciembre de 2014 11:35 </w:t>
            </w:r>
          </w:p>
        </w:tc>
      </w:tr>
      <w:tr w:rsidR="00795131" w:rsidRPr="00795131" w:rsidTr="00795131">
        <w:tc>
          <w:tcPr>
            <w:tcW w:w="0" w:type="auto"/>
            <w:hideMark/>
          </w:tcPr>
          <w:p w:rsidR="00795131" w:rsidRPr="00795131" w:rsidRDefault="00795131" w:rsidP="00795131">
            <w:pPr>
              <w:spacing w:after="0" w:line="288" w:lineRule="auto"/>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Yanci Urbina, Presidenta de la </w:t>
            </w:r>
            <w:r w:rsidRPr="00795131">
              <w:rPr>
                <w:rFonts w:ascii="Impact" w:eastAsia="Times New Roman" w:hAnsi="Impact" w:cs="Times New Roman"/>
                <w:color w:val="333399"/>
                <w:sz w:val="20"/>
                <w:szCs w:val="20"/>
                <w:lang w:eastAsia="es-SV"/>
              </w:rPr>
              <w:t>Defensoría del Consumidor</w:t>
            </w:r>
            <w:r w:rsidRPr="00795131">
              <w:rPr>
                <w:rFonts w:ascii="Verdana" w:eastAsia="Times New Roman" w:hAnsi="Verdana" w:cs="Times New Roman"/>
                <w:sz w:val="24"/>
                <w:szCs w:val="24"/>
                <w:lang w:eastAsia="es-SV"/>
              </w:rPr>
              <w:t>, presentó este martes un informe de los principales resultados de la gestión 2014, destacando importantes logros en materia de protección, defensa y promoción de los derechos de las personas consumidoras:</w:t>
            </w:r>
          </w:p>
          <w:p w:rsidR="00795131" w:rsidRPr="00795131" w:rsidRDefault="00795131" w:rsidP="00795131">
            <w:pPr>
              <w:spacing w:after="0" w:line="288" w:lineRule="auto"/>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w:t>
            </w:r>
          </w:p>
          <w:p w:rsidR="00795131" w:rsidRPr="00795131" w:rsidRDefault="00795131" w:rsidP="00795131">
            <w:pPr>
              <w:spacing w:after="0" w:line="288" w:lineRule="auto"/>
              <w:jc w:val="both"/>
              <w:rPr>
                <w:rFonts w:ascii="Verdana" w:eastAsia="Times New Roman" w:hAnsi="Verdana" w:cs="Times New Roman"/>
                <w:sz w:val="24"/>
                <w:szCs w:val="24"/>
                <w:lang w:eastAsia="es-SV"/>
              </w:rPr>
            </w:pPr>
            <w:r w:rsidRPr="00795131">
              <w:rPr>
                <w:rFonts w:ascii="Verdana" w:eastAsia="Times New Roman" w:hAnsi="Verdana" w:cs="Times New Roman"/>
                <w:b/>
                <w:bCs/>
                <w:sz w:val="24"/>
                <w:szCs w:val="24"/>
                <w:u w:val="single"/>
                <w:lang w:eastAsia="es-SV"/>
              </w:rPr>
              <w:t>PROTECCIÓN EFECTIVA DEL BOLSILLO</w:t>
            </w:r>
            <w:r w:rsidRPr="00795131">
              <w:rPr>
                <w:rFonts w:ascii="Verdana" w:eastAsia="Times New Roman" w:hAnsi="Verdana" w:cs="Times New Roman"/>
                <w:sz w:val="24"/>
                <w:szCs w:val="24"/>
                <w:lang w:eastAsia="es-SV"/>
              </w:rPr>
              <w:br/>
              <w:t xml:space="preserve">La </w:t>
            </w:r>
            <w:r w:rsidRPr="00795131">
              <w:rPr>
                <w:rFonts w:ascii="Impact" w:eastAsia="Times New Roman" w:hAnsi="Impact" w:cs="Times New Roman"/>
                <w:color w:val="333399"/>
                <w:sz w:val="24"/>
                <w:szCs w:val="24"/>
                <w:lang w:eastAsia="es-SV"/>
              </w:rPr>
              <w:t>Defensoría del Consumidor</w:t>
            </w:r>
            <w:r w:rsidRPr="00795131">
              <w:rPr>
                <w:rFonts w:ascii="Verdana" w:eastAsia="Times New Roman" w:hAnsi="Verdana" w:cs="Times New Roman"/>
                <w:sz w:val="24"/>
                <w:szCs w:val="24"/>
                <w:lang w:eastAsia="es-SV"/>
              </w:rPr>
              <w:t xml:space="preserve"> atendió a 62,040 personas consumidoras a quienes brindó servicios de asesoría 46,983 (75.73%), atención de denuncias 11,357 (18.31%), gestiones 2,059 (3.32%) y derivaciones 1,641 (2.65%).</w:t>
            </w:r>
          </w:p>
          <w:p w:rsidR="00795131" w:rsidRPr="00795131" w:rsidRDefault="00795131" w:rsidP="00795131">
            <w:pPr>
              <w:spacing w:after="0" w:line="288" w:lineRule="auto"/>
              <w:jc w:val="center"/>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br/>
              <w:t xml:space="preserve">Mediante la actuación oportuna y respuesta efectiva a las denuncias y gestiones atendidas, </w:t>
            </w:r>
            <w:r w:rsidRPr="00795131">
              <w:rPr>
                <w:rFonts w:ascii="Impact" w:eastAsia="Times New Roman" w:hAnsi="Impact" w:cs="Times New Roman"/>
                <w:color w:val="333399"/>
                <w:sz w:val="20"/>
                <w:szCs w:val="20"/>
                <w:lang w:eastAsia="es-SV"/>
              </w:rPr>
              <w:t>La Defensoría</w:t>
            </w:r>
            <w:r w:rsidRPr="00795131">
              <w:rPr>
                <w:rFonts w:ascii="Verdana" w:eastAsia="Times New Roman" w:hAnsi="Verdana" w:cs="Times New Roman"/>
                <w:sz w:val="24"/>
                <w:szCs w:val="24"/>
                <w:lang w:eastAsia="es-SV"/>
              </w:rPr>
              <w:t xml:space="preserve"> recuperó US $ </w:t>
            </w:r>
            <w:r w:rsidRPr="00795131">
              <w:rPr>
                <w:rFonts w:ascii="Verdana" w:eastAsia="Times New Roman" w:hAnsi="Verdana" w:cs="Times New Roman"/>
                <w:b/>
                <w:bCs/>
                <w:sz w:val="24"/>
                <w:szCs w:val="24"/>
                <w:lang w:eastAsia="es-SV"/>
              </w:rPr>
              <w:t>2</w:t>
            </w:r>
            <w:proofErr w:type="gramStart"/>
            <w:r w:rsidRPr="00795131">
              <w:rPr>
                <w:rFonts w:ascii="Verdana" w:eastAsia="Times New Roman" w:hAnsi="Verdana" w:cs="Times New Roman"/>
                <w:b/>
                <w:bCs/>
                <w:sz w:val="24"/>
                <w:szCs w:val="24"/>
                <w:lang w:eastAsia="es-SV"/>
              </w:rPr>
              <w:t>,856,606.71</w:t>
            </w:r>
            <w:proofErr w:type="gramEnd"/>
            <w:r w:rsidRPr="00795131">
              <w:rPr>
                <w:rFonts w:ascii="Verdana" w:eastAsia="Times New Roman" w:hAnsi="Verdana" w:cs="Times New Roman"/>
                <w:sz w:val="24"/>
                <w:szCs w:val="24"/>
                <w:lang w:eastAsia="es-SV"/>
              </w:rPr>
              <w:t xml:space="preserve"> como resultado de resoluciones favorables para 7,918 casos individuales.</w:t>
            </w:r>
            <w:r w:rsidRPr="00795131">
              <w:rPr>
                <w:rFonts w:ascii="Verdana" w:eastAsia="Times New Roman" w:hAnsi="Verdana" w:cs="Times New Roman"/>
                <w:sz w:val="24"/>
                <w:szCs w:val="24"/>
                <w:lang w:eastAsia="es-SV"/>
              </w:rPr>
              <w:br/>
            </w:r>
            <w:r w:rsidRPr="00795131">
              <w:rPr>
                <w:rFonts w:ascii="Verdana" w:eastAsia="Times New Roman" w:hAnsi="Verdana" w:cs="Times New Roman"/>
                <w:sz w:val="24"/>
                <w:szCs w:val="24"/>
                <w:lang w:eastAsia="es-SV"/>
              </w:rPr>
              <w:br/>
            </w:r>
            <w:r w:rsidRPr="00795131">
              <w:rPr>
                <w:rFonts w:ascii="Verdana" w:eastAsia="Times New Roman" w:hAnsi="Verdana" w:cs="Times New Roman"/>
                <w:noProof/>
                <w:sz w:val="24"/>
                <w:szCs w:val="24"/>
                <w:lang w:eastAsia="es-SV"/>
              </w:rPr>
              <w:drawing>
                <wp:inline distT="0" distB="0" distL="0" distR="0">
                  <wp:extent cx="4733925" cy="1847850"/>
                  <wp:effectExtent l="0" t="0" r="9525" b="0"/>
                  <wp:docPr id="14" name="Imagen 14" descr="tabla1 23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bla1 2312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33925" cy="1847850"/>
                          </a:xfrm>
                          <a:prstGeom prst="rect">
                            <a:avLst/>
                          </a:prstGeom>
                          <a:noFill/>
                          <a:ln>
                            <a:noFill/>
                          </a:ln>
                        </pic:spPr>
                      </pic:pic>
                    </a:graphicData>
                  </a:graphic>
                </wp:inline>
              </w:drawing>
            </w:r>
            <w:r w:rsidRPr="00795131">
              <w:rPr>
                <w:rFonts w:ascii="Verdana" w:eastAsia="Times New Roman" w:hAnsi="Verdana" w:cs="Times New Roman"/>
                <w:sz w:val="24"/>
                <w:szCs w:val="24"/>
                <w:lang w:eastAsia="es-SV"/>
              </w:rPr>
              <w:br/>
            </w:r>
            <w:r w:rsidRPr="00795131">
              <w:rPr>
                <w:rFonts w:ascii="Verdana" w:eastAsia="Times New Roman" w:hAnsi="Verdana" w:cs="Times New Roman"/>
                <w:b/>
                <w:bCs/>
                <w:sz w:val="24"/>
                <w:szCs w:val="24"/>
                <w:u w:val="single"/>
                <w:lang w:eastAsia="es-SV"/>
              </w:rPr>
              <w:t>EJERCICIO DE LA POTESTAD SANCIONADORA</w:t>
            </w:r>
          </w:p>
          <w:p w:rsidR="00795131" w:rsidRDefault="00795131" w:rsidP="00795131">
            <w:pPr>
              <w:numPr>
                <w:ilvl w:val="0"/>
                <w:numId w:val="1"/>
              </w:numPr>
              <w:spacing w:after="75"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El Tribunal Sancionador de </w:t>
            </w:r>
            <w:r w:rsidRPr="00795131">
              <w:rPr>
                <w:rFonts w:ascii="Impact" w:eastAsia="Times New Roman" w:hAnsi="Impact" w:cs="Times New Roman"/>
                <w:color w:val="333399"/>
                <w:sz w:val="20"/>
                <w:szCs w:val="20"/>
                <w:lang w:eastAsia="es-SV"/>
              </w:rPr>
              <w:t>La Defensoría</w:t>
            </w:r>
            <w:r w:rsidRPr="00795131">
              <w:rPr>
                <w:rFonts w:ascii="Verdana" w:eastAsia="Times New Roman" w:hAnsi="Verdana" w:cs="Times New Roman"/>
                <w:sz w:val="24"/>
                <w:szCs w:val="24"/>
                <w:lang w:eastAsia="es-SV"/>
              </w:rPr>
              <w:t>, en cumplimiento de sus facultades sancionó 495 casos con la imposición de multas que en conjunto ascendieron a US</w:t>
            </w:r>
            <w:r w:rsidRPr="00795131">
              <w:rPr>
                <w:rFonts w:ascii="Verdana" w:eastAsia="Times New Roman" w:hAnsi="Verdana" w:cs="Times New Roman"/>
                <w:b/>
                <w:bCs/>
                <w:sz w:val="24"/>
                <w:szCs w:val="24"/>
                <w:lang w:eastAsia="es-SV"/>
              </w:rPr>
              <w:t xml:space="preserve"> $ 1, 204,595.06</w:t>
            </w:r>
            <w:r w:rsidRPr="00795131">
              <w:rPr>
                <w:rFonts w:ascii="Verdana" w:eastAsia="Times New Roman" w:hAnsi="Verdana" w:cs="Times New Roman"/>
                <w:sz w:val="24"/>
                <w:szCs w:val="24"/>
                <w:lang w:eastAsia="es-SV"/>
              </w:rPr>
              <w:t xml:space="preserve"> </w:t>
            </w:r>
          </w:p>
          <w:p w:rsidR="00795131" w:rsidRPr="00795131" w:rsidRDefault="00795131" w:rsidP="00795131">
            <w:pPr>
              <w:numPr>
                <w:ilvl w:val="0"/>
                <w:numId w:val="1"/>
              </w:numPr>
              <w:spacing w:after="75" w:line="288" w:lineRule="auto"/>
              <w:ind w:left="0"/>
              <w:jc w:val="both"/>
              <w:rPr>
                <w:rFonts w:ascii="Verdana" w:eastAsia="Times New Roman" w:hAnsi="Verdana" w:cs="Times New Roman"/>
                <w:sz w:val="24"/>
                <w:szCs w:val="24"/>
                <w:lang w:eastAsia="es-SV"/>
              </w:rPr>
            </w:pPr>
          </w:p>
          <w:p w:rsidR="00795131" w:rsidRPr="00795131" w:rsidRDefault="00795131" w:rsidP="00795131">
            <w:pPr>
              <w:numPr>
                <w:ilvl w:val="0"/>
                <w:numId w:val="2"/>
              </w:numPr>
              <w:spacing w:after="75"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También ordenó en 5 casos de afectación colectiva y difusa, la devolución de </w:t>
            </w:r>
            <w:r w:rsidRPr="00795131">
              <w:rPr>
                <w:rFonts w:ascii="Verdana" w:eastAsia="Times New Roman" w:hAnsi="Verdana" w:cs="Times New Roman"/>
                <w:b/>
                <w:bCs/>
                <w:sz w:val="24"/>
                <w:szCs w:val="24"/>
                <w:lang w:eastAsia="es-SV"/>
              </w:rPr>
              <w:t>US $ 75,521.24</w:t>
            </w:r>
            <w:r w:rsidRPr="00795131">
              <w:rPr>
                <w:rFonts w:ascii="Verdana" w:eastAsia="Times New Roman" w:hAnsi="Verdana" w:cs="Times New Roman"/>
                <w:sz w:val="24"/>
                <w:szCs w:val="24"/>
                <w:lang w:eastAsia="es-SV"/>
              </w:rPr>
              <w:t xml:space="preserve">, que beneficiarán a más de 1,376 consumidores. Entre estos, dos casos por reajuste tarifario en la facturación del servicio de agua </w:t>
            </w:r>
            <w:r w:rsidRPr="00795131">
              <w:rPr>
                <w:rFonts w:ascii="Verdana" w:eastAsia="Times New Roman" w:hAnsi="Verdana" w:cs="Times New Roman"/>
                <w:sz w:val="24"/>
                <w:szCs w:val="24"/>
                <w:lang w:eastAsia="es-SV"/>
              </w:rPr>
              <w:lastRenderedPageBreak/>
              <w:t xml:space="preserve">potable ordenado a Sociedad Cañas </w:t>
            </w:r>
            <w:proofErr w:type="spellStart"/>
            <w:r w:rsidRPr="00795131">
              <w:rPr>
                <w:rFonts w:ascii="Verdana" w:eastAsia="Times New Roman" w:hAnsi="Verdana" w:cs="Times New Roman"/>
                <w:sz w:val="24"/>
                <w:szCs w:val="24"/>
                <w:lang w:eastAsia="es-SV"/>
              </w:rPr>
              <w:t>Goens</w:t>
            </w:r>
            <w:proofErr w:type="spellEnd"/>
            <w:r w:rsidRPr="00795131">
              <w:rPr>
                <w:rFonts w:ascii="Verdana" w:eastAsia="Times New Roman" w:hAnsi="Verdana" w:cs="Times New Roman"/>
                <w:sz w:val="24"/>
                <w:szCs w:val="24"/>
                <w:lang w:eastAsia="es-SV"/>
              </w:rPr>
              <w:t xml:space="preserve"> Ingenieros S.A. de C.V. y Salazar Romero; </w:t>
            </w:r>
            <w:proofErr w:type="spellStart"/>
            <w:r w:rsidRPr="00795131">
              <w:rPr>
                <w:rFonts w:ascii="Verdana" w:eastAsia="Times New Roman" w:hAnsi="Verdana" w:cs="Times New Roman"/>
                <w:sz w:val="24"/>
                <w:szCs w:val="24"/>
                <w:lang w:eastAsia="es-SV"/>
              </w:rPr>
              <w:t>Sermerint</w:t>
            </w:r>
            <w:proofErr w:type="spellEnd"/>
            <w:r w:rsidRPr="00795131">
              <w:rPr>
                <w:rFonts w:ascii="Verdana" w:eastAsia="Times New Roman" w:hAnsi="Verdana" w:cs="Times New Roman"/>
                <w:sz w:val="24"/>
                <w:szCs w:val="24"/>
                <w:lang w:eastAsia="es-SV"/>
              </w:rPr>
              <w:t xml:space="preserve"> y </w:t>
            </w:r>
            <w:proofErr w:type="spellStart"/>
            <w:r w:rsidRPr="00795131">
              <w:rPr>
                <w:rFonts w:ascii="Verdana" w:eastAsia="Times New Roman" w:hAnsi="Verdana" w:cs="Times New Roman"/>
                <w:sz w:val="24"/>
                <w:szCs w:val="24"/>
                <w:lang w:eastAsia="es-SV"/>
              </w:rPr>
              <w:t>Vacation</w:t>
            </w:r>
            <w:proofErr w:type="spellEnd"/>
            <w:r w:rsidRPr="00795131">
              <w:rPr>
                <w:rFonts w:ascii="Verdana" w:eastAsia="Times New Roman" w:hAnsi="Verdana" w:cs="Times New Roman"/>
                <w:sz w:val="24"/>
                <w:szCs w:val="24"/>
                <w:lang w:eastAsia="es-SV"/>
              </w:rPr>
              <w:t xml:space="preserve"> Club of America (servicios turísticos); y, Banco </w:t>
            </w:r>
            <w:proofErr w:type="spellStart"/>
            <w:r w:rsidRPr="00795131">
              <w:rPr>
                <w:rFonts w:ascii="Verdana" w:eastAsia="Times New Roman" w:hAnsi="Verdana" w:cs="Times New Roman"/>
                <w:sz w:val="24"/>
                <w:szCs w:val="24"/>
                <w:lang w:eastAsia="es-SV"/>
              </w:rPr>
              <w:t>Izalqueño</w:t>
            </w:r>
            <w:proofErr w:type="spellEnd"/>
            <w:r w:rsidRPr="00795131">
              <w:rPr>
                <w:rFonts w:ascii="Verdana" w:eastAsia="Times New Roman" w:hAnsi="Verdana" w:cs="Times New Roman"/>
                <w:sz w:val="24"/>
                <w:szCs w:val="24"/>
                <w:lang w:eastAsia="es-SV"/>
              </w:rPr>
              <w:t xml:space="preserve"> de los Trabajadores, por cobros de intereses o comisiones indebidas. </w:t>
            </w:r>
          </w:p>
          <w:p w:rsidR="00795131" w:rsidRDefault="00795131" w:rsidP="00795131">
            <w:pPr>
              <w:spacing w:after="0" w:line="288" w:lineRule="auto"/>
              <w:jc w:val="center"/>
              <w:rPr>
                <w:rFonts w:ascii="Verdana" w:eastAsia="Times New Roman" w:hAnsi="Verdana" w:cs="Times New Roman"/>
                <w:b/>
                <w:bCs/>
                <w:sz w:val="24"/>
                <w:szCs w:val="24"/>
                <w:lang w:eastAsia="es-SV"/>
              </w:rPr>
            </w:pPr>
            <w:r w:rsidRPr="00795131">
              <w:rPr>
                <w:rFonts w:ascii="Verdana" w:eastAsia="Times New Roman" w:hAnsi="Verdana" w:cs="Times New Roman"/>
                <w:b/>
                <w:bCs/>
                <w:noProof/>
                <w:sz w:val="24"/>
                <w:szCs w:val="24"/>
                <w:lang w:eastAsia="es-SV"/>
              </w:rPr>
              <w:drawing>
                <wp:inline distT="0" distB="0" distL="0" distR="0">
                  <wp:extent cx="3457575" cy="2219325"/>
                  <wp:effectExtent l="0" t="0" r="9525" b="9525"/>
                  <wp:docPr id="13" name="Imagen 13" descr="fnoticia123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noticia12312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7575" cy="2219325"/>
                          </a:xfrm>
                          <a:prstGeom prst="rect">
                            <a:avLst/>
                          </a:prstGeom>
                          <a:noFill/>
                          <a:ln>
                            <a:noFill/>
                          </a:ln>
                        </pic:spPr>
                      </pic:pic>
                    </a:graphicData>
                  </a:graphic>
                </wp:inline>
              </w:drawing>
            </w: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sz w:val="24"/>
                <w:szCs w:val="24"/>
                <w:lang w:eastAsia="es-SV"/>
              </w:rPr>
            </w:pPr>
            <w:r w:rsidRPr="00795131">
              <w:rPr>
                <w:rFonts w:ascii="Verdana" w:eastAsia="Times New Roman" w:hAnsi="Verdana" w:cs="Times New Roman"/>
                <w:b/>
                <w:bCs/>
                <w:sz w:val="24"/>
                <w:szCs w:val="24"/>
                <w:lang w:eastAsia="es-SV"/>
              </w:rPr>
              <w:t>VIGILANCIA Y TRANSPARENCIA DE MERCADOS</w:t>
            </w:r>
            <w:r w:rsidRPr="00795131">
              <w:rPr>
                <w:rFonts w:ascii="Verdana" w:eastAsia="Times New Roman" w:hAnsi="Verdana" w:cs="Times New Roman"/>
                <w:sz w:val="24"/>
                <w:szCs w:val="24"/>
                <w:lang w:eastAsia="es-SV"/>
              </w:rPr>
              <w:t xml:space="preserve"> </w:t>
            </w:r>
          </w:p>
          <w:p w:rsidR="00795131" w:rsidRPr="00795131" w:rsidRDefault="00795131" w:rsidP="00795131">
            <w:pPr>
              <w:spacing w:after="0" w:line="288" w:lineRule="auto"/>
              <w:jc w:val="both"/>
              <w:rPr>
                <w:rFonts w:ascii="Verdana" w:eastAsia="Times New Roman" w:hAnsi="Verdana" w:cs="Times New Roman"/>
                <w:sz w:val="24"/>
                <w:szCs w:val="24"/>
                <w:lang w:eastAsia="es-SV"/>
              </w:rPr>
            </w:pPr>
          </w:p>
          <w:p w:rsidR="00795131" w:rsidRPr="00795131" w:rsidRDefault="00795131" w:rsidP="00795131">
            <w:pPr>
              <w:numPr>
                <w:ilvl w:val="0"/>
                <w:numId w:val="3"/>
              </w:numPr>
              <w:spacing w:after="75"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En el marco de la implementación del </w:t>
            </w:r>
            <w:r w:rsidRPr="00795131">
              <w:rPr>
                <w:rFonts w:ascii="Verdana" w:eastAsia="Times New Roman" w:hAnsi="Verdana" w:cs="Times New Roman"/>
                <w:b/>
                <w:bCs/>
                <w:sz w:val="24"/>
                <w:szCs w:val="24"/>
                <w:lang w:eastAsia="es-SV"/>
              </w:rPr>
              <w:t>Sistema de Gestión de Calidad</w:t>
            </w:r>
            <w:r w:rsidRPr="00795131">
              <w:rPr>
                <w:rFonts w:ascii="Verdana" w:eastAsia="Times New Roman" w:hAnsi="Verdana" w:cs="Times New Roman"/>
                <w:sz w:val="24"/>
                <w:szCs w:val="24"/>
                <w:lang w:eastAsia="es-SV"/>
              </w:rPr>
              <w:t xml:space="preserve">, la </w:t>
            </w:r>
            <w:r w:rsidRPr="00795131">
              <w:rPr>
                <w:rFonts w:ascii="Verdana" w:eastAsia="Times New Roman" w:hAnsi="Verdana" w:cs="Times New Roman"/>
                <w:b/>
                <w:bCs/>
                <w:sz w:val="24"/>
                <w:szCs w:val="24"/>
                <w:lang w:eastAsia="es-SV"/>
              </w:rPr>
              <w:t>Dirección de Vigilancia de Mercados</w:t>
            </w:r>
            <w:r w:rsidRPr="00795131">
              <w:rPr>
                <w:rFonts w:ascii="Verdana" w:eastAsia="Times New Roman" w:hAnsi="Verdana" w:cs="Times New Roman"/>
                <w:sz w:val="24"/>
                <w:szCs w:val="24"/>
                <w:lang w:eastAsia="es-SV"/>
              </w:rPr>
              <w:t xml:space="preserve"> de la </w:t>
            </w:r>
            <w:r w:rsidRPr="00795131">
              <w:rPr>
                <w:rFonts w:ascii="Impact" w:eastAsia="Times New Roman" w:hAnsi="Impact" w:cs="Times New Roman"/>
                <w:color w:val="333399"/>
                <w:sz w:val="20"/>
                <w:szCs w:val="20"/>
                <w:lang w:eastAsia="es-SV"/>
              </w:rPr>
              <w:t>Defensoría del Consumidor</w:t>
            </w:r>
            <w:r w:rsidRPr="00795131">
              <w:rPr>
                <w:rFonts w:ascii="Verdana" w:eastAsia="Times New Roman" w:hAnsi="Verdana" w:cs="Times New Roman"/>
                <w:sz w:val="24"/>
                <w:szCs w:val="24"/>
                <w:lang w:eastAsia="es-SV"/>
              </w:rPr>
              <w:t xml:space="preserve">, fue </w:t>
            </w:r>
            <w:r w:rsidRPr="00795131">
              <w:rPr>
                <w:rFonts w:ascii="Verdana" w:eastAsia="Times New Roman" w:hAnsi="Verdana" w:cs="Times New Roman"/>
                <w:b/>
                <w:bCs/>
                <w:sz w:val="24"/>
                <w:szCs w:val="24"/>
                <w:lang w:eastAsia="es-SV"/>
              </w:rPr>
              <w:t>acreditada</w:t>
            </w:r>
            <w:r w:rsidRPr="00795131">
              <w:rPr>
                <w:rFonts w:ascii="Verdana" w:eastAsia="Times New Roman" w:hAnsi="Verdana" w:cs="Times New Roman"/>
                <w:sz w:val="24"/>
                <w:szCs w:val="24"/>
                <w:lang w:eastAsia="es-SV"/>
              </w:rPr>
              <w:t xml:space="preserve"> como </w:t>
            </w:r>
            <w:r w:rsidRPr="00795131">
              <w:rPr>
                <w:rFonts w:ascii="Verdana" w:eastAsia="Times New Roman" w:hAnsi="Verdana" w:cs="Times New Roman"/>
                <w:b/>
                <w:bCs/>
                <w:i/>
                <w:iCs/>
                <w:sz w:val="24"/>
                <w:szCs w:val="24"/>
                <w:lang w:eastAsia="es-SV"/>
              </w:rPr>
              <w:t>Organismo de Inspección</w:t>
            </w:r>
            <w:r w:rsidRPr="00795131">
              <w:rPr>
                <w:rFonts w:ascii="Verdana" w:eastAsia="Times New Roman" w:hAnsi="Verdana" w:cs="Times New Roman"/>
                <w:sz w:val="24"/>
                <w:szCs w:val="24"/>
                <w:lang w:eastAsia="es-SV"/>
              </w:rPr>
              <w:t xml:space="preserve">, bajo la Norma Internacional ISO/IEC 17020:2012 por el Organismo Salvadoreño de Acreditación (OSA), lo cual proporciona garantía y certeza de los resultados del trabajo de inspección que esta Dirección realiza para proteger la salud y seguridad en el consumo; así como el bolsillo de las personas consumidoras. </w:t>
            </w:r>
          </w:p>
          <w:p w:rsidR="00795131" w:rsidRPr="00795131" w:rsidRDefault="00795131" w:rsidP="00795131">
            <w:pPr>
              <w:numPr>
                <w:ilvl w:val="0"/>
                <w:numId w:val="4"/>
              </w:numPr>
              <w:spacing w:after="75"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Realización de </w:t>
            </w:r>
            <w:r w:rsidRPr="00795131">
              <w:rPr>
                <w:rFonts w:ascii="Verdana" w:eastAsia="Times New Roman" w:hAnsi="Verdana" w:cs="Times New Roman"/>
                <w:b/>
                <w:bCs/>
                <w:sz w:val="24"/>
                <w:szCs w:val="24"/>
                <w:lang w:eastAsia="es-SV"/>
              </w:rPr>
              <w:t>4,104 inspecciones</w:t>
            </w:r>
            <w:r w:rsidRPr="00795131">
              <w:rPr>
                <w:rFonts w:ascii="Verdana" w:eastAsia="Times New Roman" w:hAnsi="Verdana" w:cs="Times New Roman"/>
                <w:sz w:val="24"/>
                <w:szCs w:val="24"/>
                <w:lang w:eastAsia="es-SV"/>
              </w:rPr>
              <w:t xml:space="preserve"> en supermercados, farmacias, restaurantes, hoteles y centros recreativos, sector financiero, tiendas mayoristas, comercializadores de granos básicos, tiendas de conveniencia y empresas </w:t>
            </w:r>
            <w:proofErr w:type="spellStart"/>
            <w:r w:rsidRPr="00795131">
              <w:rPr>
                <w:rFonts w:ascii="Verdana" w:eastAsia="Times New Roman" w:hAnsi="Verdana" w:cs="Times New Roman"/>
                <w:sz w:val="24"/>
                <w:szCs w:val="24"/>
                <w:lang w:eastAsia="es-SV"/>
              </w:rPr>
              <w:t>lotificadoras</w:t>
            </w:r>
            <w:proofErr w:type="spellEnd"/>
            <w:r w:rsidRPr="00795131">
              <w:rPr>
                <w:rFonts w:ascii="Verdana" w:eastAsia="Times New Roman" w:hAnsi="Verdana" w:cs="Times New Roman"/>
                <w:sz w:val="24"/>
                <w:szCs w:val="24"/>
                <w:lang w:eastAsia="es-SV"/>
              </w:rPr>
              <w:t xml:space="preserve">, almacenes de ropa, zapatos y accesorios, almacenes de muebles y electrodomésticos, librerías y cafeterías de centros educativos y universidades. </w:t>
            </w:r>
          </w:p>
          <w:p w:rsidR="00795131" w:rsidRPr="00795131" w:rsidRDefault="00795131" w:rsidP="00795131">
            <w:pPr>
              <w:spacing w:after="240" w:line="288" w:lineRule="auto"/>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El 64.84% (2,643) de las inspecciones reportaron cumplimiento de Ley de Protección al Consumidor, su Reglamento y las Normas Salvadoreñas Obligatorias y Reglamentos Técnicos Centroamericanos. Los hallazgos de potenciales infracciones fueron del 35.60% (1,461), ante los cuales se </w:t>
            </w:r>
            <w:r w:rsidRPr="00795131">
              <w:rPr>
                <w:rFonts w:ascii="Verdana" w:eastAsia="Times New Roman" w:hAnsi="Verdana" w:cs="Times New Roman"/>
                <w:sz w:val="24"/>
                <w:szCs w:val="24"/>
                <w:lang w:eastAsia="es-SV"/>
              </w:rPr>
              <w:lastRenderedPageBreak/>
              <w:t xml:space="preserve">activaron los procedimientos sancionatorios ante el Tribunal de </w:t>
            </w:r>
            <w:r w:rsidRPr="00795131">
              <w:rPr>
                <w:rFonts w:ascii="Impact" w:eastAsia="Times New Roman" w:hAnsi="Impact" w:cs="Times New Roman"/>
                <w:color w:val="333399"/>
                <w:sz w:val="20"/>
                <w:szCs w:val="20"/>
                <w:lang w:eastAsia="es-SV"/>
              </w:rPr>
              <w:t>La Defensoría</w:t>
            </w:r>
            <w:r w:rsidRPr="00795131">
              <w:rPr>
                <w:rFonts w:ascii="Verdana" w:eastAsia="Times New Roman" w:hAnsi="Verdana" w:cs="Times New Roman"/>
                <w:sz w:val="24"/>
                <w:szCs w:val="24"/>
                <w:lang w:eastAsia="es-SV"/>
              </w:rPr>
              <w:t>. En el período anterior fue del 35.16%.</w:t>
            </w:r>
          </w:p>
          <w:p w:rsidR="00795131" w:rsidRPr="00795131" w:rsidRDefault="00795131" w:rsidP="00795131">
            <w:pPr>
              <w:numPr>
                <w:ilvl w:val="0"/>
                <w:numId w:val="5"/>
              </w:numPr>
              <w:spacing w:after="75"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Hallazgo de </w:t>
            </w:r>
            <w:r w:rsidRPr="00795131">
              <w:rPr>
                <w:rFonts w:ascii="Verdana" w:eastAsia="Times New Roman" w:hAnsi="Verdana" w:cs="Times New Roman"/>
                <w:b/>
                <w:bCs/>
                <w:sz w:val="24"/>
                <w:szCs w:val="24"/>
                <w:lang w:eastAsia="es-SV"/>
              </w:rPr>
              <w:t>21,284 productos vencidos</w:t>
            </w:r>
            <w:r w:rsidRPr="00795131">
              <w:rPr>
                <w:rFonts w:ascii="Verdana" w:eastAsia="Times New Roman" w:hAnsi="Verdana" w:cs="Times New Roman"/>
                <w:sz w:val="24"/>
                <w:szCs w:val="24"/>
                <w:lang w:eastAsia="es-SV"/>
              </w:rPr>
              <w:t xml:space="preserve"> (en el año 2013 fueron 14,141) principalmente, productos alimenticios en 747 establecimientos. </w:t>
            </w:r>
          </w:p>
          <w:p w:rsidR="00795131" w:rsidRPr="00795131" w:rsidRDefault="00795131" w:rsidP="00795131">
            <w:pPr>
              <w:numPr>
                <w:ilvl w:val="0"/>
                <w:numId w:val="6"/>
              </w:numPr>
              <w:spacing w:after="75"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Realización de </w:t>
            </w:r>
            <w:r w:rsidRPr="00795131">
              <w:rPr>
                <w:rFonts w:ascii="Verdana" w:eastAsia="Times New Roman" w:hAnsi="Verdana" w:cs="Times New Roman"/>
                <w:b/>
                <w:bCs/>
                <w:sz w:val="24"/>
                <w:szCs w:val="24"/>
                <w:lang w:eastAsia="es-SV"/>
              </w:rPr>
              <w:t>109 estudios de inocuidad, calidad, contenido neto y etiquetado</w:t>
            </w:r>
            <w:r w:rsidRPr="00795131">
              <w:rPr>
                <w:rFonts w:ascii="Verdana" w:eastAsia="Times New Roman" w:hAnsi="Verdana" w:cs="Times New Roman"/>
                <w:sz w:val="24"/>
                <w:szCs w:val="24"/>
                <w:lang w:eastAsia="es-SV"/>
              </w:rPr>
              <w:t xml:space="preserve"> de 1,305 productos alimenticios, de acuerdo al siguiente detalle: </w:t>
            </w:r>
          </w:p>
          <w:p w:rsidR="00795131" w:rsidRPr="00795131" w:rsidRDefault="00795131" w:rsidP="00795131">
            <w:pPr>
              <w:numPr>
                <w:ilvl w:val="0"/>
                <w:numId w:val="7"/>
              </w:numPr>
              <w:spacing w:after="0" w:line="288" w:lineRule="auto"/>
              <w:ind w:left="0"/>
              <w:jc w:val="both"/>
              <w:rPr>
                <w:rFonts w:ascii="Verdana" w:eastAsia="Times New Roman" w:hAnsi="Verdana" w:cs="Times New Roman"/>
                <w:sz w:val="24"/>
                <w:szCs w:val="24"/>
                <w:lang w:eastAsia="es-SV"/>
              </w:rPr>
            </w:pPr>
          </w:p>
          <w:p w:rsidR="00795131" w:rsidRPr="00795131" w:rsidRDefault="00795131" w:rsidP="00795131">
            <w:pPr>
              <w:numPr>
                <w:ilvl w:val="1"/>
                <w:numId w:val="8"/>
              </w:numPr>
              <w:spacing w:after="240"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Se realizaron </w:t>
            </w:r>
            <w:r w:rsidRPr="00795131">
              <w:rPr>
                <w:rFonts w:ascii="Verdana" w:eastAsia="Times New Roman" w:hAnsi="Verdana" w:cs="Times New Roman"/>
                <w:b/>
                <w:bCs/>
                <w:sz w:val="24"/>
                <w:szCs w:val="24"/>
                <w:lang w:eastAsia="es-SV"/>
              </w:rPr>
              <w:t>27</w:t>
            </w:r>
            <w:r w:rsidRPr="00795131">
              <w:rPr>
                <w:rFonts w:ascii="Verdana" w:eastAsia="Times New Roman" w:hAnsi="Verdana" w:cs="Times New Roman"/>
                <w:sz w:val="24"/>
                <w:szCs w:val="24"/>
                <w:lang w:eastAsia="es-SV"/>
              </w:rPr>
              <w:t xml:space="preserve"> análisis de inocuidad y calidad en </w:t>
            </w:r>
            <w:r w:rsidRPr="00795131">
              <w:rPr>
                <w:rFonts w:ascii="Verdana" w:eastAsia="Times New Roman" w:hAnsi="Verdana" w:cs="Times New Roman"/>
                <w:b/>
                <w:bCs/>
                <w:sz w:val="24"/>
                <w:szCs w:val="24"/>
                <w:lang w:eastAsia="es-SV"/>
              </w:rPr>
              <w:t>247 productos alimenticios</w:t>
            </w:r>
            <w:r w:rsidRPr="00795131">
              <w:rPr>
                <w:rFonts w:ascii="Verdana" w:eastAsia="Times New Roman" w:hAnsi="Verdana" w:cs="Times New Roman"/>
                <w:sz w:val="24"/>
                <w:szCs w:val="24"/>
                <w:lang w:eastAsia="es-SV"/>
              </w:rPr>
              <w:t xml:space="preserve">, a fin de verificar el cumplimiento de normas y reglamentos técnicos para garantizar la salud y seguridad de las personas consumidoras, teniendo como resultado la verificación, constatando que el </w:t>
            </w:r>
            <w:r w:rsidRPr="00795131">
              <w:rPr>
                <w:rFonts w:ascii="Verdana" w:eastAsia="Times New Roman" w:hAnsi="Verdana" w:cs="Times New Roman"/>
                <w:b/>
                <w:bCs/>
                <w:sz w:val="24"/>
                <w:szCs w:val="24"/>
                <w:lang w:eastAsia="es-SV"/>
              </w:rPr>
              <w:t>82.59% cumple</w:t>
            </w:r>
            <w:r w:rsidRPr="00795131">
              <w:rPr>
                <w:rFonts w:ascii="Verdana" w:eastAsia="Times New Roman" w:hAnsi="Verdana" w:cs="Times New Roman"/>
                <w:sz w:val="24"/>
                <w:szCs w:val="24"/>
                <w:lang w:eastAsia="es-SV"/>
              </w:rPr>
              <w:t xml:space="preserve"> con las disposiciones legales aplicables; el hallazgo de incumplimiento fue del 17.41% de las normativa verificadas.</w:t>
            </w:r>
          </w:p>
          <w:p w:rsidR="00795131" w:rsidRPr="00795131" w:rsidRDefault="00795131" w:rsidP="00795131">
            <w:pPr>
              <w:numPr>
                <w:ilvl w:val="1"/>
                <w:numId w:val="8"/>
              </w:numPr>
              <w:spacing w:after="240"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Con el propósito de verificar si el contenido neto declarado en las etiquetas efectivamente concuerda con lo entregado a los consumidores, </w:t>
            </w:r>
            <w:r w:rsidRPr="00795131">
              <w:rPr>
                <w:rFonts w:ascii="Impact" w:eastAsia="Times New Roman" w:hAnsi="Impact" w:cs="Times New Roman"/>
                <w:color w:val="333399"/>
                <w:sz w:val="20"/>
                <w:szCs w:val="20"/>
                <w:lang w:eastAsia="es-SV"/>
              </w:rPr>
              <w:t xml:space="preserve">La Defensoría </w:t>
            </w:r>
            <w:r w:rsidRPr="00795131">
              <w:rPr>
                <w:rFonts w:ascii="Verdana" w:eastAsia="Times New Roman" w:hAnsi="Verdana" w:cs="Times New Roman"/>
                <w:sz w:val="24"/>
                <w:szCs w:val="24"/>
                <w:lang w:eastAsia="es-SV"/>
              </w:rPr>
              <w:t xml:space="preserve">realizó </w:t>
            </w:r>
            <w:r w:rsidRPr="00795131">
              <w:rPr>
                <w:rFonts w:ascii="Verdana" w:eastAsia="Times New Roman" w:hAnsi="Verdana" w:cs="Times New Roman"/>
                <w:b/>
                <w:bCs/>
                <w:sz w:val="24"/>
                <w:szCs w:val="24"/>
                <w:lang w:eastAsia="es-SV"/>
              </w:rPr>
              <w:t>49</w:t>
            </w:r>
            <w:r w:rsidRPr="00795131">
              <w:rPr>
                <w:rFonts w:ascii="Verdana" w:eastAsia="Times New Roman" w:hAnsi="Verdana" w:cs="Times New Roman"/>
                <w:sz w:val="24"/>
                <w:szCs w:val="24"/>
                <w:lang w:eastAsia="es-SV"/>
              </w:rPr>
              <w:t xml:space="preserve"> estudios de contenido neto de alimentos, teniendo como base legal Reglamento Técnico Centroamericano Cantidad de Producto en </w:t>
            </w:r>
            <w:proofErr w:type="spellStart"/>
            <w:r w:rsidRPr="00795131">
              <w:rPr>
                <w:rFonts w:ascii="Verdana" w:eastAsia="Times New Roman" w:hAnsi="Verdana" w:cs="Times New Roman"/>
                <w:sz w:val="24"/>
                <w:szCs w:val="24"/>
                <w:lang w:eastAsia="es-SV"/>
              </w:rPr>
              <w:t>Preempacados</w:t>
            </w:r>
            <w:proofErr w:type="spellEnd"/>
            <w:r w:rsidRPr="00795131">
              <w:rPr>
                <w:rFonts w:ascii="Verdana" w:eastAsia="Times New Roman" w:hAnsi="Verdana" w:cs="Times New Roman"/>
                <w:sz w:val="24"/>
                <w:szCs w:val="24"/>
                <w:lang w:eastAsia="es-SV"/>
              </w:rPr>
              <w:t xml:space="preserve"> (RTCA 01.01.11:06) y la Ley de Protección al Consumidor. Los resultados del estudio indican que de los 830 productos, </w:t>
            </w:r>
            <w:r w:rsidRPr="00795131">
              <w:rPr>
                <w:rFonts w:ascii="Verdana" w:eastAsia="Times New Roman" w:hAnsi="Verdana" w:cs="Times New Roman"/>
                <w:b/>
                <w:bCs/>
                <w:sz w:val="24"/>
                <w:szCs w:val="24"/>
                <w:lang w:eastAsia="es-SV"/>
              </w:rPr>
              <w:t>746 (89.88%)</w:t>
            </w:r>
            <w:r w:rsidRPr="00795131">
              <w:rPr>
                <w:rFonts w:ascii="Verdana" w:eastAsia="Times New Roman" w:hAnsi="Verdana" w:cs="Times New Roman"/>
                <w:sz w:val="24"/>
                <w:szCs w:val="24"/>
                <w:lang w:eastAsia="es-SV"/>
              </w:rPr>
              <w:t xml:space="preserve"> aprobaron los análisis realizados y 84 (10.12%) reportó hallazgos de incumplimiento.</w:t>
            </w:r>
          </w:p>
          <w:p w:rsidR="00795131" w:rsidRPr="00795131" w:rsidRDefault="00795131" w:rsidP="00795131">
            <w:pPr>
              <w:numPr>
                <w:ilvl w:val="1"/>
                <w:numId w:val="8"/>
              </w:numPr>
              <w:spacing w:after="240"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Se realizaron </w:t>
            </w:r>
            <w:r w:rsidRPr="00795131">
              <w:rPr>
                <w:rFonts w:ascii="Verdana" w:eastAsia="Times New Roman" w:hAnsi="Verdana" w:cs="Times New Roman"/>
                <w:b/>
                <w:bCs/>
                <w:sz w:val="24"/>
                <w:szCs w:val="24"/>
                <w:lang w:eastAsia="es-SV"/>
              </w:rPr>
              <w:t>17 estudios de etiquetado general de alimentos</w:t>
            </w:r>
            <w:r w:rsidRPr="00795131">
              <w:rPr>
                <w:rFonts w:ascii="Verdana" w:eastAsia="Times New Roman" w:hAnsi="Verdana" w:cs="Times New Roman"/>
                <w:sz w:val="24"/>
                <w:szCs w:val="24"/>
                <w:lang w:eastAsia="es-SV"/>
              </w:rPr>
              <w:t xml:space="preserve"> tomando como base el Reglamento Técnico Centroamericano Etiquetado General de los Alimentos Previamente Envasados (</w:t>
            </w:r>
            <w:proofErr w:type="spellStart"/>
            <w:r w:rsidRPr="00795131">
              <w:rPr>
                <w:rFonts w:ascii="Verdana" w:eastAsia="Times New Roman" w:hAnsi="Verdana" w:cs="Times New Roman"/>
                <w:sz w:val="24"/>
                <w:szCs w:val="24"/>
                <w:lang w:eastAsia="es-SV"/>
              </w:rPr>
              <w:t>Preenvasados</w:t>
            </w:r>
            <w:proofErr w:type="spellEnd"/>
            <w:r w:rsidRPr="00795131">
              <w:rPr>
                <w:rFonts w:ascii="Verdana" w:eastAsia="Times New Roman" w:hAnsi="Verdana" w:cs="Times New Roman"/>
                <w:sz w:val="24"/>
                <w:szCs w:val="24"/>
                <w:lang w:eastAsia="es-SV"/>
              </w:rPr>
              <w:t>) RTCA 67.01.07:10; las Normas Salvadoreñas Obligatorios y Reglamentos específicos de productos y la Ley de Protección al Consumidor. 124 productos; de los cuales el 60.48% cumplió el reglamento aplicable y el 39.52% reprobó la verificación.</w:t>
            </w:r>
          </w:p>
          <w:p w:rsidR="00795131" w:rsidRPr="00795131" w:rsidRDefault="00795131" w:rsidP="00795131">
            <w:pPr>
              <w:numPr>
                <w:ilvl w:val="1"/>
                <w:numId w:val="8"/>
              </w:numPr>
              <w:spacing w:after="75"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También, se efectuaron </w:t>
            </w:r>
            <w:r w:rsidRPr="00795131">
              <w:rPr>
                <w:rFonts w:ascii="Verdana" w:eastAsia="Times New Roman" w:hAnsi="Verdana" w:cs="Times New Roman"/>
                <w:b/>
                <w:bCs/>
                <w:sz w:val="24"/>
                <w:szCs w:val="24"/>
                <w:lang w:eastAsia="es-SV"/>
              </w:rPr>
              <w:t>16 estudios de etiquetado nutricional de alimentos</w:t>
            </w:r>
            <w:r w:rsidRPr="00795131">
              <w:rPr>
                <w:rFonts w:ascii="Verdana" w:eastAsia="Times New Roman" w:hAnsi="Verdana" w:cs="Times New Roman"/>
                <w:sz w:val="24"/>
                <w:szCs w:val="24"/>
                <w:lang w:eastAsia="es-SV"/>
              </w:rPr>
              <w:t xml:space="preserve"> en base el Reglamento Técnico Centroamericano de Etiquetado Nutricional de Productos Alimenticios </w:t>
            </w:r>
            <w:proofErr w:type="spellStart"/>
            <w:r w:rsidRPr="00795131">
              <w:rPr>
                <w:rFonts w:ascii="Verdana" w:eastAsia="Times New Roman" w:hAnsi="Verdana" w:cs="Times New Roman"/>
                <w:sz w:val="24"/>
                <w:szCs w:val="24"/>
                <w:lang w:eastAsia="es-SV"/>
              </w:rPr>
              <w:t>Preenvasados</w:t>
            </w:r>
            <w:proofErr w:type="spellEnd"/>
            <w:r w:rsidRPr="00795131">
              <w:rPr>
                <w:rFonts w:ascii="Verdana" w:eastAsia="Times New Roman" w:hAnsi="Verdana" w:cs="Times New Roman"/>
                <w:sz w:val="24"/>
                <w:szCs w:val="24"/>
                <w:lang w:eastAsia="es-SV"/>
              </w:rPr>
              <w:t xml:space="preserve"> para Consumo Humano para la Población a partir de 3 años de edad (RTCA 67.01.60:10). Los informes de resultados se encuentran en proceso de elaboración. </w:t>
            </w:r>
          </w:p>
          <w:p w:rsidR="00795131" w:rsidRPr="00795131" w:rsidRDefault="00795131" w:rsidP="00795131">
            <w:pPr>
              <w:spacing w:after="0" w:line="288" w:lineRule="auto"/>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lastRenderedPageBreak/>
              <w:t> </w:t>
            </w:r>
          </w:p>
          <w:p w:rsidR="00795131" w:rsidRPr="00795131" w:rsidRDefault="00795131" w:rsidP="00795131">
            <w:pPr>
              <w:numPr>
                <w:ilvl w:val="0"/>
                <w:numId w:val="9"/>
              </w:numPr>
              <w:spacing w:after="75"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Con el fin de contribuir a proteger el bolsillo de la familia salvadoreña y contribuir a que la ciudadanía compare, cotice y tome decisiones de consumo informadas, </w:t>
            </w:r>
            <w:r w:rsidRPr="00795131">
              <w:rPr>
                <w:rFonts w:ascii="Impact" w:eastAsia="Times New Roman" w:hAnsi="Impact" w:cs="Times New Roman"/>
                <w:color w:val="333399"/>
                <w:sz w:val="20"/>
                <w:szCs w:val="20"/>
                <w:lang w:eastAsia="es-SV"/>
              </w:rPr>
              <w:t xml:space="preserve">La Defensoría </w:t>
            </w:r>
            <w:r w:rsidRPr="00795131">
              <w:rPr>
                <w:rFonts w:ascii="Verdana" w:eastAsia="Times New Roman" w:hAnsi="Verdana" w:cs="Times New Roman"/>
                <w:sz w:val="24"/>
                <w:szCs w:val="24"/>
                <w:lang w:eastAsia="es-SV"/>
              </w:rPr>
              <w:t xml:space="preserve">realizó 285 sondeos de precios (en 2013 fueron 171 sondeos) de granos básicos, incluyendo los sondeos que se realizaron durante la emergencia del frijol, frutas, verduras, medicamentos, harinas de trigo y maíz, útiles escolares, productos básicos en supermercados, costos de envío de remesas y fertilizantes en 25,512 establecimientos comerciales visitados. </w:t>
            </w:r>
          </w:p>
          <w:p w:rsidR="00795131" w:rsidRPr="00795131" w:rsidRDefault="00795131" w:rsidP="00795131">
            <w:pPr>
              <w:spacing w:after="75" w:line="288" w:lineRule="auto"/>
              <w:jc w:val="both"/>
              <w:rPr>
                <w:rFonts w:ascii="Verdana" w:eastAsia="Times New Roman" w:hAnsi="Verdana" w:cs="Times New Roman"/>
                <w:sz w:val="24"/>
                <w:szCs w:val="24"/>
                <w:lang w:eastAsia="es-SV"/>
              </w:rPr>
            </w:pPr>
            <w:r w:rsidRPr="00795131">
              <w:rPr>
                <w:rFonts w:ascii="Verdana" w:eastAsia="Times New Roman" w:hAnsi="Verdana" w:cs="Times New Roman"/>
                <w:b/>
                <w:bCs/>
                <w:noProof/>
                <w:sz w:val="24"/>
                <w:szCs w:val="24"/>
                <w:lang w:eastAsia="es-SV"/>
              </w:rPr>
              <w:drawing>
                <wp:inline distT="0" distB="0" distL="0" distR="0">
                  <wp:extent cx="3905250" cy="2524125"/>
                  <wp:effectExtent l="0" t="0" r="0" b="9525"/>
                  <wp:docPr id="12" name="Imagen 12" descr="fnoticia2123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noticia212312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2524125"/>
                          </a:xfrm>
                          <a:prstGeom prst="rect">
                            <a:avLst/>
                          </a:prstGeom>
                          <a:noFill/>
                          <a:ln>
                            <a:noFill/>
                          </a:ln>
                        </pic:spPr>
                      </pic:pic>
                    </a:graphicData>
                  </a:graphic>
                </wp:inline>
              </w:drawing>
            </w:r>
          </w:p>
          <w:p w:rsidR="00795131" w:rsidRPr="00795131" w:rsidRDefault="00795131" w:rsidP="00795131">
            <w:pPr>
              <w:spacing w:after="75" w:line="288" w:lineRule="auto"/>
              <w:jc w:val="both"/>
              <w:rPr>
                <w:rFonts w:ascii="Verdana" w:eastAsia="Times New Roman" w:hAnsi="Verdana" w:cs="Times New Roman"/>
                <w:sz w:val="24"/>
                <w:szCs w:val="24"/>
                <w:lang w:eastAsia="es-SV"/>
              </w:rPr>
            </w:pPr>
            <w:r w:rsidRPr="00795131">
              <w:rPr>
                <w:rFonts w:ascii="Verdana" w:eastAsia="Times New Roman" w:hAnsi="Verdana" w:cs="Times New Roman"/>
                <w:b/>
                <w:bCs/>
                <w:sz w:val="24"/>
                <w:szCs w:val="24"/>
                <w:lang w:eastAsia="es-SV"/>
              </w:rPr>
              <w:t>Vigilancia durante la emergencia de precios de frijol 2014</w:t>
            </w:r>
          </w:p>
          <w:p w:rsidR="00795131" w:rsidRPr="00795131" w:rsidRDefault="00795131" w:rsidP="00795131">
            <w:pPr>
              <w:spacing w:after="240" w:line="288" w:lineRule="auto"/>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Se realizaron 154 inspecciones y 37 auditorías a proveedores comercializadores y transportistas de frijol rojo de seda y frijol rojo tinto, con el objetivo de identificar posibles prácticas abusivas como el alza injustificada de precios. El periodo de la auditoría comprendió del 1 de noviembre de 2013 y julio de 2014, tiempo durante el cual se auditaron los inventarios, las compras y ventas; así como los registros y documentación contable.</w:t>
            </w:r>
          </w:p>
          <w:p w:rsidR="00795131" w:rsidRPr="00795131" w:rsidRDefault="00795131" w:rsidP="00795131">
            <w:pPr>
              <w:spacing w:after="240" w:line="288" w:lineRule="auto"/>
              <w:jc w:val="both"/>
              <w:rPr>
                <w:rFonts w:ascii="Verdana" w:eastAsia="Times New Roman" w:hAnsi="Verdana" w:cs="Times New Roman"/>
                <w:sz w:val="24"/>
                <w:szCs w:val="24"/>
                <w:lang w:eastAsia="es-SV"/>
              </w:rPr>
            </w:pPr>
            <w:r w:rsidRPr="00795131">
              <w:rPr>
                <w:rFonts w:ascii="Verdana" w:eastAsia="Times New Roman" w:hAnsi="Verdana" w:cs="Times New Roman"/>
                <w:b/>
                <w:bCs/>
                <w:sz w:val="24"/>
                <w:szCs w:val="24"/>
                <w:lang w:eastAsia="es-SV"/>
              </w:rPr>
              <w:t>Denuncia ante la Fiscalía General de la República</w:t>
            </w:r>
          </w:p>
          <w:p w:rsidR="00795131" w:rsidRPr="00795131" w:rsidRDefault="00795131" w:rsidP="00795131">
            <w:pPr>
              <w:spacing w:after="240" w:line="288" w:lineRule="auto"/>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Como resultado de las 37 auditorías, la </w:t>
            </w:r>
            <w:r w:rsidRPr="00795131">
              <w:rPr>
                <w:rFonts w:ascii="Impact" w:eastAsia="Times New Roman" w:hAnsi="Impact" w:cs="Times New Roman"/>
                <w:color w:val="333399"/>
                <w:sz w:val="20"/>
                <w:szCs w:val="20"/>
                <w:lang w:eastAsia="es-SV"/>
              </w:rPr>
              <w:t>Defensoría del Consumidor</w:t>
            </w:r>
            <w:r w:rsidRPr="00795131">
              <w:rPr>
                <w:rFonts w:ascii="Verdana" w:eastAsia="Times New Roman" w:hAnsi="Verdana" w:cs="Times New Roman"/>
                <w:sz w:val="24"/>
                <w:szCs w:val="24"/>
                <w:lang w:eastAsia="es-SV"/>
              </w:rPr>
              <w:t xml:space="preserve"> notificó el 14 de agosto ante la Fiscalía General de la República, conductas y prácticas que a juicio de la autoridad administrativa fueron constitutivas de delitos relativos "al mercado, la libre competencia y la protección del consumidor"; tales como el acaparamiento según Art. 233, agiotaje Art. 236 o propalación falsa Art. 237 del Código Penal; así como de delitos relativos a la Hacienda Pública </w:t>
            </w:r>
            <w:r w:rsidRPr="00795131">
              <w:rPr>
                <w:rFonts w:ascii="Verdana" w:eastAsia="Times New Roman" w:hAnsi="Verdana" w:cs="Times New Roman"/>
                <w:sz w:val="24"/>
                <w:szCs w:val="24"/>
                <w:lang w:eastAsia="es-SV"/>
              </w:rPr>
              <w:lastRenderedPageBreak/>
              <w:t xml:space="preserve">(defraudación al fisco Art. 249 o evasión de impuestos Art. 249-A </w:t>
            </w:r>
            <w:proofErr w:type="spellStart"/>
            <w:r w:rsidRPr="00795131">
              <w:rPr>
                <w:rFonts w:ascii="Verdana" w:eastAsia="Times New Roman" w:hAnsi="Verdana" w:cs="Times New Roman"/>
                <w:sz w:val="24"/>
                <w:szCs w:val="24"/>
                <w:lang w:eastAsia="es-SV"/>
              </w:rPr>
              <w:t>CPn</w:t>
            </w:r>
            <w:proofErr w:type="spellEnd"/>
            <w:r w:rsidRPr="00795131">
              <w:rPr>
                <w:rFonts w:ascii="Verdana" w:eastAsia="Times New Roman" w:hAnsi="Verdana" w:cs="Times New Roman"/>
                <w:sz w:val="24"/>
                <w:szCs w:val="24"/>
                <w:lang w:eastAsia="es-SV"/>
              </w:rPr>
              <w:t>), por parte de seis comerciantes mayoristas de frijol en grano.</w:t>
            </w:r>
          </w:p>
          <w:p w:rsidR="00795131" w:rsidRPr="00795131" w:rsidRDefault="00795131" w:rsidP="00795131">
            <w:pPr>
              <w:spacing w:after="0" w:line="288" w:lineRule="auto"/>
              <w:jc w:val="both"/>
              <w:rPr>
                <w:rFonts w:ascii="Verdana" w:eastAsia="Times New Roman" w:hAnsi="Verdana" w:cs="Times New Roman"/>
                <w:sz w:val="24"/>
                <w:szCs w:val="24"/>
                <w:lang w:eastAsia="es-SV"/>
              </w:rPr>
            </w:pPr>
            <w:r w:rsidRPr="00795131">
              <w:rPr>
                <w:rFonts w:ascii="Verdana" w:eastAsia="Times New Roman" w:hAnsi="Verdana" w:cs="Times New Roman"/>
                <w:b/>
                <w:bCs/>
                <w:sz w:val="24"/>
                <w:szCs w:val="24"/>
                <w:u w:val="single"/>
                <w:lang w:eastAsia="es-SV"/>
              </w:rPr>
              <w:t>ACERCAMIENTO Y DESCENTRALIZACIÓN DE SERVICIOS</w:t>
            </w:r>
            <w:r w:rsidRPr="00795131">
              <w:rPr>
                <w:rFonts w:ascii="Verdana" w:eastAsia="Times New Roman" w:hAnsi="Verdana" w:cs="Times New Roman"/>
                <w:sz w:val="24"/>
                <w:szCs w:val="24"/>
                <w:lang w:eastAsia="es-SV"/>
              </w:rPr>
              <w:t xml:space="preserve"> </w:t>
            </w:r>
          </w:p>
          <w:p w:rsidR="00795131" w:rsidRDefault="00795131" w:rsidP="00795131">
            <w:pPr>
              <w:numPr>
                <w:ilvl w:val="0"/>
                <w:numId w:val="11"/>
              </w:numPr>
              <w:spacing w:after="75"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Apertura de la Ventanilla de Atención a Consumidora, en las seis sedes de </w:t>
            </w:r>
            <w:r w:rsidRPr="00795131">
              <w:rPr>
                <w:rFonts w:ascii="Verdana" w:eastAsia="Times New Roman" w:hAnsi="Verdana" w:cs="Times New Roman"/>
                <w:b/>
                <w:bCs/>
                <w:sz w:val="24"/>
                <w:szCs w:val="24"/>
                <w:lang w:eastAsia="es-SV"/>
              </w:rPr>
              <w:t>Ciudad Mujer. </w:t>
            </w:r>
            <w:r w:rsidRPr="00795131">
              <w:rPr>
                <w:rFonts w:ascii="Verdana" w:eastAsia="Times New Roman" w:hAnsi="Verdana" w:cs="Times New Roman"/>
                <w:sz w:val="24"/>
                <w:szCs w:val="24"/>
                <w:lang w:eastAsia="es-SV"/>
              </w:rPr>
              <w:t xml:space="preserve">En total, ahora la ciudadanía consumidora cuenta con </w:t>
            </w:r>
            <w:r w:rsidRPr="00795131">
              <w:rPr>
                <w:rFonts w:ascii="Verdana" w:eastAsia="Times New Roman" w:hAnsi="Verdana" w:cs="Times New Roman"/>
                <w:b/>
                <w:bCs/>
                <w:sz w:val="24"/>
                <w:szCs w:val="24"/>
                <w:lang w:eastAsia="es-SV"/>
              </w:rPr>
              <w:t>20 sedes departamentales adonde acudir para hacer valer sus derechos, incluidos, los 4 Centros de Solución de Controversias de San Miguel, Santa Ana, San Salvador y Antiguo Cuscatlán</w:t>
            </w:r>
            <w:r w:rsidRPr="00795131">
              <w:rPr>
                <w:rFonts w:ascii="Verdana" w:eastAsia="Times New Roman" w:hAnsi="Verdana" w:cs="Times New Roman"/>
                <w:sz w:val="24"/>
                <w:szCs w:val="24"/>
                <w:lang w:eastAsia="es-SV"/>
              </w:rPr>
              <w:t xml:space="preserve"> (Plan de La Laguna) y las 10 Ventanillas Departamentales de Atención al Consumidor, en las Gobernaciones Departamentales de Ahuachapán, Sonsonate, San Vicente, Chalatenango, Cuscatlán, Cabañas, Morazán, La Paz, La Unión y Usulután. </w:t>
            </w:r>
          </w:p>
          <w:p w:rsidR="00795131" w:rsidRPr="00795131" w:rsidRDefault="00795131" w:rsidP="00795131">
            <w:pPr>
              <w:numPr>
                <w:ilvl w:val="0"/>
                <w:numId w:val="11"/>
              </w:numPr>
              <w:spacing w:after="75" w:line="288" w:lineRule="auto"/>
              <w:ind w:left="0"/>
              <w:jc w:val="both"/>
              <w:rPr>
                <w:rFonts w:ascii="Verdana" w:eastAsia="Times New Roman" w:hAnsi="Verdana" w:cs="Times New Roman"/>
                <w:sz w:val="24"/>
                <w:szCs w:val="24"/>
                <w:lang w:eastAsia="es-SV"/>
              </w:rPr>
            </w:pPr>
          </w:p>
          <w:p w:rsidR="00795131" w:rsidRDefault="00795131" w:rsidP="00795131">
            <w:pPr>
              <w:numPr>
                <w:ilvl w:val="0"/>
                <w:numId w:val="12"/>
              </w:numPr>
              <w:spacing w:after="75"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El servicio de </w:t>
            </w:r>
            <w:r w:rsidRPr="00795131">
              <w:rPr>
                <w:rFonts w:ascii="Impact" w:eastAsia="Times New Roman" w:hAnsi="Impact" w:cs="Times New Roman"/>
                <w:color w:val="333399"/>
                <w:sz w:val="20"/>
                <w:szCs w:val="20"/>
                <w:lang w:eastAsia="es-SV"/>
              </w:rPr>
              <w:t>Defensoría en Línea</w:t>
            </w:r>
            <w:r>
              <w:rPr>
                <w:rFonts w:ascii="Impact" w:eastAsia="Times New Roman" w:hAnsi="Impact" w:cs="Times New Roman"/>
                <w:color w:val="333399"/>
                <w:sz w:val="20"/>
                <w:szCs w:val="20"/>
                <w:lang w:eastAsia="es-SV"/>
              </w:rPr>
              <w:t xml:space="preserve"> </w:t>
            </w:r>
            <w:r w:rsidRPr="00795131">
              <w:rPr>
                <w:rFonts w:ascii="Verdana" w:eastAsia="Times New Roman" w:hAnsi="Verdana" w:cs="Times New Roman"/>
                <w:b/>
                <w:bCs/>
                <w:sz w:val="24"/>
                <w:szCs w:val="24"/>
                <w:lang w:eastAsia="es-SV"/>
              </w:rPr>
              <w:t>registró 1,042 nuevos usuarios</w:t>
            </w:r>
            <w:r w:rsidRPr="00795131">
              <w:rPr>
                <w:rFonts w:ascii="Verdana" w:eastAsia="Times New Roman" w:hAnsi="Verdana" w:cs="Times New Roman"/>
                <w:sz w:val="24"/>
                <w:szCs w:val="24"/>
                <w:lang w:eastAsia="es-SV"/>
              </w:rPr>
              <w:t xml:space="preserve">. De enero a diciembre, se han brindado 3,765 atenciones según detalle siguiente: reclamos 801, asesorías 2,719 y 150 avisos de infracción; gestiones 39 y derivaciones 56. Desde su activación en febrero de 2010, a la fecha, el registro de usuarios es de </w:t>
            </w:r>
            <w:r w:rsidRPr="00795131">
              <w:rPr>
                <w:rFonts w:ascii="Verdana" w:eastAsia="Times New Roman" w:hAnsi="Verdana" w:cs="Times New Roman"/>
                <w:b/>
                <w:bCs/>
                <w:sz w:val="24"/>
                <w:szCs w:val="24"/>
                <w:lang w:eastAsia="es-SV"/>
              </w:rPr>
              <w:t>11,167 usuarios</w:t>
            </w:r>
            <w:r w:rsidRPr="00795131">
              <w:rPr>
                <w:rFonts w:ascii="Verdana" w:eastAsia="Times New Roman" w:hAnsi="Verdana" w:cs="Times New Roman"/>
                <w:sz w:val="24"/>
                <w:szCs w:val="24"/>
                <w:lang w:eastAsia="es-SV"/>
              </w:rPr>
              <w:t xml:space="preserve"> habilitados para hacer uso de la </w:t>
            </w:r>
            <w:r w:rsidRPr="00795131">
              <w:rPr>
                <w:rFonts w:ascii="Impact" w:eastAsia="Times New Roman" w:hAnsi="Impact" w:cs="Times New Roman"/>
                <w:color w:val="333399"/>
                <w:sz w:val="20"/>
                <w:szCs w:val="20"/>
                <w:lang w:eastAsia="es-SV"/>
              </w:rPr>
              <w:t>Defensoría en Línea.</w:t>
            </w:r>
            <w:r w:rsidRPr="00795131">
              <w:rPr>
                <w:rFonts w:ascii="Verdana" w:eastAsia="Times New Roman" w:hAnsi="Verdana" w:cs="Times New Roman"/>
                <w:sz w:val="24"/>
                <w:szCs w:val="24"/>
                <w:lang w:eastAsia="es-SV"/>
              </w:rPr>
              <w:t xml:space="preserve"> </w:t>
            </w:r>
          </w:p>
          <w:p w:rsidR="00795131" w:rsidRPr="00795131" w:rsidRDefault="00795131" w:rsidP="00795131">
            <w:pPr>
              <w:numPr>
                <w:ilvl w:val="0"/>
                <w:numId w:val="12"/>
              </w:numPr>
              <w:spacing w:after="75" w:line="288" w:lineRule="auto"/>
              <w:ind w:left="0"/>
              <w:jc w:val="both"/>
              <w:rPr>
                <w:rFonts w:ascii="Verdana" w:eastAsia="Times New Roman" w:hAnsi="Verdana" w:cs="Times New Roman"/>
                <w:sz w:val="24"/>
                <w:szCs w:val="24"/>
                <w:lang w:eastAsia="es-SV"/>
              </w:rPr>
            </w:pPr>
          </w:p>
          <w:p w:rsidR="00795131" w:rsidRDefault="00795131" w:rsidP="00795131">
            <w:pPr>
              <w:numPr>
                <w:ilvl w:val="0"/>
                <w:numId w:val="13"/>
              </w:numPr>
              <w:spacing w:after="75"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Durante el 2014 se realizaron 593 jornadas de </w:t>
            </w:r>
            <w:r w:rsidRPr="00795131">
              <w:rPr>
                <w:rFonts w:ascii="Impact" w:eastAsia="Times New Roman" w:hAnsi="Impact" w:cs="Times New Roman"/>
                <w:color w:val="333399"/>
                <w:sz w:val="20"/>
                <w:szCs w:val="20"/>
                <w:lang w:eastAsia="es-SV"/>
              </w:rPr>
              <w:t>Defensoría móvil</w:t>
            </w:r>
            <w:r w:rsidRPr="00795131">
              <w:rPr>
                <w:rFonts w:ascii="Verdana" w:eastAsia="Times New Roman" w:hAnsi="Verdana" w:cs="Times New Roman"/>
                <w:sz w:val="24"/>
                <w:szCs w:val="24"/>
                <w:lang w:eastAsia="es-SV"/>
              </w:rPr>
              <w:t xml:space="preserve"> y se visitaron </w:t>
            </w:r>
            <w:r w:rsidRPr="00795131">
              <w:rPr>
                <w:rFonts w:ascii="Verdana" w:eastAsia="Times New Roman" w:hAnsi="Verdana" w:cs="Times New Roman"/>
                <w:b/>
                <w:bCs/>
                <w:sz w:val="24"/>
                <w:szCs w:val="24"/>
                <w:lang w:eastAsia="es-SV"/>
              </w:rPr>
              <w:t>105</w:t>
            </w:r>
            <w:r w:rsidRPr="00795131">
              <w:rPr>
                <w:rFonts w:ascii="Verdana" w:eastAsia="Times New Roman" w:hAnsi="Verdana" w:cs="Times New Roman"/>
                <w:sz w:val="24"/>
                <w:szCs w:val="24"/>
                <w:lang w:eastAsia="es-SV"/>
              </w:rPr>
              <w:t xml:space="preserve"> municipios que facilitaron atenciones a </w:t>
            </w:r>
            <w:r w:rsidRPr="00795131">
              <w:rPr>
                <w:rFonts w:ascii="Verdana" w:eastAsia="Times New Roman" w:hAnsi="Verdana" w:cs="Times New Roman"/>
                <w:b/>
                <w:bCs/>
                <w:sz w:val="24"/>
                <w:szCs w:val="24"/>
                <w:lang w:eastAsia="es-SV"/>
              </w:rPr>
              <w:t>5,970</w:t>
            </w:r>
            <w:r w:rsidRPr="00795131">
              <w:rPr>
                <w:rFonts w:ascii="Verdana" w:eastAsia="Times New Roman" w:hAnsi="Verdana" w:cs="Times New Roman"/>
                <w:sz w:val="24"/>
                <w:szCs w:val="24"/>
                <w:lang w:eastAsia="es-SV"/>
              </w:rPr>
              <w:t xml:space="preserve"> consumidores, de las cuales </w:t>
            </w:r>
            <w:r w:rsidRPr="00795131">
              <w:rPr>
                <w:rFonts w:ascii="Verdana" w:eastAsia="Times New Roman" w:hAnsi="Verdana" w:cs="Times New Roman"/>
                <w:b/>
                <w:bCs/>
                <w:sz w:val="24"/>
                <w:szCs w:val="24"/>
                <w:lang w:eastAsia="es-SV"/>
              </w:rPr>
              <w:t>5,479</w:t>
            </w:r>
            <w:r w:rsidRPr="00795131">
              <w:rPr>
                <w:rFonts w:ascii="Verdana" w:eastAsia="Times New Roman" w:hAnsi="Verdana" w:cs="Times New Roman"/>
                <w:sz w:val="24"/>
                <w:szCs w:val="24"/>
                <w:lang w:eastAsia="es-SV"/>
              </w:rPr>
              <w:t xml:space="preserve"> fueron asesorías; </w:t>
            </w:r>
            <w:r w:rsidRPr="00795131">
              <w:rPr>
                <w:rFonts w:ascii="Verdana" w:eastAsia="Times New Roman" w:hAnsi="Verdana" w:cs="Times New Roman"/>
                <w:b/>
                <w:bCs/>
                <w:sz w:val="24"/>
                <w:szCs w:val="24"/>
                <w:lang w:eastAsia="es-SV"/>
              </w:rPr>
              <w:t>281</w:t>
            </w:r>
            <w:r w:rsidRPr="00795131">
              <w:rPr>
                <w:rFonts w:ascii="Verdana" w:eastAsia="Times New Roman" w:hAnsi="Verdana" w:cs="Times New Roman"/>
                <w:sz w:val="24"/>
                <w:szCs w:val="24"/>
                <w:lang w:eastAsia="es-SV"/>
              </w:rPr>
              <w:t xml:space="preserve"> denuncias; </w:t>
            </w:r>
            <w:r w:rsidRPr="00795131">
              <w:rPr>
                <w:rFonts w:ascii="Verdana" w:eastAsia="Times New Roman" w:hAnsi="Verdana" w:cs="Times New Roman"/>
                <w:b/>
                <w:bCs/>
                <w:sz w:val="24"/>
                <w:szCs w:val="24"/>
                <w:lang w:eastAsia="es-SV"/>
              </w:rPr>
              <w:t>48</w:t>
            </w:r>
            <w:r w:rsidRPr="00795131">
              <w:rPr>
                <w:rFonts w:ascii="Verdana" w:eastAsia="Times New Roman" w:hAnsi="Verdana" w:cs="Times New Roman"/>
                <w:sz w:val="24"/>
                <w:szCs w:val="24"/>
                <w:lang w:eastAsia="es-SV"/>
              </w:rPr>
              <w:t xml:space="preserve"> gestiones y </w:t>
            </w:r>
            <w:r w:rsidRPr="00795131">
              <w:rPr>
                <w:rFonts w:ascii="Verdana" w:eastAsia="Times New Roman" w:hAnsi="Verdana" w:cs="Times New Roman"/>
                <w:b/>
                <w:bCs/>
                <w:sz w:val="24"/>
                <w:szCs w:val="24"/>
                <w:lang w:eastAsia="es-SV"/>
              </w:rPr>
              <w:t>162</w:t>
            </w:r>
            <w:r w:rsidRPr="00795131">
              <w:rPr>
                <w:rFonts w:ascii="Verdana" w:eastAsia="Times New Roman" w:hAnsi="Verdana" w:cs="Times New Roman"/>
                <w:sz w:val="24"/>
                <w:szCs w:val="24"/>
                <w:lang w:eastAsia="es-SV"/>
              </w:rPr>
              <w:t xml:space="preserve"> derivaciones. La atención de reclamos de las personas consumidoras fue facilitada también mediante las campañas de temporada: </w:t>
            </w:r>
            <w:r w:rsidRPr="00795131">
              <w:rPr>
                <w:rFonts w:ascii="Verdana" w:eastAsia="Times New Roman" w:hAnsi="Verdana" w:cs="Times New Roman"/>
                <w:b/>
                <w:bCs/>
                <w:sz w:val="24"/>
                <w:szCs w:val="24"/>
                <w:lang w:eastAsia="es-SV"/>
              </w:rPr>
              <w:t xml:space="preserve">Escolar, Veraniega, Juliana, </w:t>
            </w:r>
            <w:proofErr w:type="spellStart"/>
            <w:r w:rsidRPr="00795131">
              <w:rPr>
                <w:rFonts w:ascii="Verdana" w:eastAsia="Times New Roman" w:hAnsi="Verdana" w:cs="Times New Roman"/>
                <w:b/>
                <w:bCs/>
                <w:sz w:val="24"/>
                <w:szCs w:val="24"/>
                <w:lang w:eastAsia="es-SV"/>
              </w:rPr>
              <w:t>Agostina</w:t>
            </w:r>
            <w:proofErr w:type="spellEnd"/>
            <w:r w:rsidRPr="00795131">
              <w:rPr>
                <w:rFonts w:ascii="Verdana" w:eastAsia="Times New Roman" w:hAnsi="Verdana" w:cs="Times New Roman"/>
                <w:b/>
                <w:bCs/>
                <w:sz w:val="24"/>
                <w:szCs w:val="24"/>
                <w:lang w:eastAsia="es-SV"/>
              </w:rPr>
              <w:t xml:space="preserve">, </w:t>
            </w:r>
            <w:proofErr w:type="spellStart"/>
            <w:r w:rsidRPr="00795131">
              <w:rPr>
                <w:rFonts w:ascii="Verdana" w:eastAsia="Times New Roman" w:hAnsi="Verdana" w:cs="Times New Roman"/>
                <w:b/>
                <w:bCs/>
                <w:sz w:val="24"/>
                <w:szCs w:val="24"/>
                <w:lang w:eastAsia="es-SV"/>
              </w:rPr>
              <w:t>Novembrina</w:t>
            </w:r>
            <w:proofErr w:type="spellEnd"/>
            <w:r w:rsidRPr="00795131">
              <w:rPr>
                <w:rFonts w:ascii="Verdana" w:eastAsia="Times New Roman" w:hAnsi="Verdana" w:cs="Times New Roman"/>
                <w:b/>
                <w:bCs/>
                <w:sz w:val="24"/>
                <w:szCs w:val="24"/>
                <w:lang w:eastAsia="es-SV"/>
              </w:rPr>
              <w:t xml:space="preserve"> y Navideña;</w:t>
            </w:r>
            <w:r w:rsidRPr="00795131">
              <w:rPr>
                <w:rFonts w:ascii="Verdana" w:eastAsia="Times New Roman" w:hAnsi="Verdana" w:cs="Times New Roman"/>
                <w:sz w:val="24"/>
                <w:szCs w:val="24"/>
                <w:lang w:eastAsia="es-SV"/>
              </w:rPr>
              <w:t xml:space="preserve"> así como en los </w:t>
            </w:r>
            <w:r w:rsidRPr="00795131">
              <w:rPr>
                <w:rFonts w:ascii="Verdana" w:eastAsia="Times New Roman" w:hAnsi="Verdana" w:cs="Times New Roman"/>
                <w:b/>
                <w:bCs/>
                <w:sz w:val="24"/>
                <w:szCs w:val="24"/>
                <w:lang w:eastAsia="es-SV"/>
              </w:rPr>
              <w:t>Festivales del Buen Vivir</w:t>
            </w:r>
            <w:r w:rsidRPr="00795131">
              <w:rPr>
                <w:rFonts w:ascii="Verdana" w:eastAsia="Times New Roman" w:hAnsi="Verdana" w:cs="Times New Roman"/>
                <w:sz w:val="24"/>
                <w:szCs w:val="24"/>
                <w:lang w:eastAsia="es-SV"/>
              </w:rPr>
              <w:t xml:space="preserve"> y ferias </w:t>
            </w:r>
            <w:proofErr w:type="spellStart"/>
            <w:r w:rsidRPr="00795131">
              <w:rPr>
                <w:rFonts w:ascii="Verdana" w:eastAsia="Times New Roman" w:hAnsi="Verdana" w:cs="Times New Roman"/>
                <w:sz w:val="24"/>
                <w:szCs w:val="24"/>
                <w:lang w:eastAsia="es-SV"/>
              </w:rPr>
              <w:t>consumeristas</w:t>
            </w:r>
            <w:proofErr w:type="spellEnd"/>
            <w:r w:rsidRPr="00795131">
              <w:rPr>
                <w:rFonts w:ascii="Verdana" w:eastAsia="Times New Roman" w:hAnsi="Verdana" w:cs="Times New Roman"/>
                <w:sz w:val="24"/>
                <w:szCs w:val="24"/>
                <w:lang w:eastAsia="es-SV"/>
              </w:rPr>
              <w:t xml:space="preserve"> en coordinación con entidades públicas del Sistema Nacional de Protección al Consumidor. </w:t>
            </w:r>
          </w:p>
          <w:p w:rsidR="00795131" w:rsidRPr="00795131" w:rsidRDefault="00795131" w:rsidP="00795131">
            <w:pPr>
              <w:numPr>
                <w:ilvl w:val="0"/>
                <w:numId w:val="13"/>
              </w:numPr>
              <w:spacing w:after="75" w:line="288" w:lineRule="auto"/>
              <w:ind w:left="0"/>
              <w:jc w:val="both"/>
              <w:rPr>
                <w:rFonts w:ascii="Verdana" w:eastAsia="Times New Roman" w:hAnsi="Verdana" w:cs="Times New Roman"/>
                <w:sz w:val="24"/>
                <w:szCs w:val="24"/>
                <w:lang w:eastAsia="es-SV"/>
              </w:rPr>
            </w:pPr>
          </w:p>
          <w:p w:rsidR="00795131" w:rsidRPr="00795131" w:rsidRDefault="00795131" w:rsidP="00795131">
            <w:pPr>
              <w:spacing w:after="0" w:line="288" w:lineRule="auto"/>
              <w:jc w:val="both"/>
              <w:rPr>
                <w:rFonts w:ascii="Verdana" w:eastAsia="Times New Roman" w:hAnsi="Verdana" w:cs="Times New Roman"/>
                <w:sz w:val="24"/>
                <w:szCs w:val="24"/>
                <w:lang w:eastAsia="es-SV"/>
              </w:rPr>
            </w:pPr>
            <w:r w:rsidRPr="00795131">
              <w:rPr>
                <w:rFonts w:ascii="Verdana" w:eastAsia="Times New Roman" w:hAnsi="Verdana" w:cs="Times New Roman"/>
                <w:b/>
                <w:bCs/>
                <w:sz w:val="24"/>
                <w:szCs w:val="24"/>
                <w:u w:val="single"/>
                <w:lang w:eastAsia="es-SV"/>
              </w:rPr>
              <w:t>CAPACITACIÓN Y DIFUSIÓN DE DERECHOS</w:t>
            </w:r>
            <w:r w:rsidRPr="00795131">
              <w:rPr>
                <w:rFonts w:ascii="Verdana" w:eastAsia="Times New Roman" w:hAnsi="Verdana" w:cs="Times New Roman"/>
                <w:sz w:val="24"/>
                <w:szCs w:val="24"/>
                <w:lang w:eastAsia="es-SV"/>
              </w:rPr>
              <w:t xml:space="preserve"> </w:t>
            </w:r>
          </w:p>
          <w:p w:rsidR="00795131" w:rsidRPr="00795131" w:rsidRDefault="00795131" w:rsidP="00795131">
            <w:pPr>
              <w:numPr>
                <w:ilvl w:val="0"/>
                <w:numId w:val="14"/>
              </w:numPr>
              <w:spacing w:after="75"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Activación de la campaña </w:t>
            </w:r>
            <w:r w:rsidRPr="00795131">
              <w:rPr>
                <w:rFonts w:ascii="Verdana" w:eastAsia="Times New Roman" w:hAnsi="Verdana" w:cs="Times New Roman"/>
                <w:b/>
                <w:bCs/>
                <w:sz w:val="24"/>
                <w:szCs w:val="24"/>
                <w:lang w:eastAsia="es-SV"/>
              </w:rPr>
              <w:t>7 derechos de las personas consumidoras usuarias de servicios financieros</w:t>
            </w:r>
            <w:r w:rsidRPr="00795131">
              <w:rPr>
                <w:rFonts w:ascii="Verdana" w:eastAsia="Times New Roman" w:hAnsi="Verdana" w:cs="Times New Roman"/>
                <w:sz w:val="24"/>
                <w:szCs w:val="24"/>
                <w:lang w:eastAsia="es-SV"/>
              </w:rPr>
              <w:t xml:space="preserve">, para proteger y defender los derechos de consumidores y consumidoras ante cualquier abuso de las Agencias de Información de Datos y proveedores de bienes y servicios. </w:t>
            </w:r>
          </w:p>
          <w:p w:rsidR="00795131" w:rsidRDefault="00795131" w:rsidP="00795131">
            <w:pPr>
              <w:numPr>
                <w:ilvl w:val="0"/>
                <w:numId w:val="15"/>
              </w:numPr>
              <w:spacing w:after="75"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lastRenderedPageBreak/>
              <w:t xml:space="preserve">Realización de </w:t>
            </w:r>
            <w:r w:rsidRPr="00795131">
              <w:rPr>
                <w:rFonts w:ascii="Verdana" w:eastAsia="Times New Roman" w:hAnsi="Verdana" w:cs="Times New Roman"/>
                <w:b/>
                <w:bCs/>
                <w:sz w:val="24"/>
                <w:szCs w:val="24"/>
                <w:lang w:eastAsia="es-SV"/>
              </w:rPr>
              <w:t>8 talleres de capacitación</w:t>
            </w:r>
            <w:r w:rsidRPr="00795131">
              <w:rPr>
                <w:rFonts w:ascii="Verdana" w:eastAsia="Times New Roman" w:hAnsi="Verdana" w:cs="Times New Roman"/>
                <w:sz w:val="24"/>
                <w:szCs w:val="24"/>
                <w:lang w:eastAsia="es-SV"/>
              </w:rPr>
              <w:t xml:space="preserve"> a proveedores de los sectores: </w:t>
            </w:r>
            <w:r w:rsidRPr="00795131">
              <w:rPr>
                <w:rFonts w:ascii="Verdana" w:eastAsia="Times New Roman" w:hAnsi="Verdana" w:cs="Times New Roman"/>
                <w:b/>
                <w:bCs/>
                <w:sz w:val="24"/>
                <w:szCs w:val="24"/>
                <w:lang w:eastAsia="es-SV"/>
              </w:rPr>
              <w:t>salinero, lácteos, restaurantes, agua envasada y tiendas mayoristas a 235 empleados de 162 empresas</w:t>
            </w:r>
            <w:r w:rsidRPr="00795131">
              <w:rPr>
                <w:rFonts w:ascii="Verdana" w:eastAsia="Times New Roman" w:hAnsi="Verdana" w:cs="Times New Roman"/>
                <w:sz w:val="24"/>
                <w:szCs w:val="24"/>
                <w:lang w:eastAsia="es-SV"/>
              </w:rPr>
              <w:t xml:space="preserve">, con el objetivo fortalecer el cumplimiento de la Ley de Protección al Consumidor y alentar las buenas prácticas empresariales, con el auspicio del programa PROCALIDAD financiado por la Unión Europea. </w:t>
            </w:r>
          </w:p>
          <w:p w:rsidR="00795131" w:rsidRPr="00795131" w:rsidRDefault="00795131" w:rsidP="00795131">
            <w:pPr>
              <w:numPr>
                <w:ilvl w:val="0"/>
                <w:numId w:val="15"/>
              </w:numPr>
              <w:spacing w:after="75" w:line="288" w:lineRule="auto"/>
              <w:ind w:left="0"/>
              <w:jc w:val="both"/>
              <w:rPr>
                <w:rFonts w:ascii="Verdana" w:eastAsia="Times New Roman" w:hAnsi="Verdana" w:cs="Times New Roman"/>
                <w:sz w:val="24"/>
                <w:szCs w:val="24"/>
                <w:lang w:eastAsia="es-SV"/>
              </w:rPr>
            </w:pPr>
          </w:p>
          <w:p w:rsidR="00795131" w:rsidRPr="00795131" w:rsidRDefault="00795131" w:rsidP="00795131">
            <w:pPr>
              <w:numPr>
                <w:ilvl w:val="0"/>
                <w:numId w:val="16"/>
              </w:numPr>
              <w:spacing w:after="75"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Promoción de jornadas de </w:t>
            </w:r>
            <w:r w:rsidRPr="00795131">
              <w:rPr>
                <w:rFonts w:ascii="Verdana" w:eastAsia="Times New Roman" w:hAnsi="Verdana" w:cs="Times New Roman"/>
                <w:b/>
                <w:bCs/>
                <w:sz w:val="24"/>
                <w:szCs w:val="24"/>
                <w:lang w:eastAsia="es-SV"/>
              </w:rPr>
              <w:t xml:space="preserve">capacitación en </w:t>
            </w:r>
            <w:proofErr w:type="gramStart"/>
            <w:r w:rsidRPr="00795131">
              <w:rPr>
                <w:rFonts w:ascii="Verdana" w:eastAsia="Times New Roman" w:hAnsi="Verdana" w:cs="Times New Roman"/>
                <w:b/>
                <w:bCs/>
                <w:sz w:val="24"/>
                <w:szCs w:val="24"/>
                <w:lang w:eastAsia="es-SV"/>
              </w:rPr>
              <w:t>conocimiento derechos</w:t>
            </w:r>
            <w:proofErr w:type="gramEnd"/>
            <w:r w:rsidRPr="00795131">
              <w:rPr>
                <w:rFonts w:ascii="Verdana" w:eastAsia="Times New Roman" w:hAnsi="Verdana" w:cs="Times New Roman"/>
                <w:b/>
                <w:bCs/>
                <w:sz w:val="24"/>
                <w:szCs w:val="24"/>
                <w:lang w:eastAsia="es-SV"/>
              </w:rPr>
              <w:t xml:space="preserve"> y ejercicio de ciudadanía de 2,935 personas</w:t>
            </w:r>
            <w:r w:rsidRPr="00795131">
              <w:rPr>
                <w:rFonts w:ascii="Verdana" w:eastAsia="Times New Roman" w:hAnsi="Verdana" w:cs="Times New Roman"/>
                <w:sz w:val="24"/>
                <w:szCs w:val="24"/>
                <w:lang w:eastAsia="es-SV"/>
              </w:rPr>
              <w:t xml:space="preserve">, entre jóvenes </w:t>
            </w:r>
            <w:proofErr w:type="spellStart"/>
            <w:r w:rsidRPr="00795131">
              <w:rPr>
                <w:rFonts w:ascii="Verdana" w:eastAsia="Times New Roman" w:hAnsi="Verdana" w:cs="Times New Roman"/>
                <w:sz w:val="24"/>
                <w:szCs w:val="24"/>
                <w:lang w:eastAsia="es-SV"/>
              </w:rPr>
              <w:t>consumeristas</w:t>
            </w:r>
            <w:proofErr w:type="spellEnd"/>
            <w:r w:rsidRPr="00795131">
              <w:rPr>
                <w:rFonts w:ascii="Verdana" w:eastAsia="Times New Roman" w:hAnsi="Verdana" w:cs="Times New Roman"/>
                <w:sz w:val="24"/>
                <w:szCs w:val="24"/>
                <w:lang w:eastAsia="es-SV"/>
              </w:rPr>
              <w:t xml:space="preserve"> de institutos de educación media, personal docente, directores y directoras de los sistemas integrados de escuelas inclusivas de tiempo pleno; así como líderes y lideresas comunitarias. </w:t>
            </w:r>
          </w:p>
          <w:p w:rsidR="00795131" w:rsidRDefault="00795131" w:rsidP="00795131">
            <w:pPr>
              <w:numPr>
                <w:ilvl w:val="0"/>
                <w:numId w:val="17"/>
              </w:numPr>
              <w:spacing w:after="75"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Como parte de la estrategia para informar y educar a la población consumidora y a los proveedores a fin de ampliar y mejorar el conocimiento de derechos y deberes, se distribuyeron </w:t>
            </w:r>
            <w:r w:rsidRPr="00795131">
              <w:rPr>
                <w:rFonts w:ascii="Verdana" w:eastAsia="Times New Roman" w:hAnsi="Verdana" w:cs="Times New Roman"/>
                <w:b/>
                <w:bCs/>
                <w:sz w:val="24"/>
                <w:szCs w:val="24"/>
                <w:lang w:eastAsia="es-SV"/>
              </w:rPr>
              <w:t>407,305</w:t>
            </w:r>
            <w:r w:rsidRPr="00795131">
              <w:rPr>
                <w:rFonts w:ascii="Verdana" w:eastAsia="Times New Roman" w:hAnsi="Verdana" w:cs="Times New Roman"/>
                <w:sz w:val="24"/>
                <w:szCs w:val="24"/>
                <w:lang w:eastAsia="es-SV"/>
              </w:rPr>
              <w:t xml:space="preserve"> materiales con contenido educativo; </w:t>
            </w:r>
            <w:r w:rsidRPr="00795131">
              <w:rPr>
                <w:rFonts w:ascii="Verdana" w:eastAsia="Times New Roman" w:hAnsi="Verdana" w:cs="Times New Roman"/>
                <w:b/>
                <w:bCs/>
                <w:sz w:val="24"/>
                <w:szCs w:val="24"/>
                <w:lang w:eastAsia="es-SV"/>
              </w:rPr>
              <w:t>73,690</w:t>
            </w:r>
            <w:r w:rsidRPr="00795131">
              <w:rPr>
                <w:rFonts w:ascii="Verdana" w:eastAsia="Times New Roman" w:hAnsi="Verdana" w:cs="Times New Roman"/>
                <w:sz w:val="24"/>
                <w:szCs w:val="24"/>
                <w:lang w:eastAsia="es-SV"/>
              </w:rPr>
              <w:t xml:space="preserve"> materiales informativos y </w:t>
            </w:r>
            <w:r w:rsidRPr="00795131">
              <w:rPr>
                <w:rFonts w:ascii="Verdana" w:eastAsia="Times New Roman" w:hAnsi="Verdana" w:cs="Times New Roman"/>
                <w:b/>
                <w:bCs/>
                <w:sz w:val="24"/>
                <w:szCs w:val="24"/>
                <w:lang w:eastAsia="es-SV"/>
              </w:rPr>
              <w:t>31,204</w:t>
            </w:r>
            <w:r w:rsidRPr="00795131">
              <w:rPr>
                <w:rFonts w:ascii="Verdana" w:eastAsia="Times New Roman" w:hAnsi="Verdana" w:cs="Times New Roman"/>
                <w:sz w:val="24"/>
                <w:szCs w:val="24"/>
                <w:lang w:eastAsia="es-SV"/>
              </w:rPr>
              <w:t xml:space="preserve"> artículos promocionales. </w:t>
            </w:r>
          </w:p>
          <w:p w:rsidR="00795131" w:rsidRPr="00795131" w:rsidRDefault="00795131" w:rsidP="00795131">
            <w:pPr>
              <w:numPr>
                <w:ilvl w:val="0"/>
                <w:numId w:val="17"/>
              </w:numPr>
              <w:spacing w:after="75" w:line="288" w:lineRule="auto"/>
              <w:ind w:left="0"/>
              <w:jc w:val="both"/>
              <w:rPr>
                <w:rFonts w:ascii="Verdana" w:eastAsia="Times New Roman" w:hAnsi="Verdana" w:cs="Times New Roman"/>
                <w:sz w:val="24"/>
                <w:szCs w:val="24"/>
                <w:lang w:eastAsia="es-SV"/>
              </w:rPr>
            </w:pPr>
          </w:p>
          <w:p w:rsidR="00795131" w:rsidRDefault="00795131" w:rsidP="00795131">
            <w:pPr>
              <w:numPr>
                <w:ilvl w:val="0"/>
                <w:numId w:val="18"/>
              </w:numPr>
              <w:spacing w:after="75"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Segundo Diplomado en Derecho y Consumo Sostenible, en coordinación con la Universidad de El Salvador. </w:t>
            </w:r>
          </w:p>
          <w:p w:rsidR="00795131" w:rsidRPr="00795131" w:rsidRDefault="00795131" w:rsidP="00795131">
            <w:pPr>
              <w:numPr>
                <w:ilvl w:val="0"/>
                <w:numId w:val="18"/>
              </w:numPr>
              <w:spacing w:after="75" w:line="288" w:lineRule="auto"/>
              <w:ind w:left="0"/>
              <w:jc w:val="both"/>
              <w:rPr>
                <w:rFonts w:ascii="Verdana" w:eastAsia="Times New Roman" w:hAnsi="Verdana" w:cs="Times New Roman"/>
                <w:sz w:val="24"/>
                <w:szCs w:val="24"/>
                <w:lang w:eastAsia="es-SV"/>
              </w:rPr>
            </w:pPr>
          </w:p>
          <w:p w:rsidR="00795131" w:rsidRDefault="00795131" w:rsidP="00795131">
            <w:pPr>
              <w:numPr>
                <w:ilvl w:val="0"/>
                <w:numId w:val="19"/>
              </w:numPr>
              <w:spacing w:after="75"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Realización del Segundo Concurso de Fondos para Asociaciones de Consumidores por </w:t>
            </w:r>
            <w:r w:rsidRPr="00795131">
              <w:rPr>
                <w:rFonts w:ascii="Verdana" w:eastAsia="Times New Roman" w:hAnsi="Verdana" w:cs="Times New Roman"/>
                <w:b/>
                <w:bCs/>
                <w:sz w:val="24"/>
                <w:szCs w:val="24"/>
                <w:lang w:eastAsia="es-SV"/>
              </w:rPr>
              <w:t>US $ 17,027.27</w:t>
            </w:r>
            <w:r w:rsidRPr="00795131">
              <w:rPr>
                <w:rFonts w:ascii="Verdana" w:eastAsia="Times New Roman" w:hAnsi="Verdana" w:cs="Times New Roman"/>
                <w:sz w:val="24"/>
                <w:szCs w:val="24"/>
                <w:lang w:eastAsia="es-SV"/>
              </w:rPr>
              <w:t xml:space="preserve"> otorgados a seis asociaciones de consumidores que presentaron iniciativas de promoción y defensa de derechos de las personas consumidoras. </w:t>
            </w:r>
          </w:p>
          <w:p w:rsidR="00795131" w:rsidRPr="00795131" w:rsidRDefault="00795131" w:rsidP="00795131">
            <w:pPr>
              <w:numPr>
                <w:ilvl w:val="0"/>
                <w:numId w:val="19"/>
              </w:numPr>
              <w:spacing w:after="75" w:line="288" w:lineRule="auto"/>
              <w:ind w:left="0"/>
              <w:jc w:val="both"/>
              <w:rPr>
                <w:rFonts w:ascii="Verdana" w:eastAsia="Times New Roman" w:hAnsi="Verdana" w:cs="Times New Roman"/>
                <w:sz w:val="24"/>
                <w:szCs w:val="24"/>
                <w:lang w:eastAsia="es-SV"/>
              </w:rPr>
            </w:pPr>
          </w:p>
          <w:p w:rsidR="00795131" w:rsidRDefault="00795131" w:rsidP="00795131">
            <w:pPr>
              <w:numPr>
                <w:ilvl w:val="0"/>
                <w:numId w:val="20"/>
              </w:numPr>
              <w:spacing w:after="75" w:line="288" w:lineRule="auto"/>
              <w:ind w:left="0"/>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 xml:space="preserve">Realización del Diplomado "Salud y Seguridad Alimentaria y Nutricional" en coordinación con el Comité Departamental de Seguridad Alimentaria y Nutricional (CODESAN) y la Gobernación Político Departamental de Chalatenango. </w:t>
            </w:r>
          </w:p>
          <w:p w:rsidR="00795131" w:rsidRPr="00795131" w:rsidRDefault="00795131" w:rsidP="00795131">
            <w:pPr>
              <w:numPr>
                <w:ilvl w:val="0"/>
                <w:numId w:val="20"/>
              </w:numPr>
              <w:spacing w:after="75" w:line="288" w:lineRule="auto"/>
              <w:ind w:left="0"/>
              <w:jc w:val="both"/>
              <w:rPr>
                <w:rFonts w:ascii="Verdana" w:eastAsia="Times New Roman" w:hAnsi="Verdana" w:cs="Times New Roman"/>
                <w:sz w:val="24"/>
                <w:szCs w:val="24"/>
                <w:lang w:eastAsia="es-SV"/>
              </w:rPr>
            </w:pPr>
          </w:p>
          <w:p w:rsidR="00795131" w:rsidRPr="00795131" w:rsidRDefault="00795131" w:rsidP="00795131">
            <w:pPr>
              <w:spacing w:after="240" w:line="288" w:lineRule="auto"/>
              <w:jc w:val="both"/>
              <w:rPr>
                <w:rFonts w:ascii="Verdana" w:eastAsia="Times New Roman" w:hAnsi="Verdana" w:cs="Times New Roman"/>
                <w:sz w:val="24"/>
                <w:szCs w:val="24"/>
                <w:lang w:eastAsia="es-SV"/>
              </w:rPr>
            </w:pPr>
            <w:r w:rsidRPr="00795131">
              <w:rPr>
                <w:rFonts w:ascii="Verdana" w:eastAsia="Times New Roman" w:hAnsi="Verdana" w:cs="Times New Roman"/>
                <w:b/>
                <w:bCs/>
                <w:sz w:val="24"/>
                <w:szCs w:val="24"/>
                <w:u w:val="single"/>
                <w:lang w:eastAsia="es-SV"/>
              </w:rPr>
              <w:t>PROMOCIÓN Y FOMENTO DE BUENAS PRÁCTICAS EMPRESARIALES</w:t>
            </w:r>
            <w:r w:rsidRPr="00795131">
              <w:rPr>
                <w:rFonts w:ascii="Verdana" w:eastAsia="Times New Roman" w:hAnsi="Verdana" w:cs="Times New Roman"/>
                <w:sz w:val="24"/>
                <w:szCs w:val="24"/>
                <w:lang w:eastAsia="es-SV"/>
              </w:rPr>
              <w:br/>
            </w:r>
            <w:r w:rsidRPr="00795131">
              <w:rPr>
                <w:rFonts w:ascii="Verdana" w:eastAsia="Times New Roman" w:hAnsi="Verdana" w:cs="Times New Roman"/>
                <w:b/>
                <w:bCs/>
                <w:sz w:val="24"/>
                <w:szCs w:val="24"/>
                <w:lang w:eastAsia="es-SV"/>
              </w:rPr>
              <w:t>Entrega de certificados de Buenas Prácticas a Proveedores de Servicios Financieros.</w:t>
            </w:r>
            <w:r w:rsidRPr="00795131">
              <w:rPr>
                <w:rFonts w:ascii="Verdana" w:eastAsia="Times New Roman" w:hAnsi="Verdana" w:cs="Times New Roman"/>
                <w:sz w:val="24"/>
                <w:szCs w:val="24"/>
                <w:lang w:eastAsia="es-SV"/>
              </w:rPr>
              <w:t xml:space="preserve"> Tres cooperativas asociadas al Sistema Cooperativo </w:t>
            </w:r>
            <w:r w:rsidRPr="00795131">
              <w:rPr>
                <w:rFonts w:ascii="Verdana" w:eastAsia="Times New Roman" w:hAnsi="Verdana" w:cs="Times New Roman"/>
                <w:sz w:val="24"/>
                <w:szCs w:val="24"/>
                <w:lang w:eastAsia="es-SV"/>
              </w:rPr>
              <w:lastRenderedPageBreak/>
              <w:t xml:space="preserve">Financiero (FEDECACES), la "Asociación Cooperativa de Ahorro, Crédito, Producción Agropecuaria, Consumo y Servicios Múltiples </w:t>
            </w:r>
            <w:proofErr w:type="spellStart"/>
            <w:r w:rsidRPr="00795131">
              <w:rPr>
                <w:rFonts w:ascii="Verdana" w:eastAsia="Times New Roman" w:hAnsi="Verdana" w:cs="Times New Roman"/>
                <w:sz w:val="24"/>
                <w:szCs w:val="24"/>
                <w:lang w:eastAsia="es-SV"/>
              </w:rPr>
              <w:t>Zapotitán</w:t>
            </w:r>
            <w:proofErr w:type="spellEnd"/>
            <w:r w:rsidRPr="00795131">
              <w:rPr>
                <w:rFonts w:ascii="Verdana" w:eastAsia="Times New Roman" w:hAnsi="Verdana" w:cs="Times New Roman"/>
                <w:sz w:val="24"/>
                <w:szCs w:val="24"/>
                <w:lang w:eastAsia="es-SV"/>
              </w:rPr>
              <w:t xml:space="preserve"> de Responsabilidad Limitada" (CODEZA DE R.L.); la "Asociación Cooperativa de Ahorro y Crédito de las Señoras del Mercado Municipal N° 2 de Santa Ana de Responsabilidad Limitada" (ACACSEMERSA DE R.L.) y la "Asociación Cooperativa de Ahorro y Crédito Comunal de Agua Caliente de Responsabilidad Limitada" (ACAYCCOMAC DE R.L.), de Chalatenango, firmaron su adhesión a través de sendos convenios suscritos con</w:t>
            </w:r>
            <w:r w:rsidRPr="00795131">
              <w:rPr>
                <w:rFonts w:ascii="Impact" w:eastAsia="Times New Roman" w:hAnsi="Impact" w:cs="Times New Roman"/>
                <w:color w:val="333399"/>
                <w:sz w:val="20"/>
                <w:szCs w:val="20"/>
                <w:lang w:eastAsia="es-SV"/>
              </w:rPr>
              <w:t xml:space="preserve"> La Defensoría.</w:t>
            </w:r>
          </w:p>
          <w:p w:rsidR="00795131" w:rsidRPr="00795131" w:rsidRDefault="00795131" w:rsidP="00795131">
            <w:pPr>
              <w:spacing w:after="0" w:line="288" w:lineRule="auto"/>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t>Estas cooperativas adoptaron en forma voluntaria estándares de calidad en los servicios, con lo cual favorecerán a más de 21 mil personas usuarias de productos y servicios financieros, al recibir mejor atención y transparencia en los servicios financieros que fomentan confianza mutua y mejores relaciones.</w:t>
            </w:r>
          </w:p>
          <w:p w:rsidR="00795131" w:rsidRDefault="00795131" w:rsidP="00795131">
            <w:pPr>
              <w:spacing w:after="0" w:line="288" w:lineRule="auto"/>
              <w:jc w:val="both"/>
              <w:rPr>
                <w:rFonts w:ascii="Verdana" w:eastAsia="Times New Roman" w:hAnsi="Verdana" w:cs="Times New Roman"/>
                <w:b/>
                <w:bCs/>
                <w:sz w:val="24"/>
                <w:szCs w:val="24"/>
                <w:lang w:eastAsia="es-SV"/>
              </w:rPr>
            </w:pPr>
            <w:r w:rsidRPr="00795131">
              <w:rPr>
                <w:rFonts w:ascii="Verdana" w:eastAsia="Times New Roman" w:hAnsi="Verdana" w:cs="Times New Roman"/>
                <w:sz w:val="24"/>
                <w:szCs w:val="24"/>
                <w:lang w:eastAsia="es-SV"/>
              </w:rPr>
              <w:br/>
            </w: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r w:rsidRPr="00795131">
              <w:rPr>
                <w:rFonts w:ascii="Verdana" w:eastAsia="Times New Roman" w:hAnsi="Verdana" w:cs="Times New Roman"/>
                <w:b/>
                <w:bCs/>
                <w:sz w:val="24"/>
                <w:szCs w:val="24"/>
                <w:lang w:eastAsia="es-SV"/>
              </w:rPr>
              <w:lastRenderedPageBreak/>
              <w:t>ANEXOS:</w:t>
            </w:r>
            <w:r w:rsidRPr="00795131">
              <w:rPr>
                <w:rFonts w:ascii="Verdana" w:eastAsia="Times New Roman" w:hAnsi="Verdana" w:cs="Times New Roman"/>
                <w:b/>
                <w:bCs/>
                <w:sz w:val="24"/>
                <w:szCs w:val="24"/>
                <w:lang w:eastAsia="es-SV"/>
              </w:rPr>
              <w:br/>
            </w:r>
            <w:r w:rsidRPr="00795131">
              <w:rPr>
                <w:rFonts w:ascii="Verdana" w:eastAsia="Times New Roman" w:hAnsi="Verdana" w:cs="Times New Roman"/>
                <w:b/>
                <w:bCs/>
                <w:sz w:val="24"/>
                <w:szCs w:val="24"/>
                <w:lang w:eastAsia="es-SV"/>
              </w:rPr>
              <w:br/>
            </w:r>
            <w:r w:rsidRPr="00795131">
              <w:rPr>
                <w:rFonts w:ascii="Verdana" w:eastAsia="Times New Roman" w:hAnsi="Verdana" w:cs="Times New Roman"/>
                <w:b/>
                <w:bCs/>
                <w:noProof/>
                <w:sz w:val="24"/>
                <w:szCs w:val="24"/>
                <w:lang w:eastAsia="es-SV"/>
              </w:rPr>
              <w:drawing>
                <wp:inline distT="0" distB="0" distL="0" distR="0">
                  <wp:extent cx="6057900" cy="6515100"/>
                  <wp:effectExtent l="0" t="0" r="0" b="0"/>
                  <wp:docPr id="11" name="Imagen 11" descr="tabla2 23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bla2 2312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6515100"/>
                          </a:xfrm>
                          <a:prstGeom prst="rect">
                            <a:avLst/>
                          </a:prstGeom>
                          <a:noFill/>
                          <a:ln>
                            <a:noFill/>
                          </a:ln>
                        </pic:spPr>
                      </pic:pic>
                    </a:graphicData>
                  </a:graphic>
                </wp:inline>
              </w:drawing>
            </w:r>
            <w:r w:rsidRPr="00795131">
              <w:rPr>
                <w:rFonts w:ascii="Verdana" w:eastAsia="Times New Roman" w:hAnsi="Verdana" w:cs="Times New Roman"/>
                <w:b/>
                <w:bCs/>
                <w:sz w:val="24"/>
                <w:szCs w:val="24"/>
                <w:lang w:eastAsia="es-SV"/>
              </w:rPr>
              <w:br/>
            </w:r>
            <w:r w:rsidRPr="00795131">
              <w:rPr>
                <w:rFonts w:ascii="Verdana" w:eastAsia="Times New Roman" w:hAnsi="Verdana" w:cs="Times New Roman"/>
                <w:b/>
                <w:bCs/>
                <w:sz w:val="24"/>
                <w:szCs w:val="24"/>
                <w:lang w:eastAsia="es-SV"/>
              </w:rPr>
              <w:br/>
            </w: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jc w:val="both"/>
              <w:rPr>
                <w:rFonts w:ascii="Verdana" w:eastAsia="Times New Roman" w:hAnsi="Verdana" w:cs="Times New Roman"/>
                <w:b/>
                <w:bCs/>
                <w:sz w:val="24"/>
                <w:szCs w:val="24"/>
                <w:lang w:eastAsia="es-SV"/>
              </w:rPr>
            </w:pPr>
          </w:p>
          <w:p w:rsidR="00795131" w:rsidRDefault="00795131" w:rsidP="00795131">
            <w:pPr>
              <w:spacing w:after="0" w:line="288" w:lineRule="auto"/>
              <w:rPr>
                <w:rFonts w:ascii="Verdana" w:eastAsia="Times New Roman" w:hAnsi="Verdana" w:cs="Times New Roman"/>
                <w:sz w:val="24"/>
                <w:szCs w:val="24"/>
                <w:lang w:eastAsia="es-SV"/>
              </w:rPr>
            </w:pPr>
            <w:r w:rsidRPr="00795131">
              <w:rPr>
                <w:rFonts w:ascii="Verdana" w:eastAsia="Times New Roman" w:hAnsi="Verdana" w:cs="Times New Roman"/>
                <w:b/>
                <w:bCs/>
                <w:sz w:val="24"/>
                <w:szCs w:val="24"/>
                <w:lang w:eastAsia="es-SV"/>
              </w:rPr>
              <w:lastRenderedPageBreak/>
              <w:br/>
            </w:r>
            <w:proofErr w:type="spellStart"/>
            <w:r w:rsidRPr="00795131">
              <w:rPr>
                <w:rFonts w:ascii="Verdana" w:eastAsia="Times New Roman" w:hAnsi="Verdana" w:cs="Times New Roman"/>
                <w:b/>
                <w:bCs/>
                <w:sz w:val="24"/>
                <w:szCs w:val="24"/>
                <w:lang w:eastAsia="es-SV"/>
              </w:rPr>
              <w:t>Ateciones</w:t>
            </w:r>
            <w:proofErr w:type="spellEnd"/>
            <w:r w:rsidRPr="00795131">
              <w:rPr>
                <w:rFonts w:ascii="Verdana" w:eastAsia="Times New Roman" w:hAnsi="Verdana" w:cs="Times New Roman"/>
                <w:b/>
                <w:bCs/>
                <w:sz w:val="24"/>
                <w:szCs w:val="24"/>
                <w:lang w:eastAsia="es-SV"/>
              </w:rPr>
              <w:t xml:space="preserve"> brindadas por sector</w:t>
            </w:r>
            <w:r w:rsidRPr="00795131">
              <w:rPr>
                <w:rFonts w:ascii="Verdana" w:eastAsia="Times New Roman" w:hAnsi="Verdana" w:cs="Times New Roman"/>
                <w:b/>
                <w:bCs/>
                <w:sz w:val="24"/>
                <w:szCs w:val="24"/>
                <w:lang w:eastAsia="es-SV"/>
              </w:rPr>
              <w:br/>
            </w:r>
            <w:r w:rsidRPr="00795131">
              <w:rPr>
                <w:rFonts w:ascii="Verdana" w:eastAsia="Times New Roman" w:hAnsi="Verdana" w:cs="Times New Roman"/>
                <w:b/>
                <w:bCs/>
                <w:sz w:val="24"/>
                <w:szCs w:val="24"/>
                <w:lang w:eastAsia="es-SV"/>
              </w:rPr>
              <w:br/>
            </w:r>
            <w:r w:rsidRPr="00795131">
              <w:rPr>
                <w:rFonts w:ascii="Verdana" w:eastAsia="Times New Roman" w:hAnsi="Verdana" w:cs="Times New Roman"/>
                <w:b/>
                <w:bCs/>
                <w:noProof/>
                <w:sz w:val="24"/>
                <w:szCs w:val="24"/>
                <w:lang w:eastAsia="es-SV"/>
              </w:rPr>
              <w:drawing>
                <wp:inline distT="0" distB="0" distL="0" distR="0">
                  <wp:extent cx="4695825" cy="3038475"/>
                  <wp:effectExtent l="0" t="0" r="9525" b="9525"/>
                  <wp:docPr id="10" name="Imagen 10" descr="tabla3 23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bla3 2312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5825" cy="3038475"/>
                          </a:xfrm>
                          <a:prstGeom prst="rect">
                            <a:avLst/>
                          </a:prstGeom>
                          <a:noFill/>
                          <a:ln>
                            <a:noFill/>
                          </a:ln>
                        </pic:spPr>
                      </pic:pic>
                    </a:graphicData>
                  </a:graphic>
                </wp:inline>
              </w:drawing>
            </w:r>
            <w:r w:rsidRPr="00795131">
              <w:rPr>
                <w:rFonts w:ascii="Verdana" w:eastAsia="Times New Roman" w:hAnsi="Verdana" w:cs="Times New Roman"/>
                <w:b/>
                <w:bCs/>
                <w:sz w:val="24"/>
                <w:szCs w:val="24"/>
                <w:lang w:eastAsia="es-SV"/>
              </w:rPr>
              <w:br/>
            </w:r>
            <w:r w:rsidRPr="00795131">
              <w:rPr>
                <w:rFonts w:ascii="Verdana" w:eastAsia="Times New Roman" w:hAnsi="Verdana" w:cs="Times New Roman"/>
                <w:b/>
                <w:bCs/>
                <w:sz w:val="24"/>
                <w:szCs w:val="24"/>
                <w:lang w:eastAsia="es-SV"/>
              </w:rPr>
              <w:br/>
            </w:r>
            <w:r w:rsidRPr="00795131">
              <w:rPr>
                <w:rFonts w:ascii="Verdana" w:eastAsia="Times New Roman" w:hAnsi="Verdana" w:cs="Times New Roman"/>
                <w:b/>
                <w:bCs/>
                <w:sz w:val="24"/>
                <w:szCs w:val="24"/>
                <w:lang w:eastAsia="es-SV"/>
              </w:rPr>
              <w:br/>
            </w:r>
            <w:r w:rsidRPr="00795131">
              <w:rPr>
                <w:rFonts w:ascii="Verdana" w:eastAsia="Times New Roman" w:hAnsi="Verdana" w:cs="Times New Roman"/>
                <w:b/>
                <w:bCs/>
                <w:noProof/>
                <w:sz w:val="24"/>
                <w:szCs w:val="24"/>
                <w:lang w:eastAsia="es-SV"/>
              </w:rPr>
              <w:drawing>
                <wp:inline distT="0" distB="0" distL="0" distR="0">
                  <wp:extent cx="5991225" cy="3867150"/>
                  <wp:effectExtent l="0" t="0" r="9525" b="0"/>
                  <wp:docPr id="9" name="Imagen 9" descr="tabla4 23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bla4 2312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91225" cy="3867150"/>
                          </a:xfrm>
                          <a:prstGeom prst="rect">
                            <a:avLst/>
                          </a:prstGeom>
                          <a:noFill/>
                          <a:ln>
                            <a:noFill/>
                          </a:ln>
                        </pic:spPr>
                      </pic:pic>
                    </a:graphicData>
                  </a:graphic>
                </wp:inline>
              </w:drawing>
            </w:r>
            <w:r w:rsidRPr="00795131">
              <w:rPr>
                <w:rFonts w:ascii="Verdana" w:eastAsia="Times New Roman" w:hAnsi="Verdana" w:cs="Times New Roman"/>
                <w:b/>
                <w:bCs/>
                <w:sz w:val="24"/>
                <w:szCs w:val="24"/>
                <w:lang w:eastAsia="es-SV"/>
              </w:rPr>
              <w:br/>
            </w:r>
            <w:r w:rsidRPr="00795131">
              <w:rPr>
                <w:rFonts w:ascii="Verdana" w:eastAsia="Times New Roman" w:hAnsi="Verdana" w:cs="Times New Roman"/>
                <w:b/>
                <w:bCs/>
                <w:sz w:val="24"/>
                <w:szCs w:val="24"/>
                <w:lang w:eastAsia="es-SV"/>
              </w:rPr>
              <w:lastRenderedPageBreak/>
              <w:br/>
            </w:r>
            <w:r w:rsidRPr="00795131">
              <w:rPr>
                <w:rFonts w:ascii="Verdana" w:eastAsia="Times New Roman" w:hAnsi="Verdana" w:cs="Times New Roman"/>
                <w:b/>
                <w:bCs/>
                <w:sz w:val="24"/>
                <w:szCs w:val="24"/>
                <w:lang w:eastAsia="es-SV"/>
              </w:rPr>
              <w:br/>
              <w:t>Denuncias por sector </w:t>
            </w:r>
            <w:r w:rsidRPr="00795131">
              <w:rPr>
                <w:rFonts w:ascii="Verdana" w:eastAsia="Times New Roman" w:hAnsi="Verdana" w:cs="Times New Roman"/>
                <w:b/>
                <w:bCs/>
                <w:sz w:val="24"/>
                <w:szCs w:val="24"/>
                <w:lang w:eastAsia="es-SV"/>
              </w:rPr>
              <w:br/>
            </w:r>
            <w:r w:rsidRPr="00795131">
              <w:rPr>
                <w:rFonts w:ascii="Verdana" w:eastAsia="Times New Roman" w:hAnsi="Verdana" w:cs="Times New Roman"/>
                <w:sz w:val="24"/>
                <w:szCs w:val="24"/>
                <w:lang w:eastAsia="es-SV"/>
              </w:rPr>
              <w:t>De enero a diciembre de 2014</w:t>
            </w:r>
            <w:r w:rsidRPr="00795131">
              <w:rPr>
                <w:rFonts w:ascii="Verdana" w:eastAsia="Times New Roman" w:hAnsi="Verdana" w:cs="Times New Roman"/>
                <w:sz w:val="24"/>
                <w:szCs w:val="24"/>
                <w:lang w:eastAsia="es-SV"/>
              </w:rPr>
              <w:br/>
            </w:r>
            <w:r w:rsidRPr="00795131">
              <w:rPr>
                <w:rFonts w:ascii="Verdana" w:eastAsia="Times New Roman" w:hAnsi="Verdana" w:cs="Times New Roman"/>
                <w:sz w:val="24"/>
                <w:szCs w:val="24"/>
                <w:lang w:eastAsia="es-SV"/>
              </w:rPr>
              <w:br/>
            </w:r>
            <w:r w:rsidRPr="00795131">
              <w:rPr>
                <w:rFonts w:ascii="Verdana" w:eastAsia="Times New Roman" w:hAnsi="Verdana" w:cs="Times New Roman"/>
                <w:noProof/>
                <w:sz w:val="24"/>
                <w:szCs w:val="24"/>
                <w:lang w:eastAsia="es-SV"/>
              </w:rPr>
              <w:drawing>
                <wp:inline distT="0" distB="0" distL="0" distR="0">
                  <wp:extent cx="5715000" cy="5705475"/>
                  <wp:effectExtent l="0" t="0" r="0" b="9525"/>
                  <wp:docPr id="8" name="Imagen 8" descr="tabla5 23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bla5 2312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5705475"/>
                          </a:xfrm>
                          <a:prstGeom prst="rect">
                            <a:avLst/>
                          </a:prstGeom>
                          <a:noFill/>
                          <a:ln>
                            <a:noFill/>
                          </a:ln>
                        </pic:spPr>
                      </pic:pic>
                    </a:graphicData>
                  </a:graphic>
                </wp:inline>
              </w:drawing>
            </w:r>
            <w:r w:rsidRPr="00795131">
              <w:rPr>
                <w:rFonts w:ascii="Verdana" w:eastAsia="Times New Roman" w:hAnsi="Verdana" w:cs="Times New Roman"/>
                <w:sz w:val="24"/>
                <w:szCs w:val="24"/>
                <w:lang w:eastAsia="es-SV"/>
              </w:rPr>
              <w:br/>
            </w:r>
            <w:r w:rsidRPr="00795131">
              <w:rPr>
                <w:rFonts w:ascii="Verdana" w:eastAsia="Times New Roman" w:hAnsi="Verdana" w:cs="Times New Roman"/>
                <w:sz w:val="24"/>
                <w:szCs w:val="24"/>
                <w:lang w:eastAsia="es-SV"/>
              </w:rPr>
              <w:br/>
            </w:r>
          </w:p>
          <w:p w:rsidR="00795131" w:rsidRDefault="00795131" w:rsidP="00795131">
            <w:pPr>
              <w:spacing w:after="0" w:line="288" w:lineRule="auto"/>
              <w:jc w:val="both"/>
              <w:rPr>
                <w:rFonts w:ascii="Verdana" w:eastAsia="Times New Roman" w:hAnsi="Verdana" w:cs="Times New Roman"/>
                <w:sz w:val="24"/>
                <w:szCs w:val="24"/>
                <w:lang w:eastAsia="es-SV"/>
              </w:rPr>
            </w:pPr>
          </w:p>
          <w:p w:rsidR="00795131" w:rsidRDefault="00795131" w:rsidP="00795131">
            <w:pPr>
              <w:spacing w:after="0" w:line="288" w:lineRule="auto"/>
              <w:jc w:val="both"/>
              <w:rPr>
                <w:rFonts w:ascii="Verdana" w:eastAsia="Times New Roman" w:hAnsi="Verdana" w:cs="Times New Roman"/>
                <w:sz w:val="24"/>
                <w:szCs w:val="24"/>
                <w:lang w:eastAsia="es-SV"/>
              </w:rPr>
            </w:pPr>
          </w:p>
          <w:p w:rsidR="00795131" w:rsidRDefault="00795131" w:rsidP="00795131">
            <w:pPr>
              <w:spacing w:after="0" w:line="288" w:lineRule="auto"/>
              <w:jc w:val="both"/>
              <w:rPr>
                <w:rFonts w:ascii="Verdana" w:eastAsia="Times New Roman" w:hAnsi="Verdana" w:cs="Times New Roman"/>
                <w:sz w:val="24"/>
                <w:szCs w:val="24"/>
                <w:lang w:eastAsia="es-SV"/>
              </w:rPr>
            </w:pPr>
            <w:r w:rsidRPr="00795131">
              <w:rPr>
                <w:rFonts w:ascii="Verdana" w:eastAsia="Times New Roman" w:hAnsi="Verdana" w:cs="Times New Roman"/>
                <w:sz w:val="24"/>
                <w:szCs w:val="24"/>
                <w:lang w:eastAsia="es-SV"/>
              </w:rPr>
              <w:lastRenderedPageBreak/>
              <w:br/>
              <w:t xml:space="preserve">De las 11,357 denuncias atendidas, los principales sectores denunciados son </w:t>
            </w:r>
            <w:r w:rsidRPr="00795131">
              <w:rPr>
                <w:rFonts w:ascii="Verdana" w:eastAsia="Times New Roman" w:hAnsi="Verdana" w:cs="Times New Roman"/>
                <w:b/>
                <w:bCs/>
                <w:sz w:val="24"/>
                <w:szCs w:val="24"/>
                <w:lang w:eastAsia="es-SV"/>
              </w:rPr>
              <w:t>Agua potable</w:t>
            </w:r>
            <w:r w:rsidRPr="00795131">
              <w:rPr>
                <w:rFonts w:ascii="Verdana" w:eastAsia="Times New Roman" w:hAnsi="Verdana" w:cs="Times New Roman"/>
                <w:sz w:val="24"/>
                <w:szCs w:val="24"/>
                <w:lang w:eastAsia="es-SV"/>
              </w:rPr>
              <w:t xml:space="preserve"> con el 47.53%; </w:t>
            </w:r>
            <w:r w:rsidRPr="00795131">
              <w:rPr>
                <w:rFonts w:ascii="Verdana" w:eastAsia="Times New Roman" w:hAnsi="Verdana" w:cs="Times New Roman"/>
                <w:b/>
                <w:bCs/>
                <w:sz w:val="24"/>
                <w:szCs w:val="24"/>
                <w:lang w:eastAsia="es-SV"/>
              </w:rPr>
              <w:t>Telecomunicaciones</w:t>
            </w:r>
            <w:r w:rsidRPr="00795131">
              <w:rPr>
                <w:rFonts w:ascii="Verdana" w:eastAsia="Times New Roman" w:hAnsi="Verdana" w:cs="Times New Roman"/>
                <w:sz w:val="24"/>
                <w:szCs w:val="24"/>
                <w:lang w:eastAsia="es-SV"/>
              </w:rPr>
              <w:t xml:space="preserve"> con 13.61%; </w:t>
            </w:r>
            <w:r w:rsidRPr="00795131">
              <w:rPr>
                <w:rFonts w:ascii="Verdana" w:eastAsia="Times New Roman" w:hAnsi="Verdana" w:cs="Times New Roman"/>
                <w:b/>
                <w:bCs/>
                <w:sz w:val="24"/>
                <w:szCs w:val="24"/>
                <w:lang w:eastAsia="es-SV"/>
              </w:rPr>
              <w:t>Electrodomésticos</w:t>
            </w:r>
            <w:r w:rsidRPr="00795131">
              <w:rPr>
                <w:rFonts w:ascii="Verdana" w:eastAsia="Times New Roman" w:hAnsi="Verdana" w:cs="Times New Roman"/>
                <w:sz w:val="24"/>
                <w:szCs w:val="24"/>
                <w:lang w:eastAsia="es-SV"/>
              </w:rPr>
              <w:t xml:space="preserve"> con el 12.53; y </w:t>
            </w:r>
            <w:r w:rsidRPr="00795131">
              <w:rPr>
                <w:rFonts w:ascii="Verdana" w:eastAsia="Times New Roman" w:hAnsi="Verdana" w:cs="Times New Roman"/>
                <w:b/>
                <w:bCs/>
                <w:sz w:val="24"/>
                <w:szCs w:val="24"/>
                <w:lang w:eastAsia="es-SV"/>
              </w:rPr>
              <w:t>Servicios Financieros</w:t>
            </w:r>
            <w:r w:rsidRPr="00795131">
              <w:rPr>
                <w:rFonts w:ascii="Verdana" w:eastAsia="Times New Roman" w:hAnsi="Verdana" w:cs="Times New Roman"/>
                <w:sz w:val="24"/>
                <w:szCs w:val="24"/>
                <w:lang w:eastAsia="es-SV"/>
              </w:rPr>
              <w:t xml:space="preserve"> con 9.76%.</w:t>
            </w:r>
            <w:r w:rsidRPr="00795131">
              <w:rPr>
                <w:rFonts w:ascii="Verdana" w:eastAsia="Times New Roman" w:hAnsi="Verdana" w:cs="Times New Roman"/>
                <w:sz w:val="24"/>
                <w:szCs w:val="24"/>
                <w:lang w:eastAsia="es-SV"/>
              </w:rPr>
              <w:br/>
            </w:r>
            <w:r w:rsidRPr="00795131">
              <w:rPr>
                <w:rFonts w:ascii="Verdana" w:eastAsia="Times New Roman" w:hAnsi="Verdana" w:cs="Times New Roman"/>
                <w:sz w:val="24"/>
                <w:szCs w:val="24"/>
                <w:lang w:eastAsia="es-SV"/>
              </w:rPr>
              <w:br/>
            </w:r>
            <w:r w:rsidRPr="00795131">
              <w:rPr>
                <w:rFonts w:ascii="Verdana" w:eastAsia="Times New Roman" w:hAnsi="Verdana" w:cs="Times New Roman"/>
                <w:noProof/>
                <w:sz w:val="24"/>
                <w:szCs w:val="24"/>
                <w:lang w:eastAsia="es-SV"/>
              </w:rPr>
              <w:drawing>
                <wp:inline distT="0" distB="0" distL="0" distR="0">
                  <wp:extent cx="3124200" cy="1962150"/>
                  <wp:effectExtent l="0" t="0" r="0" b="0"/>
                  <wp:docPr id="7" name="Imagen 7" descr="tabla6 23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bla6 2312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4200" cy="1962150"/>
                          </a:xfrm>
                          <a:prstGeom prst="rect">
                            <a:avLst/>
                          </a:prstGeom>
                          <a:noFill/>
                          <a:ln>
                            <a:noFill/>
                          </a:ln>
                        </pic:spPr>
                      </pic:pic>
                    </a:graphicData>
                  </a:graphic>
                </wp:inline>
              </w:drawing>
            </w:r>
            <w:r w:rsidRPr="00795131">
              <w:rPr>
                <w:rFonts w:ascii="Verdana" w:eastAsia="Times New Roman" w:hAnsi="Verdana" w:cs="Times New Roman"/>
                <w:sz w:val="24"/>
                <w:szCs w:val="24"/>
                <w:lang w:eastAsia="es-SV"/>
              </w:rPr>
              <w:br/>
            </w:r>
            <w:r w:rsidRPr="00795131">
              <w:rPr>
                <w:rFonts w:ascii="Verdana" w:eastAsia="Times New Roman" w:hAnsi="Verdana" w:cs="Times New Roman"/>
                <w:sz w:val="24"/>
                <w:szCs w:val="24"/>
                <w:lang w:eastAsia="es-SV"/>
              </w:rPr>
              <w:br/>
              <w:t>El número y porcentaje mayor de las denuncias se concentra en cobros, cargos y comisiones indebidas, seguida de la calidad del producto o servicio e incumplimiento de contrato u oferta.</w:t>
            </w:r>
          </w:p>
          <w:p w:rsidR="00795131" w:rsidRDefault="00795131" w:rsidP="00795131">
            <w:pPr>
              <w:spacing w:after="0" w:line="288" w:lineRule="auto"/>
              <w:jc w:val="both"/>
              <w:rPr>
                <w:rFonts w:ascii="Verdana" w:eastAsia="Times New Roman" w:hAnsi="Verdana" w:cs="Times New Roman"/>
                <w:b/>
                <w:bCs/>
                <w:sz w:val="24"/>
                <w:szCs w:val="24"/>
                <w:lang w:eastAsia="es-SV"/>
              </w:rPr>
            </w:pPr>
            <w:r w:rsidRPr="00795131">
              <w:rPr>
                <w:rFonts w:ascii="Verdana" w:eastAsia="Times New Roman" w:hAnsi="Verdana" w:cs="Times New Roman"/>
                <w:sz w:val="24"/>
                <w:szCs w:val="24"/>
                <w:lang w:eastAsia="es-SV"/>
              </w:rPr>
              <w:br/>
            </w:r>
            <w:r w:rsidRPr="00795131">
              <w:rPr>
                <w:rFonts w:ascii="Verdana" w:eastAsia="Times New Roman" w:hAnsi="Verdana" w:cs="Times New Roman"/>
                <w:sz w:val="24"/>
                <w:szCs w:val="24"/>
                <w:lang w:eastAsia="es-SV"/>
              </w:rPr>
              <w:br/>
            </w:r>
            <w:r w:rsidRPr="00795131">
              <w:rPr>
                <w:rFonts w:ascii="Verdana" w:eastAsia="Times New Roman" w:hAnsi="Verdana" w:cs="Times New Roman"/>
                <w:b/>
                <w:bCs/>
                <w:sz w:val="24"/>
                <w:szCs w:val="24"/>
                <w:lang w:eastAsia="es-SV"/>
              </w:rPr>
              <w:t>Número de denuncias por sector</w:t>
            </w:r>
          </w:p>
          <w:p w:rsidR="00795131" w:rsidRPr="00795131" w:rsidRDefault="00795131" w:rsidP="00795131">
            <w:pPr>
              <w:spacing w:after="0" w:line="288" w:lineRule="auto"/>
              <w:jc w:val="both"/>
              <w:rPr>
                <w:rFonts w:ascii="Verdana" w:eastAsia="Times New Roman" w:hAnsi="Verdana" w:cs="Times New Roman"/>
                <w:sz w:val="24"/>
                <w:szCs w:val="24"/>
                <w:lang w:eastAsia="es-SV"/>
              </w:rPr>
            </w:pPr>
            <w:r w:rsidRPr="00795131">
              <w:rPr>
                <w:rFonts w:ascii="Verdana" w:eastAsia="Times New Roman" w:hAnsi="Verdana" w:cs="Times New Roman"/>
                <w:b/>
                <w:bCs/>
                <w:sz w:val="24"/>
                <w:szCs w:val="24"/>
                <w:lang w:eastAsia="es-SV"/>
              </w:rPr>
              <w:br/>
            </w:r>
            <w:r w:rsidRPr="00795131">
              <w:rPr>
                <w:rFonts w:ascii="Verdana" w:eastAsia="Times New Roman" w:hAnsi="Verdana" w:cs="Times New Roman"/>
                <w:b/>
                <w:bCs/>
                <w:noProof/>
                <w:sz w:val="24"/>
                <w:szCs w:val="24"/>
                <w:lang w:eastAsia="es-SV"/>
              </w:rPr>
              <w:drawing>
                <wp:inline distT="0" distB="0" distL="0" distR="0">
                  <wp:extent cx="4886325" cy="3019425"/>
                  <wp:effectExtent l="0" t="0" r="9525" b="9525"/>
                  <wp:docPr id="6" name="Imagen 6" descr="tabla7 23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bla7 2312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6325" cy="3019425"/>
                          </a:xfrm>
                          <a:prstGeom prst="rect">
                            <a:avLst/>
                          </a:prstGeom>
                          <a:noFill/>
                          <a:ln>
                            <a:noFill/>
                          </a:ln>
                        </pic:spPr>
                      </pic:pic>
                    </a:graphicData>
                  </a:graphic>
                </wp:inline>
              </w:drawing>
            </w:r>
            <w:r w:rsidRPr="00795131">
              <w:rPr>
                <w:rFonts w:ascii="Verdana" w:eastAsia="Times New Roman" w:hAnsi="Verdana" w:cs="Times New Roman"/>
                <w:b/>
                <w:bCs/>
                <w:sz w:val="24"/>
                <w:szCs w:val="24"/>
                <w:lang w:eastAsia="es-SV"/>
              </w:rPr>
              <w:br/>
            </w:r>
            <w:r w:rsidRPr="00795131">
              <w:rPr>
                <w:rFonts w:ascii="Verdana" w:eastAsia="Times New Roman" w:hAnsi="Verdana" w:cs="Times New Roman"/>
                <w:b/>
                <w:bCs/>
                <w:sz w:val="24"/>
                <w:szCs w:val="24"/>
                <w:lang w:eastAsia="es-SV"/>
              </w:rPr>
              <w:lastRenderedPageBreak/>
              <w:br/>
            </w:r>
            <w:r w:rsidRPr="00795131">
              <w:rPr>
                <w:rFonts w:ascii="Verdana" w:eastAsia="Times New Roman" w:hAnsi="Verdana" w:cs="Times New Roman"/>
                <w:b/>
                <w:bCs/>
                <w:sz w:val="24"/>
                <w:szCs w:val="24"/>
                <w:lang w:eastAsia="es-SV"/>
              </w:rPr>
              <w:br/>
            </w:r>
            <w:r w:rsidRPr="00795131">
              <w:rPr>
                <w:rFonts w:ascii="Verdana" w:eastAsia="Times New Roman" w:hAnsi="Verdana" w:cs="Times New Roman"/>
                <w:b/>
                <w:bCs/>
                <w:noProof/>
                <w:sz w:val="24"/>
                <w:szCs w:val="24"/>
                <w:lang w:eastAsia="es-SV"/>
              </w:rPr>
              <w:drawing>
                <wp:inline distT="0" distB="0" distL="0" distR="0">
                  <wp:extent cx="5095875" cy="3429000"/>
                  <wp:effectExtent l="0" t="0" r="9525" b="0"/>
                  <wp:docPr id="5" name="Imagen 5" descr="tabla8 23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bla8 2312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95875" cy="3429000"/>
                          </a:xfrm>
                          <a:prstGeom prst="rect">
                            <a:avLst/>
                          </a:prstGeom>
                          <a:noFill/>
                          <a:ln>
                            <a:noFill/>
                          </a:ln>
                        </pic:spPr>
                      </pic:pic>
                    </a:graphicData>
                  </a:graphic>
                </wp:inline>
              </w:drawing>
            </w:r>
            <w:r w:rsidRPr="00795131">
              <w:rPr>
                <w:rFonts w:ascii="Verdana" w:eastAsia="Times New Roman" w:hAnsi="Verdana" w:cs="Times New Roman"/>
                <w:b/>
                <w:bCs/>
                <w:sz w:val="24"/>
                <w:szCs w:val="24"/>
                <w:lang w:eastAsia="es-SV"/>
              </w:rPr>
              <w:br/>
            </w:r>
            <w:r w:rsidRPr="00795131">
              <w:rPr>
                <w:rFonts w:ascii="Verdana" w:eastAsia="Times New Roman" w:hAnsi="Verdana" w:cs="Times New Roman"/>
                <w:sz w:val="24"/>
                <w:szCs w:val="24"/>
                <w:lang w:eastAsia="es-SV"/>
              </w:rPr>
              <w:br/>
            </w:r>
            <w:r w:rsidRPr="00795131">
              <w:rPr>
                <w:rFonts w:ascii="Verdana" w:eastAsia="Times New Roman" w:hAnsi="Verdana" w:cs="Times New Roman"/>
                <w:sz w:val="24"/>
                <w:szCs w:val="24"/>
                <w:lang w:eastAsia="es-SV"/>
              </w:rPr>
              <w:br/>
            </w:r>
            <w:r w:rsidRPr="00795131">
              <w:rPr>
                <w:rFonts w:ascii="Verdana" w:eastAsia="Times New Roman" w:hAnsi="Verdana" w:cs="Times New Roman"/>
                <w:sz w:val="24"/>
                <w:szCs w:val="24"/>
                <w:lang w:eastAsia="es-SV"/>
              </w:rPr>
              <w:br/>
            </w:r>
            <w:r w:rsidRPr="00795131">
              <w:rPr>
                <w:rFonts w:ascii="Verdana" w:eastAsia="Times New Roman" w:hAnsi="Verdana" w:cs="Times New Roman"/>
                <w:noProof/>
                <w:sz w:val="24"/>
                <w:szCs w:val="24"/>
                <w:lang w:eastAsia="es-SV"/>
              </w:rPr>
              <w:drawing>
                <wp:inline distT="0" distB="0" distL="0" distR="0">
                  <wp:extent cx="5200650" cy="2552700"/>
                  <wp:effectExtent l="0" t="0" r="0" b="0"/>
                  <wp:docPr id="4" name="Imagen 4" descr="tabla9 23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abla9 2312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0650" cy="2552700"/>
                          </a:xfrm>
                          <a:prstGeom prst="rect">
                            <a:avLst/>
                          </a:prstGeom>
                          <a:noFill/>
                          <a:ln>
                            <a:noFill/>
                          </a:ln>
                        </pic:spPr>
                      </pic:pic>
                    </a:graphicData>
                  </a:graphic>
                </wp:inline>
              </w:drawing>
            </w:r>
            <w:r w:rsidRPr="00795131">
              <w:rPr>
                <w:rFonts w:ascii="Verdana" w:eastAsia="Times New Roman" w:hAnsi="Verdana" w:cs="Times New Roman"/>
                <w:sz w:val="24"/>
                <w:szCs w:val="24"/>
                <w:lang w:eastAsia="es-SV"/>
              </w:rPr>
              <w:br/>
            </w:r>
            <w:r w:rsidRPr="00795131">
              <w:rPr>
                <w:rFonts w:ascii="Verdana" w:eastAsia="Times New Roman" w:hAnsi="Verdana" w:cs="Times New Roman"/>
                <w:sz w:val="24"/>
                <w:szCs w:val="24"/>
                <w:lang w:eastAsia="es-SV"/>
              </w:rPr>
              <w:br/>
            </w:r>
            <w:r w:rsidRPr="00795131">
              <w:rPr>
                <w:rFonts w:ascii="Verdana" w:eastAsia="Times New Roman" w:hAnsi="Verdana" w:cs="Times New Roman"/>
                <w:sz w:val="24"/>
                <w:szCs w:val="24"/>
                <w:lang w:eastAsia="es-SV"/>
              </w:rPr>
              <w:br/>
            </w:r>
            <w:r w:rsidRPr="00795131">
              <w:rPr>
                <w:rFonts w:ascii="Verdana" w:eastAsia="Times New Roman" w:hAnsi="Verdana" w:cs="Times New Roman"/>
                <w:noProof/>
                <w:sz w:val="24"/>
                <w:szCs w:val="24"/>
                <w:lang w:eastAsia="es-SV"/>
              </w:rPr>
              <w:lastRenderedPageBreak/>
              <w:drawing>
                <wp:inline distT="0" distB="0" distL="0" distR="0">
                  <wp:extent cx="5105400" cy="2838450"/>
                  <wp:effectExtent l="0" t="0" r="0" b="0"/>
                  <wp:docPr id="3" name="Imagen 3" descr="tabla10 23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abla10 2312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05400" cy="2838450"/>
                          </a:xfrm>
                          <a:prstGeom prst="rect">
                            <a:avLst/>
                          </a:prstGeom>
                          <a:noFill/>
                          <a:ln>
                            <a:noFill/>
                          </a:ln>
                        </pic:spPr>
                      </pic:pic>
                    </a:graphicData>
                  </a:graphic>
                </wp:inline>
              </w:drawing>
            </w:r>
            <w:r w:rsidRPr="00795131">
              <w:rPr>
                <w:rFonts w:ascii="Verdana" w:eastAsia="Times New Roman" w:hAnsi="Verdana" w:cs="Times New Roman"/>
                <w:sz w:val="24"/>
                <w:szCs w:val="24"/>
                <w:lang w:eastAsia="es-SV"/>
              </w:rPr>
              <w:br/>
            </w:r>
            <w:r w:rsidRPr="00795131">
              <w:rPr>
                <w:rFonts w:ascii="Verdana" w:eastAsia="Times New Roman" w:hAnsi="Verdana" w:cs="Times New Roman"/>
                <w:sz w:val="24"/>
                <w:szCs w:val="24"/>
                <w:lang w:eastAsia="es-SV"/>
              </w:rPr>
              <w:br/>
            </w:r>
            <w:r w:rsidRPr="00795131">
              <w:rPr>
                <w:rFonts w:ascii="Verdana" w:eastAsia="Times New Roman" w:hAnsi="Verdana" w:cs="Times New Roman"/>
                <w:sz w:val="24"/>
                <w:szCs w:val="24"/>
                <w:lang w:eastAsia="es-SV"/>
              </w:rPr>
              <w:br/>
              <w:t>(*) Por infracción al Art. 28 literales A) Desatender las solicitudes del consumidor o cliente de acceso, rectificación, modificación o cancelación de datos personales; e, l) No remitir a la agencia de información de datos la actualización de los datos dentro del término establecido en la Ley de Regulación de los Servicios de Información sobre el Historial de Crédito de las Personas Art. 30 literal a) Ley de Regulación de los Servicios de Información sobre el Historial de Crédito de las Personas.</w:t>
            </w:r>
            <w:r w:rsidRPr="00795131">
              <w:rPr>
                <w:rFonts w:ascii="Verdana" w:eastAsia="Times New Roman" w:hAnsi="Verdana" w:cs="Times New Roman"/>
                <w:sz w:val="24"/>
                <w:szCs w:val="24"/>
                <w:lang w:eastAsia="es-SV"/>
              </w:rPr>
              <w:br/>
            </w:r>
            <w:r w:rsidRPr="00795131">
              <w:rPr>
                <w:rFonts w:ascii="Verdana" w:eastAsia="Times New Roman" w:hAnsi="Verdana" w:cs="Times New Roman"/>
                <w:sz w:val="24"/>
                <w:szCs w:val="24"/>
                <w:lang w:eastAsia="es-SV"/>
              </w:rPr>
              <w:br/>
            </w:r>
            <w:r w:rsidRPr="00795131">
              <w:rPr>
                <w:rFonts w:ascii="Verdana" w:eastAsia="Times New Roman" w:hAnsi="Verdana" w:cs="Times New Roman"/>
                <w:sz w:val="24"/>
                <w:szCs w:val="24"/>
                <w:lang w:eastAsia="es-SV"/>
              </w:rPr>
              <w:br/>
            </w:r>
            <w:r w:rsidRPr="00795131">
              <w:rPr>
                <w:rFonts w:ascii="Verdana" w:eastAsia="Times New Roman" w:hAnsi="Verdana" w:cs="Times New Roman"/>
                <w:noProof/>
                <w:sz w:val="24"/>
                <w:szCs w:val="24"/>
                <w:lang w:eastAsia="es-SV"/>
              </w:rPr>
              <w:lastRenderedPageBreak/>
              <w:drawing>
                <wp:inline distT="0" distB="0" distL="0" distR="0">
                  <wp:extent cx="4876800" cy="4514850"/>
                  <wp:effectExtent l="0" t="0" r="0" b="0"/>
                  <wp:docPr id="2" name="Imagen 2" descr="tabla11 23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abla11 2312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6800" cy="4514850"/>
                          </a:xfrm>
                          <a:prstGeom prst="rect">
                            <a:avLst/>
                          </a:prstGeom>
                          <a:noFill/>
                          <a:ln>
                            <a:noFill/>
                          </a:ln>
                        </pic:spPr>
                      </pic:pic>
                    </a:graphicData>
                  </a:graphic>
                </wp:inline>
              </w:drawing>
            </w:r>
            <w:r w:rsidRPr="00795131">
              <w:rPr>
                <w:rFonts w:ascii="Verdana" w:eastAsia="Times New Roman" w:hAnsi="Verdana" w:cs="Times New Roman"/>
                <w:sz w:val="24"/>
                <w:szCs w:val="24"/>
                <w:lang w:eastAsia="es-SV"/>
              </w:rPr>
              <w:br/>
            </w:r>
            <w:r w:rsidRPr="00795131">
              <w:rPr>
                <w:rFonts w:ascii="Verdana" w:eastAsia="Times New Roman" w:hAnsi="Verdana" w:cs="Times New Roman"/>
                <w:sz w:val="24"/>
                <w:szCs w:val="24"/>
                <w:lang w:eastAsia="es-SV"/>
              </w:rPr>
              <w:br/>
            </w:r>
            <w:r w:rsidRPr="00795131">
              <w:rPr>
                <w:rFonts w:ascii="Verdana" w:eastAsia="Times New Roman" w:hAnsi="Verdana" w:cs="Times New Roman"/>
                <w:noProof/>
                <w:sz w:val="24"/>
                <w:szCs w:val="24"/>
                <w:lang w:eastAsia="es-SV"/>
              </w:rPr>
              <w:drawing>
                <wp:inline distT="0" distB="0" distL="0" distR="0">
                  <wp:extent cx="5324475" cy="1933575"/>
                  <wp:effectExtent l="0" t="0" r="9525" b="9525"/>
                  <wp:docPr id="1" name="Imagen 1" descr="tabla12 231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abla12 2312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24475" cy="1933575"/>
                          </a:xfrm>
                          <a:prstGeom prst="rect">
                            <a:avLst/>
                          </a:prstGeom>
                          <a:noFill/>
                          <a:ln>
                            <a:noFill/>
                          </a:ln>
                        </pic:spPr>
                      </pic:pic>
                    </a:graphicData>
                  </a:graphic>
                </wp:inline>
              </w:drawing>
            </w:r>
          </w:p>
        </w:tc>
      </w:tr>
    </w:tbl>
    <w:p w:rsidR="008C18A1" w:rsidRDefault="008C18A1" w:rsidP="00795131">
      <w:pPr>
        <w:jc w:val="both"/>
      </w:pPr>
    </w:p>
    <w:sectPr w:rsidR="008C18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042E6"/>
    <w:multiLevelType w:val="multilevel"/>
    <w:tmpl w:val="6816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E6A25"/>
    <w:multiLevelType w:val="multilevel"/>
    <w:tmpl w:val="9DAA07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2A039DE"/>
    <w:multiLevelType w:val="multilevel"/>
    <w:tmpl w:val="9184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F80ED5"/>
    <w:multiLevelType w:val="multilevel"/>
    <w:tmpl w:val="81A4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F65E30"/>
    <w:multiLevelType w:val="multilevel"/>
    <w:tmpl w:val="206A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2925A8"/>
    <w:multiLevelType w:val="multilevel"/>
    <w:tmpl w:val="9B4A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476648"/>
    <w:multiLevelType w:val="multilevel"/>
    <w:tmpl w:val="62F4B71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6B2EA3"/>
    <w:multiLevelType w:val="multilevel"/>
    <w:tmpl w:val="9B7A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C779C0"/>
    <w:multiLevelType w:val="multilevel"/>
    <w:tmpl w:val="3A1E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4E176E"/>
    <w:multiLevelType w:val="multilevel"/>
    <w:tmpl w:val="3020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7C2333"/>
    <w:multiLevelType w:val="multilevel"/>
    <w:tmpl w:val="1BBA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F34AAF"/>
    <w:multiLevelType w:val="multilevel"/>
    <w:tmpl w:val="D390F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E178B3"/>
    <w:multiLevelType w:val="multilevel"/>
    <w:tmpl w:val="8A96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0B4E74"/>
    <w:multiLevelType w:val="multilevel"/>
    <w:tmpl w:val="E78A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0D0A4F"/>
    <w:multiLevelType w:val="multilevel"/>
    <w:tmpl w:val="7326D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3B442ED"/>
    <w:multiLevelType w:val="multilevel"/>
    <w:tmpl w:val="714A9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BD7D4B"/>
    <w:multiLevelType w:val="multilevel"/>
    <w:tmpl w:val="D474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9E5063"/>
    <w:multiLevelType w:val="multilevel"/>
    <w:tmpl w:val="5212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E5840C5"/>
    <w:multiLevelType w:val="multilevel"/>
    <w:tmpl w:val="EA184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3"/>
  </w:num>
  <w:num w:numId="4">
    <w:abstractNumId w:val="11"/>
  </w:num>
  <w:num w:numId="5">
    <w:abstractNumId w:val="10"/>
  </w:num>
  <w:num w:numId="6">
    <w:abstractNumId w:val="18"/>
  </w:num>
  <w:num w:numId="7">
    <w:abstractNumId w:val="6"/>
    <w:lvlOverride w:ilvl="0">
      <w:lvl w:ilvl="0">
        <w:numFmt w:val="bullet"/>
        <w:lvlText w:val=""/>
        <w:lvlJc w:val="left"/>
        <w:pPr>
          <w:tabs>
            <w:tab w:val="num" w:pos="720"/>
          </w:tabs>
          <w:ind w:left="720" w:hanging="360"/>
        </w:pPr>
        <w:rPr>
          <w:rFonts w:ascii="Symbol" w:hAnsi="Symbol" w:hint="default"/>
          <w:sz w:val="20"/>
        </w:rPr>
      </w:lvl>
    </w:lvlOverride>
  </w:num>
  <w:num w:numId="8">
    <w:abstractNumId w:val="6"/>
    <w:lvlOverride w:ilvl="0">
      <w:lvl w:ilvl="0">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num>
  <w:num w:numId="9">
    <w:abstractNumId w:val="8"/>
  </w:num>
  <w:num w:numId="10">
    <w:abstractNumId w:val="1"/>
    <w:lvlOverride w:ilvl="0">
      <w:lvl w:ilvl="0">
        <w:numFmt w:val="bullet"/>
        <w:lvlText w:val=""/>
        <w:lvlJc w:val="left"/>
        <w:pPr>
          <w:tabs>
            <w:tab w:val="num" w:pos="720"/>
          </w:tabs>
          <w:ind w:left="720" w:hanging="360"/>
        </w:pPr>
        <w:rPr>
          <w:rFonts w:ascii="Symbol" w:hAnsi="Symbol" w:hint="default"/>
          <w:sz w:val="20"/>
        </w:rPr>
      </w:lvl>
    </w:lvlOverride>
  </w:num>
  <w:num w:numId="11">
    <w:abstractNumId w:val="13"/>
  </w:num>
  <w:num w:numId="12">
    <w:abstractNumId w:val="4"/>
  </w:num>
  <w:num w:numId="13">
    <w:abstractNumId w:val="5"/>
  </w:num>
  <w:num w:numId="14">
    <w:abstractNumId w:val="16"/>
  </w:num>
  <w:num w:numId="15">
    <w:abstractNumId w:val="2"/>
  </w:num>
  <w:num w:numId="16">
    <w:abstractNumId w:val="9"/>
  </w:num>
  <w:num w:numId="17">
    <w:abstractNumId w:val="12"/>
  </w:num>
  <w:num w:numId="18">
    <w:abstractNumId w:val="15"/>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31"/>
    <w:rsid w:val="00795131"/>
    <w:rsid w:val="008C18A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C80EC-5B8A-4939-80F4-E54E7D60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7951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614302">
      <w:bodyDiv w:val="1"/>
      <w:marLeft w:val="0"/>
      <w:marRight w:val="0"/>
      <w:marTop w:val="0"/>
      <w:marBottom w:val="0"/>
      <w:divBdr>
        <w:top w:val="none" w:sz="0" w:space="0" w:color="auto"/>
        <w:left w:val="none" w:sz="0" w:space="0" w:color="auto"/>
        <w:bottom w:val="none" w:sz="0" w:space="0" w:color="auto"/>
        <w:right w:val="none" w:sz="0" w:space="0" w:color="auto"/>
      </w:divBdr>
      <w:divsChild>
        <w:div w:id="1260214276">
          <w:marLeft w:val="0"/>
          <w:marRight w:val="0"/>
          <w:marTop w:val="0"/>
          <w:marBottom w:val="0"/>
          <w:divBdr>
            <w:top w:val="none" w:sz="0" w:space="0" w:color="auto"/>
            <w:left w:val="none" w:sz="0" w:space="0" w:color="auto"/>
            <w:bottom w:val="none" w:sz="0" w:space="0" w:color="auto"/>
            <w:right w:val="none" w:sz="0" w:space="0" w:color="auto"/>
          </w:divBdr>
          <w:divsChild>
            <w:div w:id="2024238583">
              <w:marLeft w:val="0"/>
              <w:marRight w:val="0"/>
              <w:marTop w:val="0"/>
              <w:marBottom w:val="0"/>
              <w:divBdr>
                <w:top w:val="none" w:sz="0" w:space="0" w:color="auto"/>
                <w:left w:val="none" w:sz="0" w:space="0" w:color="auto"/>
                <w:bottom w:val="none" w:sz="0" w:space="0" w:color="auto"/>
                <w:right w:val="none" w:sz="0" w:space="0" w:color="auto"/>
              </w:divBdr>
              <w:divsChild>
                <w:div w:id="297730375">
                  <w:marLeft w:val="150"/>
                  <w:marRight w:val="150"/>
                  <w:marTop w:val="0"/>
                  <w:marBottom w:val="0"/>
                  <w:divBdr>
                    <w:top w:val="none" w:sz="0" w:space="0" w:color="auto"/>
                    <w:left w:val="none" w:sz="0" w:space="0" w:color="auto"/>
                    <w:bottom w:val="none" w:sz="0" w:space="0" w:color="auto"/>
                    <w:right w:val="none" w:sz="0" w:space="0" w:color="auto"/>
                  </w:divBdr>
                  <w:divsChild>
                    <w:div w:id="2105690705">
                      <w:marLeft w:val="0"/>
                      <w:marRight w:val="0"/>
                      <w:marTop w:val="0"/>
                      <w:marBottom w:val="0"/>
                      <w:divBdr>
                        <w:top w:val="none" w:sz="0" w:space="0" w:color="auto"/>
                        <w:left w:val="none" w:sz="0" w:space="0" w:color="auto"/>
                        <w:bottom w:val="none" w:sz="0" w:space="0" w:color="auto"/>
                        <w:right w:val="none" w:sz="0" w:space="0" w:color="auto"/>
                      </w:divBdr>
                    </w:div>
                    <w:div w:id="567960750">
                      <w:marLeft w:val="0"/>
                      <w:marRight w:val="0"/>
                      <w:marTop w:val="0"/>
                      <w:marBottom w:val="0"/>
                      <w:divBdr>
                        <w:top w:val="none" w:sz="0" w:space="0" w:color="auto"/>
                        <w:left w:val="none" w:sz="0" w:space="0" w:color="auto"/>
                        <w:bottom w:val="none" w:sz="0" w:space="0" w:color="auto"/>
                        <w:right w:val="none" w:sz="0" w:space="0" w:color="auto"/>
                      </w:divBdr>
                      <w:divsChild>
                        <w:div w:id="663095256">
                          <w:marLeft w:val="0"/>
                          <w:marRight w:val="0"/>
                          <w:marTop w:val="0"/>
                          <w:marBottom w:val="0"/>
                          <w:divBdr>
                            <w:top w:val="none" w:sz="0" w:space="0" w:color="auto"/>
                            <w:left w:val="none" w:sz="0" w:space="0" w:color="auto"/>
                            <w:bottom w:val="none" w:sz="0" w:space="0" w:color="auto"/>
                            <w:right w:val="none" w:sz="0" w:space="0" w:color="auto"/>
                          </w:divBdr>
                        </w:div>
                        <w:div w:id="146427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1852</Words>
  <Characters>10187</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Duke</dc:creator>
  <cp:keywords/>
  <dc:description/>
  <cp:lastModifiedBy>Vanessa Duke</cp:lastModifiedBy>
  <cp:revision>1</cp:revision>
  <dcterms:created xsi:type="dcterms:W3CDTF">2015-01-07T21:39:00Z</dcterms:created>
  <dcterms:modified xsi:type="dcterms:W3CDTF">2015-01-07T21:42:00Z</dcterms:modified>
</cp:coreProperties>
</file>