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6E2D" w14:textId="3C9D3102" w:rsidR="00CC3AA6" w:rsidRPr="002D014E" w:rsidRDefault="00CC3AA6" w:rsidP="004474F5">
      <w:pPr>
        <w:spacing w:line="240" w:lineRule="auto"/>
        <w:jc w:val="both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t>1. ¿Cuántos reclamos relacionados a la calidad de los servicios de telecomunicaciones (Telefonía Móvil e internet residencial), se han recibido en la Defensoría del Consumidor en el periodo de enero a junio de 2024?</w:t>
      </w:r>
    </w:p>
    <w:p w14:paraId="228070A8" w14:textId="1DB663A7" w:rsidR="005E0AB4" w:rsidRPr="002D014E" w:rsidRDefault="00A760E3" w:rsidP="004474F5">
      <w:pPr>
        <w:spacing w:line="240" w:lineRule="auto"/>
        <w:jc w:val="both"/>
        <w:rPr>
          <w:rFonts w:ascii="Calibri" w:hAnsi="Calibri" w:cs="Calibri"/>
        </w:rPr>
      </w:pPr>
      <w:r w:rsidRPr="002D014E">
        <w:rPr>
          <w:rFonts w:ascii="Calibri" w:hAnsi="Calibri" w:cs="Calibri"/>
        </w:rPr>
        <w:t xml:space="preserve">Respuesta: </w:t>
      </w:r>
      <w:r w:rsidR="005E0AB4" w:rsidRPr="002D014E">
        <w:rPr>
          <w:rFonts w:ascii="Calibri" w:hAnsi="Calibri" w:cs="Calibri"/>
        </w:rPr>
        <w:t>Entre enero-junio 2024 se han presentado 917 denuncias</w:t>
      </w:r>
      <w:r w:rsidRPr="002D014E">
        <w:rPr>
          <w:rFonts w:ascii="Calibri" w:hAnsi="Calibri" w:cs="Calibri"/>
        </w:rPr>
        <w:t>.</w:t>
      </w:r>
    </w:p>
    <w:p w14:paraId="2624B860" w14:textId="4A4CD497" w:rsidR="00CC3AA6" w:rsidRPr="002D014E" w:rsidRDefault="00A760E3" w:rsidP="00D001A2">
      <w:pPr>
        <w:spacing w:line="240" w:lineRule="auto"/>
        <w:jc w:val="right"/>
        <w:rPr>
          <w:rFonts w:ascii="Calibri" w:hAnsi="Calibri" w:cs="Calibri"/>
        </w:rPr>
      </w:pPr>
      <w:r w:rsidRPr="002D014E">
        <w:rPr>
          <w:rFonts w:ascii="Calibri" w:hAnsi="Calibri" w:cs="Calibri"/>
          <w:b/>
          <w:bCs/>
          <w:lang w:val="es-ES_tradnl"/>
        </w:rPr>
        <w:t>Fuente: Dirección de Estudios de Consumo</w:t>
      </w:r>
      <w:r w:rsidR="00D001A2">
        <w:rPr>
          <w:rFonts w:ascii="Calibri" w:hAnsi="Calibri" w:cs="Calibri"/>
          <w:b/>
          <w:bCs/>
          <w:lang w:val="es-ES_tradnl"/>
        </w:rPr>
        <w:t xml:space="preserve">, </w:t>
      </w:r>
      <w:r w:rsidRPr="002D014E">
        <w:rPr>
          <w:rFonts w:ascii="Calibri" w:hAnsi="Calibri" w:cs="Calibri"/>
          <w:b/>
          <w:bCs/>
          <w:lang w:val="es-ES_tradnl"/>
        </w:rPr>
        <w:t>2024.</w:t>
      </w:r>
    </w:p>
    <w:p w14:paraId="69C1F072" w14:textId="1650F169" w:rsidR="00CC3AA6" w:rsidRPr="002D014E" w:rsidRDefault="00CC3AA6" w:rsidP="004474F5">
      <w:pPr>
        <w:spacing w:line="240" w:lineRule="auto"/>
        <w:jc w:val="both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t>2. ¿Quiénes son los principales proveedores denunciados ante la Defensoría del Consumidor y cuál es la principal causa de denuncia en materia de telecomunicaciones </w:t>
      </w:r>
      <w:r w:rsidRPr="002D014E">
        <w:rPr>
          <w:rFonts w:ascii="Calibri" w:hAnsi="Calibri" w:cs="Calibri"/>
          <w:b/>
          <w:bCs/>
          <w:u w:val="single"/>
          <w:lang w:val="es-ES_tradnl"/>
        </w:rPr>
        <w:t>por proveedor</w:t>
      </w:r>
      <w:r w:rsidRPr="002D014E">
        <w:rPr>
          <w:rFonts w:ascii="Calibri" w:hAnsi="Calibri" w:cs="Calibri"/>
          <w:b/>
          <w:bCs/>
          <w:lang w:val="es-ES_tradnl"/>
        </w:rPr>
        <w:t> (Telefonía Móvil e internet residencial), en el periodo de enero a junio de 2024?</w:t>
      </w:r>
    </w:p>
    <w:p w14:paraId="01E24433" w14:textId="1033220B" w:rsidR="00007387" w:rsidRPr="002D014E" w:rsidRDefault="00A760E3" w:rsidP="004474F5">
      <w:pPr>
        <w:spacing w:line="240" w:lineRule="auto"/>
        <w:jc w:val="both"/>
        <w:rPr>
          <w:rFonts w:ascii="Calibri" w:hAnsi="Calibri" w:cs="Calibri"/>
          <w:lang w:val="es-ES_tradnl"/>
        </w:rPr>
      </w:pPr>
      <w:r w:rsidRPr="002D014E">
        <w:rPr>
          <w:rFonts w:ascii="Calibri" w:hAnsi="Calibri" w:cs="Calibri"/>
          <w:lang w:val="es-ES_tradnl"/>
        </w:rPr>
        <w:t xml:space="preserve">Respuesta: </w:t>
      </w:r>
      <w:r w:rsidR="00877EE0" w:rsidRPr="002D014E">
        <w:rPr>
          <w:rFonts w:ascii="Calibri" w:hAnsi="Calibri" w:cs="Calibri"/>
          <w:lang w:val="es-ES_tradnl"/>
        </w:rPr>
        <w:t xml:space="preserve">Considerando que se requiere el detalle por proveedor, únicamente </w:t>
      </w:r>
      <w:r w:rsidR="00A77B3B" w:rsidRPr="002D014E">
        <w:rPr>
          <w:rFonts w:ascii="Calibri" w:hAnsi="Calibri" w:cs="Calibri"/>
          <w:lang w:val="es-ES_tradnl"/>
        </w:rPr>
        <w:t xml:space="preserve">se </w:t>
      </w:r>
      <w:r w:rsidR="00877EE0" w:rsidRPr="002D014E">
        <w:rPr>
          <w:rFonts w:ascii="Calibri" w:hAnsi="Calibri" w:cs="Calibri"/>
          <w:lang w:val="es-ES_tradnl"/>
        </w:rPr>
        <w:t xml:space="preserve">puede </w:t>
      </w:r>
      <w:r w:rsidR="00A77B3B" w:rsidRPr="002D014E">
        <w:rPr>
          <w:rFonts w:ascii="Calibri" w:hAnsi="Calibri" w:cs="Calibri"/>
          <w:lang w:val="es-ES_tradnl"/>
        </w:rPr>
        <w:t xml:space="preserve">proporcionar </w:t>
      </w:r>
      <w:r w:rsidR="00877EE0" w:rsidRPr="002D014E">
        <w:rPr>
          <w:rFonts w:ascii="Calibri" w:hAnsi="Calibri" w:cs="Calibri"/>
          <w:lang w:val="es-ES_tradnl"/>
        </w:rPr>
        <w:t xml:space="preserve">el detalle de los casos cerrados, en ese sentido, a </w:t>
      </w:r>
      <w:r w:rsidR="004474F5" w:rsidRPr="002D014E">
        <w:rPr>
          <w:rFonts w:ascii="Calibri" w:hAnsi="Calibri" w:cs="Calibri"/>
          <w:lang w:val="es-ES_tradnl"/>
        </w:rPr>
        <w:t>continuación,</w:t>
      </w:r>
      <w:r w:rsidR="00877EE0" w:rsidRPr="002D014E">
        <w:rPr>
          <w:rFonts w:ascii="Calibri" w:hAnsi="Calibri" w:cs="Calibri"/>
          <w:lang w:val="es-ES_tradnl"/>
        </w:rPr>
        <w:t xml:space="preserve"> se detallan los casos cerrados en el periodo enero-junio 2024</w:t>
      </w:r>
      <w:r w:rsidRPr="002D014E">
        <w:rPr>
          <w:rFonts w:ascii="Calibri" w:hAnsi="Calibri" w:cs="Calibri"/>
          <w:lang w:val="es-ES_tradnl"/>
        </w:rPr>
        <w:t>.</w:t>
      </w:r>
    </w:p>
    <w:p w14:paraId="69FD109B" w14:textId="68FAE496" w:rsidR="00877EE0" w:rsidRPr="002D014E" w:rsidRDefault="00877EE0" w:rsidP="004474F5">
      <w:pPr>
        <w:spacing w:line="240" w:lineRule="auto"/>
        <w:jc w:val="both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t>Casos cerrados en servicios de telefonía detallados por empresa, enero-junio 2024</w:t>
      </w:r>
      <w:r w:rsidR="00A760E3" w:rsidRPr="002D014E">
        <w:rPr>
          <w:rFonts w:ascii="Calibri" w:hAnsi="Calibri" w:cs="Calibri"/>
          <w:b/>
          <w:bCs/>
          <w:lang w:val="es-ES_tradnl"/>
        </w:rPr>
        <w:t>:</w:t>
      </w:r>
    </w:p>
    <w:tbl>
      <w:tblPr>
        <w:tblStyle w:val="Tablaconcuadrcula1clara-nfasis4"/>
        <w:tblW w:w="5469" w:type="dxa"/>
        <w:tblLook w:val="04A0" w:firstRow="1" w:lastRow="0" w:firstColumn="1" w:lastColumn="0" w:noHBand="0" w:noVBand="1"/>
      </w:tblPr>
      <w:tblGrid>
        <w:gridCol w:w="3044"/>
        <w:gridCol w:w="2425"/>
      </w:tblGrid>
      <w:tr w:rsidR="00877EE0" w:rsidRPr="002D014E" w14:paraId="63B4CAA6" w14:textId="77777777" w:rsidTr="00877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shd w:val="clear" w:color="auto" w:fill="002060"/>
            <w:noWrap/>
            <w:hideMark/>
          </w:tcPr>
          <w:p w14:paraId="3EFC0C5C" w14:textId="136B2874" w:rsidR="00877EE0" w:rsidRPr="002D014E" w:rsidRDefault="00877EE0" w:rsidP="004474F5">
            <w:pPr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lang w:eastAsia="es-SV"/>
                <w14:ligatures w14:val="none"/>
              </w:rPr>
              <w:t>Nombre empresa</w:t>
            </w:r>
          </w:p>
        </w:tc>
        <w:tc>
          <w:tcPr>
            <w:tcW w:w="2425" w:type="dxa"/>
            <w:shd w:val="clear" w:color="auto" w:fill="002060"/>
            <w:noWrap/>
            <w:hideMark/>
          </w:tcPr>
          <w:p w14:paraId="6672F884" w14:textId="4485E1E2" w:rsidR="00877EE0" w:rsidRPr="002D014E" w:rsidRDefault="00877EE0" w:rsidP="00447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lang w:eastAsia="es-SV"/>
                <w14:ligatures w14:val="none"/>
              </w:rPr>
              <w:t>Casos</w:t>
            </w:r>
          </w:p>
        </w:tc>
      </w:tr>
      <w:tr w:rsidR="00877EE0" w:rsidRPr="002D014E" w14:paraId="063EF231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29CF3552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Tigo</w:t>
            </w:r>
          </w:p>
        </w:tc>
        <w:tc>
          <w:tcPr>
            <w:tcW w:w="2425" w:type="dxa"/>
            <w:noWrap/>
            <w:hideMark/>
          </w:tcPr>
          <w:p w14:paraId="0D3D5DAA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409</w:t>
            </w:r>
          </w:p>
        </w:tc>
      </w:tr>
      <w:tr w:rsidR="00877EE0" w:rsidRPr="002D014E" w14:paraId="3721FFD3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37DDF474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Claro</w:t>
            </w:r>
          </w:p>
        </w:tc>
        <w:tc>
          <w:tcPr>
            <w:tcW w:w="2425" w:type="dxa"/>
            <w:noWrap/>
            <w:hideMark/>
          </w:tcPr>
          <w:p w14:paraId="58F7D7E3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269</w:t>
            </w:r>
          </w:p>
        </w:tc>
      </w:tr>
      <w:tr w:rsidR="00877EE0" w:rsidRPr="002D014E" w14:paraId="36D54BC4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2E600BC2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Telefónica</w:t>
            </w:r>
          </w:p>
        </w:tc>
        <w:tc>
          <w:tcPr>
            <w:tcW w:w="2425" w:type="dxa"/>
            <w:noWrap/>
            <w:hideMark/>
          </w:tcPr>
          <w:p w14:paraId="35AFDD9B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117</w:t>
            </w:r>
          </w:p>
        </w:tc>
      </w:tr>
      <w:tr w:rsidR="00877EE0" w:rsidRPr="002D014E" w14:paraId="2A470E4D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2FC86A7B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Sky</w:t>
            </w:r>
          </w:p>
        </w:tc>
        <w:tc>
          <w:tcPr>
            <w:tcW w:w="2425" w:type="dxa"/>
            <w:noWrap/>
            <w:hideMark/>
          </w:tcPr>
          <w:p w14:paraId="36A9C714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31</w:t>
            </w:r>
          </w:p>
        </w:tc>
      </w:tr>
      <w:tr w:rsidR="00877EE0" w:rsidRPr="002D014E" w14:paraId="0447DD21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02FC771E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Digicel</w:t>
            </w:r>
          </w:p>
        </w:tc>
        <w:tc>
          <w:tcPr>
            <w:tcW w:w="2425" w:type="dxa"/>
            <w:noWrap/>
            <w:hideMark/>
          </w:tcPr>
          <w:p w14:paraId="2A7276E4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</w:tr>
      <w:tr w:rsidR="00877EE0" w:rsidRPr="002D014E" w14:paraId="35FD0E5F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53FAEC5D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Cable Color</w:t>
            </w:r>
          </w:p>
        </w:tc>
        <w:tc>
          <w:tcPr>
            <w:tcW w:w="2425" w:type="dxa"/>
            <w:noWrap/>
            <w:hideMark/>
          </w:tcPr>
          <w:p w14:paraId="5C4AA086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</w:tr>
      <w:tr w:rsidR="00877EE0" w:rsidRPr="002D014E" w14:paraId="447CCBCB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481D163F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ENLACEVISION</w:t>
            </w:r>
          </w:p>
        </w:tc>
        <w:tc>
          <w:tcPr>
            <w:tcW w:w="2425" w:type="dxa"/>
            <w:noWrap/>
            <w:hideMark/>
          </w:tcPr>
          <w:p w14:paraId="1EEB5085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  <w:tr w:rsidR="00877EE0" w:rsidRPr="002D014E" w14:paraId="1E4502EE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02A2FD8C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CABLESAT, S. A. DE C. V</w:t>
            </w:r>
          </w:p>
        </w:tc>
        <w:tc>
          <w:tcPr>
            <w:tcW w:w="2425" w:type="dxa"/>
            <w:noWrap/>
            <w:hideMark/>
          </w:tcPr>
          <w:p w14:paraId="41E58C52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877EE0" w:rsidRPr="002D014E" w14:paraId="627DC719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588E2679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Mundo Cable</w:t>
            </w:r>
          </w:p>
        </w:tc>
        <w:tc>
          <w:tcPr>
            <w:tcW w:w="2425" w:type="dxa"/>
            <w:noWrap/>
            <w:hideMark/>
          </w:tcPr>
          <w:p w14:paraId="6066CAC5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877EE0" w:rsidRPr="002D014E" w14:paraId="451B120B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noWrap/>
            <w:hideMark/>
          </w:tcPr>
          <w:p w14:paraId="0E4BFAA1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Japi / Ibw</w:t>
            </w:r>
          </w:p>
        </w:tc>
        <w:tc>
          <w:tcPr>
            <w:tcW w:w="2425" w:type="dxa"/>
            <w:noWrap/>
            <w:hideMark/>
          </w:tcPr>
          <w:p w14:paraId="13DA9F39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877EE0" w:rsidRPr="002D014E" w14:paraId="5C707724" w14:textId="77777777" w:rsidTr="00877EE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4" w:type="dxa"/>
            <w:shd w:val="clear" w:color="auto" w:fill="002060"/>
            <w:noWrap/>
            <w:hideMark/>
          </w:tcPr>
          <w:p w14:paraId="3A8FFCA6" w14:textId="11508A77" w:rsidR="00877EE0" w:rsidRPr="002D014E" w:rsidRDefault="00877EE0" w:rsidP="004474F5">
            <w:pPr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2425" w:type="dxa"/>
            <w:shd w:val="clear" w:color="auto" w:fill="002060"/>
            <w:noWrap/>
            <w:hideMark/>
          </w:tcPr>
          <w:p w14:paraId="40DC3F2D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879</w:t>
            </w:r>
          </w:p>
        </w:tc>
      </w:tr>
    </w:tbl>
    <w:p w14:paraId="4F1A3C4E" w14:textId="7093D7FC" w:rsidR="00007387" w:rsidRPr="00007387" w:rsidRDefault="00007387" w:rsidP="00007387">
      <w:pPr>
        <w:spacing w:line="240" w:lineRule="auto"/>
        <w:ind w:right="3309"/>
        <w:jc w:val="both"/>
        <w:rPr>
          <w:rFonts w:ascii="Arial" w:hAnsi="Arial" w:cs="Arial"/>
          <w:b/>
          <w:bCs/>
          <w:sz w:val="18"/>
        </w:rPr>
      </w:pPr>
      <w:r w:rsidRPr="00007387">
        <w:rPr>
          <w:rFonts w:ascii="Arial" w:hAnsi="Arial" w:cs="Arial"/>
          <w:b/>
          <w:bCs/>
          <w:sz w:val="18"/>
        </w:rPr>
        <w:t xml:space="preserve">Nota. </w:t>
      </w:r>
      <w:r w:rsidRPr="00007387">
        <w:rPr>
          <w:rFonts w:ascii="Arial" w:hAnsi="Arial" w:cs="Arial"/>
          <w:color w:val="222222"/>
          <w:sz w:val="18"/>
          <w:shd w:val="clear" w:color="auto" w:fill="FFFFFF"/>
        </w:rPr>
        <w:t>Dentro del sistema no se puede identificar si la queja corresponde al servicio de internet o servicios de telefonía en general, el detalle corresponde a las denuncias del proveedor que se ha identificado, que brinda servicios de internet o servicios de telefonía.</w:t>
      </w:r>
    </w:p>
    <w:p w14:paraId="4A2A5D4A" w14:textId="008486CA" w:rsidR="00877EE0" w:rsidRPr="002D014E" w:rsidRDefault="00877EE0" w:rsidP="00FD7010">
      <w:pPr>
        <w:spacing w:line="240" w:lineRule="auto"/>
        <w:ind w:left="993"/>
        <w:rPr>
          <w:rFonts w:ascii="Calibri" w:hAnsi="Calibri" w:cs="Calibri"/>
          <w:b/>
          <w:bCs/>
        </w:rPr>
      </w:pPr>
      <w:r w:rsidRPr="002D014E">
        <w:rPr>
          <w:rFonts w:ascii="Calibri" w:hAnsi="Calibri" w:cs="Calibri"/>
          <w:b/>
          <w:bCs/>
        </w:rPr>
        <w:t xml:space="preserve">Fuente: </w:t>
      </w:r>
      <w:r w:rsidR="00A760E3" w:rsidRPr="002D014E">
        <w:rPr>
          <w:rFonts w:ascii="Calibri" w:hAnsi="Calibri" w:cs="Calibri"/>
          <w:b/>
          <w:bCs/>
        </w:rPr>
        <w:t>Dirección de Estudios de Consumo</w:t>
      </w:r>
      <w:r w:rsidR="00D001A2">
        <w:rPr>
          <w:rFonts w:ascii="Calibri" w:hAnsi="Calibri" w:cs="Calibri"/>
          <w:b/>
          <w:bCs/>
        </w:rPr>
        <w:t>,</w:t>
      </w:r>
      <w:r w:rsidR="00A760E3" w:rsidRPr="002D014E">
        <w:rPr>
          <w:rFonts w:ascii="Calibri" w:hAnsi="Calibri" w:cs="Calibri"/>
          <w:b/>
          <w:bCs/>
        </w:rPr>
        <w:t xml:space="preserve"> 2024.</w:t>
      </w:r>
    </w:p>
    <w:p w14:paraId="4977F986" w14:textId="45DE2519" w:rsidR="00877EE0" w:rsidRPr="002D014E" w:rsidRDefault="00877EE0" w:rsidP="004474F5">
      <w:pPr>
        <w:spacing w:line="240" w:lineRule="auto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t>Casos cerrados en servicios de telefonía detallados por motivo, enero-junio 2024.</w:t>
      </w:r>
    </w:p>
    <w:tbl>
      <w:tblPr>
        <w:tblStyle w:val="Tablaconcuadrcula1clara-nfasis4"/>
        <w:tblW w:w="7580" w:type="dxa"/>
        <w:tblLook w:val="04A0" w:firstRow="1" w:lastRow="0" w:firstColumn="1" w:lastColumn="0" w:noHBand="0" w:noVBand="1"/>
      </w:tblPr>
      <w:tblGrid>
        <w:gridCol w:w="4880"/>
        <w:gridCol w:w="2700"/>
      </w:tblGrid>
      <w:tr w:rsidR="00877EE0" w:rsidRPr="002D014E" w14:paraId="488BBD07" w14:textId="77777777" w:rsidTr="00877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shd w:val="clear" w:color="auto" w:fill="002060"/>
            <w:noWrap/>
            <w:hideMark/>
          </w:tcPr>
          <w:p w14:paraId="74703DFB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  <w:t>Motivo</w:t>
            </w:r>
          </w:p>
        </w:tc>
        <w:tc>
          <w:tcPr>
            <w:tcW w:w="2700" w:type="dxa"/>
            <w:shd w:val="clear" w:color="auto" w:fill="002060"/>
            <w:noWrap/>
            <w:hideMark/>
          </w:tcPr>
          <w:p w14:paraId="1106AF9C" w14:textId="77777777" w:rsidR="00877EE0" w:rsidRPr="002D014E" w:rsidRDefault="00877EE0" w:rsidP="00447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  <w:t>Casos cerrados</w:t>
            </w:r>
          </w:p>
        </w:tc>
      </w:tr>
      <w:tr w:rsidR="00877EE0" w:rsidRPr="002D014E" w14:paraId="2ADAAA8D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noWrap/>
            <w:hideMark/>
          </w:tcPr>
          <w:p w14:paraId="33DF88B7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Incumplimiento de contrato u oferta</w:t>
            </w:r>
          </w:p>
        </w:tc>
        <w:tc>
          <w:tcPr>
            <w:tcW w:w="2700" w:type="dxa"/>
            <w:noWrap/>
            <w:hideMark/>
          </w:tcPr>
          <w:p w14:paraId="218C9FC9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359</w:t>
            </w:r>
          </w:p>
        </w:tc>
      </w:tr>
      <w:tr w:rsidR="00877EE0" w:rsidRPr="002D014E" w14:paraId="3BAE680F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noWrap/>
            <w:hideMark/>
          </w:tcPr>
          <w:p w14:paraId="21CDB678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Derecho de retracto y desistimiento de compra</w:t>
            </w:r>
          </w:p>
        </w:tc>
        <w:tc>
          <w:tcPr>
            <w:tcW w:w="2700" w:type="dxa"/>
            <w:noWrap/>
            <w:hideMark/>
          </w:tcPr>
          <w:p w14:paraId="6BDDEBDD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269</w:t>
            </w:r>
          </w:p>
        </w:tc>
      </w:tr>
      <w:tr w:rsidR="00877EE0" w:rsidRPr="002D014E" w14:paraId="5BAB26F1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noWrap/>
            <w:hideMark/>
          </w:tcPr>
          <w:p w14:paraId="2CDADB25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Cobros, cargos y comisiones indebidas</w:t>
            </w:r>
          </w:p>
        </w:tc>
        <w:tc>
          <w:tcPr>
            <w:tcW w:w="2700" w:type="dxa"/>
            <w:noWrap/>
            <w:hideMark/>
          </w:tcPr>
          <w:p w14:paraId="6315F028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123</w:t>
            </w:r>
          </w:p>
        </w:tc>
      </w:tr>
      <w:tr w:rsidR="00877EE0" w:rsidRPr="002D014E" w14:paraId="5AFB702F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noWrap/>
            <w:hideMark/>
          </w:tcPr>
          <w:p w14:paraId="5001C16B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Mala calidad del producto o servicio</w:t>
            </w:r>
          </w:p>
        </w:tc>
        <w:tc>
          <w:tcPr>
            <w:tcW w:w="2700" w:type="dxa"/>
            <w:noWrap/>
            <w:hideMark/>
          </w:tcPr>
          <w:p w14:paraId="6E6605DA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31</w:t>
            </w:r>
          </w:p>
        </w:tc>
      </w:tr>
      <w:tr w:rsidR="00877EE0" w:rsidRPr="002D014E" w14:paraId="4CC148B1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noWrap/>
            <w:hideMark/>
          </w:tcPr>
          <w:p w14:paraId="7B0B9BCE" w14:textId="1139DB3E" w:rsidR="00877EE0" w:rsidRPr="002D014E" w:rsidRDefault="00877EE0" w:rsidP="004474F5">
            <w:pP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Los demás motivos</w:t>
            </w:r>
          </w:p>
        </w:tc>
        <w:tc>
          <w:tcPr>
            <w:tcW w:w="2700" w:type="dxa"/>
            <w:noWrap/>
            <w:hideMark/>
          </w:tcPr>
          <w:p w14:paraId="07651AC9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97</w:t>
            </w:r>
          </w:p>
        </w:tc>
      </w:tr>
      <w:tr w:rsidR="00877EE0" w:rsidRPr="002D014E" w14:paraId="74D5556F" w14:textId="77777777" w:rsidTr="00877E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shd w:val="clear" w:color="auto" w:fill="002060"/>
            <w:noWrap/>
            <w:hideMark/>
          </w:tcPr>
          <w:p w14:paraId="2E0E8691" w14:textId="77777777" w:rsidR="00877EE0" w:rsidRPr="002D014E" w:rsidRDefault="00877EE0" w:rsidP="004474F5">
            <w:pPr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2700" w:type="dxa"/>
            <w:shd w:val="clear" w:color="auto" w:fill="002060"/>
            <w:noWrap/>
            <w:hideMark/>
          </w:tcPr>
          <w:p w14:paraId="7E4D4176" w14:textId="77777777" w:rsidR="00877EE0" w:rsidRPr="002D014E" w:rsidRDefault="00877EE0" w:rsidP="004474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</w:pPr>
            <w:r w:rsidRPr="002D014E">
              <w:rPr>
                <w:rFonts w:ascii="Calibri" w:eastAsia="Times New Roman" w:hAnsi="Calibri" w:cs="Calibri"/>
                <w:color w:val="FFFFFF" w:themeColor="background1"/>
                <w:kern w:val="0"/>
                <w:lang w:eastAsia="es-SV"/>
                <w14:ligatures w14:val="none"/>
              </w:rPr>
              <w:t>879</w:t>
            </w:r>
          </w:p>
        </w:tc>
      </w:tr>
    </w:tbl>
    <w:p w14:paraId="6FC2648B" w14:textId="77777777" w:rsidR="00007387" w:rsidRPr="00007387" w:rsidRDefault="00007387" w:rsidP="00007387">
      <w:pPr>
        <w:spacing w:line="240" w:lineRule="auto"/>
        <w:ind w:right="1325"/>
        <w:jc w:val="both"/>
        <w:rPr>
          <w:rFonts w:ascii="Arial" w:hAnsi="Arial" w:cs="Arial"/>
          <w:b/>
          <w:bCs/>
          <w:sz w:val="18"/>
        </w:rPr>
      </w:pPr>
      <w:r w:rsidRPr="00007387">
        <w:rPr>
          <w:rFonts w:ascii="Arial" w:hAnsi="Arial" w:cs="Arial"/>
          <w:b/>
          <w:bCs/>
          <w:sz w:val="18"/>
        </w:rPr>
        <w:t xml:space="preserve">Nota. </w:t>
      </w:r>
      <w:r w:rsidRPr="00007387">
        <w:rPr>
          <w:rFonts w:ascii="Arial" w:hAnsi="Arial" w:cs="Arial"/>
          <w:color w:val="222222"/>
          <w:sz w:val="18"/>
          <w:shd w:val="clear" w:color="auto" w:fill="FFFFFF"/>
        </w:rPr>
        <w:t>Dentro del sistema no se puede identificar si la queja corresponde al servicio de internet o servicios de telefonía en general, el detalle corresponde a las denuncias del proveedor que se ha identificado, que brinda servicios de internet o servicios de telefonía.</w:t>
      </w:r>
    </w:p>
    <w:p w14:paraId="21AD48FC" w14:textId="7733B65E" w:rsidR="00877EE0" w:rsidRPr="002D014E" w:rsidRDefault="00877EE0" w:rsidP="00FD7010">
      <w:pPr>
        <w:spacing w:line="240" w:lineRule="auto"/>
        <w:ind w:left="1701"/>
        <w:jc w:val="center"/>
        <w:rPr>
          <w:rFonts w:ascii="Calibri" w:hAnsi="Calibri" w:cs="Calibri"/>
          <w:b/>
          <w:bCs/>
        </w:rPr>
      </w:pPr>
      <w:r w:rsidRPr="002D014E">
        <w:rPr>
          <w:rFonts w:ascii="Calibri" w:hAnsi="Calibri" w:cs="Calibri"/>
          <w:b/>
          <w:bCs/>
        </w:rPr>
        <w:t xml:space="preserve">Fuente: </w:t>
      </w:r>
      <w:r w:rsidR="00A760E3" w:rsidRPr="002D014E">
        <w:rPr>
          <w:rFonts w:ascii="Calibri" w:hAnsi="Calibri" w:cs="Calibri"/>
          <w:b/>
          <w:bCs/>
        </w:rPr>
        <w:t>Dirección de Estudios de Consumo</w:t>
      </w:r>
      <w:r w:rsidR="00D001A2">
        <w:rPr>
          <w:rFonts w:ascii="Calibri" w:hAnsi="Calibri" w:cs="Calibri"/>
          <w:b/>
          <w:bCs/>
        </w:rPr>
        <w:t>,</w:t>
      </w:r>
      <w:r w:rsidR="00FD7010">
        <w:rPr>
          <w:rFonts w:ascii="Calibri" w:hAnsi="Calibri" w:cs="Calibri"/>
          <w:b/>
          <w:bCs/>
        </w:rPr>
        <w:t xml:space="preserve"> </w:t>
      </w:r>
      <w:r w:rsidR="00A760E3" w:rsidRPr="002D014E">
        <w:rPr>
          <w:rFonts w:ascii="Calibri" w:hAnsi="Calibri" w:cs="Calibri"/>
          <w:b/>
          <w:bCs/>
        </w:rPr>
        <w:t>2024.</w:t>
      </w:r>
    </w:p>
    <w:p w14:paraId="32EAB87A" w14:textId="5180507C" w:rsidR="00CC3AA6" w:rsidRPr="002D014E" w:rsidRDefault="00CC3AA6" w:rsidP="004474F5">
      <w:pPr>
        <w:spacing w:line="240" w:lineRule="auto"/>
        <w:jc w:val="both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lastRenderedPageBreak/>
        <w:t>3. ¿Cuántos reclamos en materia de telecomunicaciones (Telefonía Móvil e internet residencial) se han resuelto favorablemente a los consumidores, mediante medios alternos de solución de conflictos</w:t>
      </w:r>
      <w:r w:rsidR="00A760E3" w:rsidRPr="002D014E">
        <w:rPr>
          <w:rFonts w:ascii="Calibri" w:hAnsi="Calibri" w:cs="Calibri"/>
          <w:b/>
          <w:bCs/>
          <w:lang w:val="es-ES_tradnl"/>
        </w:rPr>
        <w:t xml:space="preserve"> y mediante resoluciones del Tribunal Sancionador de la Defensoría del Consumidor, </w:t>
      </w:r>
      <w:r w:rsidRPr="002D014E">
        <w:rPr>
          <w:rFonts w:ascii="Calibri" w:hAnsi="Calibri" w:cs="Calibri"/>
          <w:b/>
          <w:bCs/>
          <w:lang w:val="es-ES_tradnl"/>
        </w:rPr>
        <w:t>en el periodo de enero a junio de 2024?</w:t>
      </w:r>
    </w:p>
    <w:p w14:paraId="4FE4A8BF" w14:textId="77777777" w:rsidR="00A760E3" w:rsidRPr="002D014E" w:rsidRDefault="00A760E3" w:rsidP="004474F5">
      <w:pPr>
        <w:spacing w:line="240" w:lineRule="auto"/>
        <w:rPr>
          <w:rFonts w:ascii="Calibri" w:hAnsi="Calibri" w:cs="Calibri"/>
          <w:lang w:val="es-ES_tradnl"/>
        </w:rPr>
      </w:pPr>
      <w:r w:rsidRPr="002D014E">
        <w:rPr>
          <w:rFonts w:ascii="Calibri" w:hAnsi="Calibri" w:cs="Calibri"/>
          <w:lang w:val="es-ES_tradnl"/>
        </w:rPr>
        <w:t>Respuesta:</w:t>
      </w:r>
    </w:p>
    <w:p w14:paraId="30A66CD1" w14:textId="1400CF13" w:rsidR="00A760E3" w:rsidRPr="002D014E" w:rsidRDefault="00A760E3" w:rsidP="004474F5">
      <w:pPr>
        <w:pStyle w:val="Prrafodelista"/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lang w:val="es-ES_tradnl"/>
        </w:rPr>
      </w:pPr>
      <w:r w:rsidRPr="002D014E">
        <w:rPr>
          <w:rFonts w:ascii="Calibri" w:hAnsi="Calibri" w:cs="Calibri"/>
          <w:lang w:val="es-ES_tradnl"/>
        </w:rPr>
        <w:t>Medios Alternos de Solución de Controversias</w:t>
      </w:r>
    </w:p>
    <w:p w14:paraId="5C3EEB6F" w14:textId="6C77CF0D" w:rsidR="00A66230" w:rsidRPr="002D014E" w:rsidRDefault="00A66230" w:rsidP="004474F5">
      <w:pPr>
        <w:spacing w:line="240" w:lineRule="auto"/>
        <w:rPr>
          <w:rFonts w:ascii="Calibri" w:hAnsi="Calibri" w:cs="Calibri"/>
          <w:lang w:val="es-ES_tradnl"/>
        </w:rPr>
      </w:pPr>
      <w:r w:rsidRPr="002D014E">
        <w:rPr>
          <w:rFonts w:ascii="Calibri" w:hAnsi="Calibri" w:cs="Calibri"/>
          <w:lang w:val="es-ES_tradnl"/>
        </w:rPr>
        <w:t>En el periodo enero-junio 2024 se han cerrado un total de 655 casos con montos favorables para el consumidor</w:t>
      </w:r>
      <w:r w:rsidR="00A760E3" w:rsidRPr="002D014E">
        <w:rPr>
          <w:rFonts w:ascii="Calibri" w:hAnsi="Calibri" w:cs="Calibri"/>
          <w:lang w:val="es-ES_tradnl"/>
        </w:rPr>
        <w:t>.</w:t>
      </w:r>
    </w:p>
    <w:p w14:paraId="4B4F15BD" w14:textId="50E6D9E5" w:rsidR="00A760E3" w:rsidRPr="002D014E" w:rsidRDefault="00A760E3" w:rsidP="00D001A2">
      <w:pPr>
        <w:spacing w:line="240" w:lineRule="auto"/>
        <w:jc w:val="right"/>
        <w:rPr>
          <w:rFonts w:ascii="Calibri" w:hAnsi="Calibri" w:cs="Calibri"/>
          <w:b/>
          <w:bCs/>
          <w:lang w:val="es-ES_tradnl"/>
        </w:rPr>
      </w:pPr>
      <w:r w:rsidRPr="002D014E">
        <w:rPr>
          <w:rFonts w:ascii="Calibri" w:hAnsi="Calibri" w:cs="Calibri"/>
          <w:b/>
          <w:bCs/>
          <w:lang w:val="es-ES_tradnl"/>
        </w:rPr>
        <w:t>Fuente: Dirección de Estudios de Consumo</w:t>
      </w:r>
      <w:r w:rsidR="00D001A2">
        <w:rPr>
          <w:rFonts w:ascii="Calibri" w:hAnsi="Calibri" w:cs="Calibri"/>
          <w:b/>
          <w:bCs/>
          <w:lang w:val="es-ES_tradnl"/>
        </w:rPr>
        <w:t>,</w:t>
      </w:r>
      <w:r w:rsidRPr="002D014E">
        <w:rPr>
          <w:rFonts w:ascii="Calibri" w:hAnsi="Calibri" w:cs="Calibri"/>
          <w:b/>
          <w:bCs/>
          <w:lang w:val="es-ES_tradnl"/>
        </w:rPr>
        <w:t xml:space="preserve"> 2024.</w:t>
      </w:r>
    </w:p>
    <w:p w14:paraId="606A8780" w14:textId="5DC8E2CA" w:rsidR="00A760E3" w:rsidRPr="002D014E" w:rsidRDefault="00A760E3" w:rsidP="004474F5">
      <w:pPr>
        <w:pStyle w:val="Prrafodelista"/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lang w:val="es-ES_tradnl"/>
        </w:rPr>
      </w:pPr>
      <w:r w:rsidRPr="002D014E">
        <w:rPr>
          <w:rFonts w:ascii="Calibri" w:hAnsi="Calibri" w:cs="Calibri"/>
          <w:lang w:val="es-ES_tradnl"/>
        </w:rPr>
        <w:t>Tribunal Sancionador</w:t>
      </w:r>
    </w:p>
    <w:p w14:paraId="3F061379" w14:textId="77777777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 xml:space="preserve">En el sistema informático interno módulo Tribunal Sancionador de la Defensoría del Consumidor, no existen reportes por materia, rubros o giros de los proveedores. </w:t>
      </w:r>
    </w:p>
    <w:p w14:paraId="32948821" w14:textId="75519718" w:rsidR="004474F5" w:rsidRPr="002D014E" w:rsidRDefault="004474F5" w:rsidP="00007387">
      <w:pPr>
        <w:spacing w:line="240" w:lineRule="auto"/>
        <w:jc w:val="right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>Fuente: Secretaría del Tribunal Sancionador</w:t>
      </w:r>
      <w:r w:rsidR="00D001A2">
        <w:rPr>
          <w:rFonts w:ascii="Calibri" w:hAnsi="Calibri" w:cs="Calibri"/>
          <w:b/>
          <w:bCs/>
          <w:color w:val="222222"/>
          <w:shd w:val="clear" w:color="auto" w:fill="FFFFFF"/>
        </w:rPr>
        <w:t>,</w:t>
      </w: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2024.</w:t>
      </w:r>
    </w:p>
    <w:p w14:paraId="2C6DDF5E" w14:textId="77777777" w:rsidR="004474F5" w:rsidRPr="002D014E" w:rsidRDefault="004474F5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s-ES_tradnl" w:eastAsia="es-MX"/>
          <w14:ligatures w14:val="none"/>
        </w:rPr>
      </w:pPr>
    </w:p>
    <w:p w14:paraId="3BD04904" w14:textId="01BF8C16" w:rsidR="004474F5" w:rsidRPr="002D014E" w:rsidRDefault="004474F5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val="es-MX" w:eastAsia="es-MX"/>
          <w14:ligatures w14:val="none"/>
        </w:rPr>
      </w:pPr>
      <w:r w:rsidRPr="002D014E">
        <w:rPr>
          <w:rFonts w:ascii="Calibri" w:eastAsia="Times New Roman" w:hAnsi="Calibri" w:cs="Calibri"/>
          <w:b/>
          <w:bCs/>
          <w:color w:val="000000"/>
          <w:kern w:val="0"/>
          <w:lang w:val="es-ES_tradnl" w:eastAsia="es-MX"/>
          <w14:ligatures w14:val="none"/>
        </w:rPr>
        <w:t>4. ¿Cuántas resoluciones en materia de telecomunicaciones (Telefonía Móvil e internet residencial) ha emitido el Tribunal Sancionador de la Defensoría del Consumidor, en el periodo de enero a junio de 2024?</w:t>
      </w:r>
    </w:p>
    <w:p w14:paraId="1B43F605" w14:textId="1941E24E" w:rsidR="00007387" w:rsidRDefault="00007387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val="es-ES_tradnl" w:eastAsia="es-MX"/>
          <w14:ligatures w14:val="none"/>
        </w:rPr>
      </w:pPr>
    </w:p>
    <w:p w14:paraId="0F937E90" w14:textId="77777777" w:rsidR="00007387" w:rsidRPr="002D014E" w:rsidRDefault="00007387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kern w:val="0"/>
          <w:lang w:val="es-ES_tradnl" w:eastAsia="es-MX"/>
          <w14:ligatures w14:val="none"/>
        </w:rPr>
      </w:pPr>
    </w:p>
    <w:p w14:paraId="32BF01C6" w14:textId="77777777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>Respuesta:</w:t>
      </w:r>
    </w:p>
    <w:p w14:paraId="46DE6B6B" w14:textId="3CF58A14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 xml:space="preserve">En el sistema informático interno módulo Tribunal Sancionador de la Defensoría del Consumidor, no existen reportes por materia, rubros o giros de los proveedores. </w:t>
      </w:r>
    </w:p>
    <w:p w14:paraId="4FF30F69" w14:textId="681004F7" w:rsidR="004474F5" w:rsidRPr="002D014E" w:rsidRDefault="004474F5" w:rsidP="00007387">
      <w:pPr>
        <w:spacing w:line="240" w:lineRule="auto"/>
        <w:jc w:val="right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>Fuente: Secretaría del Tribunal Sancionador</w:t>
      </w:r>
      <w:r w:rsidR="00D001A2">
        <w:rPr>
          <w:rFonts w:ascii="Calibri" w:hAnsi="Calibri" w:cs="Calibri"/>
          <w:b/>
          <w:bCs/>
          <w:color w:val="222222"/>
          <w:shd w:val="clear" w:color="auto" w:fill="FFFFFF"/>
        </w:rPr>
        <w:t>,</w:t>
      </w: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2024.</w:t>
      </w:r>
    </w:p>
    <w:p w14:paraId="018ADA1E" w14:textId="77777777" w:rsidR="004474F5" w:rsidRPr="002D014E" w:rsidRDefault="004474F5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val="es-MX" w:eastAsia="es-MX"/>
          <w14:ligatures w14:val="none"/>
        </w:rPr>
      </w:pPr>
    </w:p>
    <w:p w14:paraId="1E78C994" w14:textId="77777777" w:rsidR="004474F5" w:rsidRPr="002D014E" w:rsidRDefault="004474F5" w:rsidP="004474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val="es-MX" w:eastAsia="es-MX"/>
          <w14:ligatures w14:val="none"/>
        </w:rPr>
      </w:pPr>
      <w:r w:rsidRPr="002D014E">
        <w:rPr>
          <w:rFonts w:ascii="Calibri" w:eastAsia="Times New Roman" w:hAnsi="Calibri" w:cs="Calibri"/>
          <w:b/>
          <w:bCs/>
          <w:color w:val="000000"/>
          <w:kern w:val="0"/>
          <w:lang w:val="es-ES_tradnl" w:eastAsia="es-MX"/>
          <w14:ligatures w14:val="none"/>
        </w:rPr>
        <w:t>5. ¿A dónde se pueden consultar las resoluciones del Tribunal Sancionador de la Defensoría del Consumidor?</w:t>
      </w:r>
    </w:p>
    <w:p w14:paraId="4A1FD4AE" w14:textId="39A0BA0A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</w:p>
    <w:p w14:paraId="660DDB83" w14:textId="7D15011C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>Respuesta:</w:t>
      </w:r>
    </w:p>
    <w:p w14:paraId="3F99462D" w14:textId="66C3534C" w:rsidR="004474F5" w:rsidRPr="002D014E" w:rsidRDefault="004474F5" w:rsidP="004474F5">
      <w:pPr>
        <w:spacing w:line="240" w:lineRule="auto"/>
        <w:jc w:val="both"/>
        <w:rPr>
          <w:rFonts w:ascii="Calibri" w:hAnsi="Calibri" w:cs="Calibri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 xml:space="preserve">Por tanto, el solicitante puede descargar la información que es de su interés, desde el </w:t>
      </w:r>
      <w:r w:rsidR="002D014E" w:rsidRPr="002D014E">
        <w:rPr>
          <w:rFonts w:ascii="Calibri" w:hAnsi="Calibri" w:cs="Calibri"/>
          <w:color w:val="222222"/>
          <w:shd w:val="clear" w:color="auto" w:fill="FFFFFF"/>
        </w:rPr>
        <w:t>P</w:t>
      </w:r>
      <w:r w:rsidRPr="002D014E">
        <w:rPr>
          <w:rFonts w:ascii="Calibri" w:hAnsi="Calibri" w:cs="Calibri"/>
          <w:color w:val="222222"/>
          <w:shd w:val="clear" w:color="auto" w:fill="FFFFFF"/>
        </w:rPr>
        <w:t xml:space="preserve">ortal de </w:t>
      </w:r>
      <w:r w:rsidR="002D014E" w:rsidRPr="002D014E">
        <w:rPr>
          <w:rFonts w:ascii="Calibri" w:hAnsi="Calibri" w:cs="Calibri"/>
          <w:color w:val="222222"/>
          <w:shd w:val="clear" w:color="auto" w:fill="FFFFFF"/>
        </w:rPr>
        <w:t>T</w:t>
      </w:r>
      <w:r w:rsidRPr="002D014E">
        <w:rPr>
          <w:rFonts w:ascii="Calibri" w:hAnsi="Calibri" w:cs="Calibri"/>
          <w:color w:val="222222"/>
          <w:shd w:val="clear" w:color="auto" w:fill="FFFFFF"/>
        </w:rPr>
        <w:t>ransparencia que se encuentra en el sitio web de la Defensoría del Consumidor (www.defensoria.gob.sv).</w:t>
      </w:r>
    </w:p>
    <w:p w14:paraId="3AA307C9" w14:textId="0BEA4BE7" w:rsidR="004474F5" w:rsidRPr="002D014E" w:rsidRDefault="004474F5" w:rsidP="00007387">
      <w:pPr>
        <w:spacing w:line="240" w:lineRule="auto"/>
        <w:jc w:val="right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>Fuente: Secretaría del Tribunal Sancionador</w:t>
      </w:r>
      <w:r w:rsidR="00D001A2">
        <w:rPr>
          <w:rFonts w:ascii="Calibri" w:hAnsi="Calibri" w:cs="Calibri"/>
          <w:b/>
          <w:bCs/>
          <w:color w:val="222222"/>
          <w:shd w:val="clear" w:color="auto" w:fill="FFFFFF"/>
        </w:rPr>
        <w:t xml:space="preserve">, </w:t>
      </w:r>
      <w:r w:rsidRPr="002D014E">
        <w:rPr>
          <w:rFonts w:ascii="Calibri" w:hAnsi="Calibri" w:cs="Calibri"/>
          <w:b/>
          <w:bCs/>
          <w:color w:val="222222"/>
          <w:shd w:val="clear" w:color="auto" w:fill="FFFFFF"/>
        </w:rPr>
        <w:t>2024.</w:t>
      </w:r>
    </w:p>
    <w:p w14:paraId="5854A069" w14:textId="77777777" w:rsidR="002D014E" w:rsidRPr="002D014E" w:rsidRDefault="002D014E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 xml:space="preserve">Las resoluciones finales en versión pública, pueden consultarse y/o descargarse en el siguiente enlace electrónico: </w:t>
      </w:r>
    </w:p>
    <w:p w14:paraId="1DC592B1" w14:textId="461744F9" w:rsidR="004474F5" w:rsidRPr="002D014E" w:rsidRDefault="00FF791C" w:rsidP="00D001A2">
      <w:pPr>
        <w:spacing w:line="240" w:lineRule="auto"/>
        <w:jc w:val="center"/>
        <w:rPr>
          <w:rFonts w:ascii="Calibri" w:hAnsi="Calibri" w:cs="Calibri"/>
          <w:color w:val="222222"/>
          <w:shd w:val="clear" w:color="auto" w:fill="FFFFFF"/>
        </w:rPr>
      </w:pPr>
      <w:hyperlink r:id="rId8" w:history="1">
        <w:r w:rsidR="002D014E" w:rsidRPr="002D014E">
          <w:rPr>
            <w:rStyle w:val="Hipervnculo"/>
            <w:rFonts w:ascii="Calibri" w:hAnsi="Calibri" w:cs="Calibri"/>
            <w:shd w:val="clear" w:color="auto" w:fill="FFFFFF"/>
          </w:rPr>
          <w:t>https://www.transparencia.gob.sv/institutions/dc/documents/resoluciones-ejecutoriadas</w:t>
        </w:r>
      </w:hyperlink>
    </w:p>
    <w:p w14:paraId="67023931" w14:textId="0FFE730B" w:rsidR="002D014E" w:rsidRPr="002D014E" w:rsidRDefault="002D014E" w:rsidP="004474F5">
      <w:pPr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2D014E">
        <w:rPr>
          <w:rFonts w:ascii="Calibri" w:hAnsi="Calibri" w:cs="Calibri"/>
          <w:color w:val="222222"/>
          <w:shd w:val="clear" w:color="auto" w:fill="FFFFFF"/>
        </w:rPr>
        <w:t>En cada una, se muestra el detalle de la infracción contra la Ley de Protección al Consumidor sobre la cual se emitieron.</w:t>
      </w:r>
    </w:p>
    <w:sectPr w:rsidR="002D014E" w:rsidRPr="002D014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88DF" w14:textId="77777777" w:rsidR="00A760E3" w:rsidRDefault="00A760E3" w:rsidP="00A760E3">
      <w:pPr>
        <w:spacing w:after="0" w:line="240" w:lineRule="auto"/>
      </w:pPr>
      <w:r>
        <w:separator/>
      </w:r>
    </w:p>
  </w:endnote>
  <w:endnote w:type="continuationSeparator" w:id="0">
    <w:p w14:paraId="251FD939" w14:textId="77777777" w:rsidR="00A760E3" w:rsidRDefault="00A760E3" w:rsidP="00A7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700" w14:textId="77777777" w:rsidR="00A760E3" w:rsidRDefault="00A760E3" w:rsidP="00A760E3">
      <w:pPr>
        <w:spacing w:after="0" w:line="240" w:lineRule="auto"/>
      </w:pPr>
      <w:r>
        <w:separator/>
      </w:r>
    </w:p>
  </w:footnote>
  <w:footnote w:type="continuationSeparator" w:id="0">
    <w:p w14:paraId="00B92246" w14:textId="77777777" w:rsidR="00A760E3" w:rsidRDefault="00A760E3" w:rsidP="00A7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D94A" w14:textId="4A59738B" w:rsidR="00A760E3" w:rsidRPr="00A760E3" w:rsidRDefault="00A760E3" w:rsidP="00A760E3">
    <w:pPr>
      <w:pStyle w:val="Encabezado"/>
      <w:jc w:val="center"/>
      <w:rPr>
        <w:b/>
        <w:bCs/>
        <w:sz w:val="26"/>
        <w:szCs w:val="28"/>
      </w:rPr>
    </w:pPr>
    <w:r w:rsidRPr="00A760E3">
      <w:rPr>
        <w:b/>
        <w:bCs/>
        <w:sz w:val="26"/>
        <w:szCs w:val="28"/>
      </w:rPr>
      <w:t>SOLICITUD DE INFORMACIÓN PÚBLICA NÚMERO SIP 1409.2024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7525"/>
    <w:multiLevelType w:val="hybridMultilevel"/>
    <w:tmpl w:val="CDDC10E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97"/>
    <w:rsid w:val="00007387"/>
    <w:rsid w:val="00236437"/>
    <w:rsid w:val="002D014E"/>
    <w:rsid w:val="003B5E2F"/>
    <w:rsid w:val="004239D6"/>
    <w:rsid w:val="004474F5"/>
    <w:rsid w:val="005E0AB4"/>
    <w:rsid w:val="007A2C7C"/>
    <w:rsid w:val="00877EE0"/>
    <w:rsid w:val="00A65763"/>
    <w:rsid w:val="00A66230"/>
    <w:rsid w:val="00A760E3"/>
    <w:rsid w:val="00A77B3B"/>
    <w:rsid w:val="00AF702E"/>
    <w:rsid w:val="00BC30E5"/>
    <w:rsid w:val="00CC3AA6"/>
    <w:rsid w:val="00D001A2"/>
    <w:rsid w:val="00ED2FF2"/>
    <w:rsid w:val="00EE5597"/>
    <w:rsid w:val="00FD7010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A9B9"/>
  <w15:chartTrackingRefBased/>
  <w15:docId w15:val="{3ECCA2D9-3473-4AED-BD8F-5773498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5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5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5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55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5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5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5597"/>
    <w:rPr>
      <w:b/>
      <w:bCs/>
      <w:smallCaps/>
      <w:color w:val="0F4761" w:themeColor="accent1" w:themeShade="BF"/>
      <w:spacing w:val="5"/>
    </w:rPr>
  </w:style>
  <w:style w:type="table" w:styleId="Tablaconcuadrcula1clara-nfasis4">
    <w:name w:val="Grid Table 1 Light Accent 4"/>
    <w:basedOn w:val="Tablanormal"/>
    <w:uiPriority w:val="46"/>
    <w:rsid w:val="00877EE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A76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0E3"/>
  </w:style>
  <w:style w:type="paragraph" w:styleId="Piedepgina">
    <w:name w:val="footer"/>
    <w:basedOn w:val="Normal"/>
    <w:link w:val="PiedepginaCar"/>
    <w:uiPriority w:val="99"/>
    <w:unhideWhenUsed/>
    <w:rsid w:val="00A76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0E3"/>
  </w:style>
  <w:style w:type="character" w:styleId="Hipervnculo">
    <w:name w:val="Hyperlink"/>
    <w:basedOn w:val="Fuentedeprrafopredeter"/>
    <w:uiPriority w:val="99"/>
    <w:unhideWhenUsed/>
    <w:rsid w:val="002D01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dc/documents/resoluciones-ejecutoriad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7983-CE43-4A27-A224-13C7DEF3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2024-10-01T14:03:00Z</dcterms:created>
  <dcterms:modified xsi:type="dcterms:W3CDTF">2024-10-01T17:54:00Z</dcterms:modified>
</cp:coreProperties>
</file>