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143" w:rsidRPr="009B2C37" w:rsidRDefault="00E45143" w:rsidP="00E45143">
      <w:pPr>
        <w:spacing w:before="120" w:after="120" w:line="360" w:lineRule="auto"/>
        <w:jc w:val="center"/>
        <w:rPr>
          <w:rFonts w:ascii="Arial" w:hAnsi="Arial" w:cs="Arial"/>
          <w:b/>
          <w:sz w:val="20"/>
          <w:szCs w:val="20"/>
          <w:lang w:val="es-MX"/>
        </w:rPr>
      </w:pPr>
      <w:r>
        <w:rPr>
          <w:rFonts w:ascii="Arial" w:hAnsi="Arial" w:cs="Arial"/>
          <w:b/>
          <w:sz w:val="20"/>
          <w:szCs w:val="20"/>
          <w:lang w:val="es-MX"/>
        </w:rPr>
        <w:t>ACTA N° 6</w:t>
      </w:r>
      <w:r w:rsidRPr="009B2C37">
        <w:rPr>
          <w:rFonts w:ascii="Arial" w:hAnsi="Arial" w:cs="Arial"/>
          <w:b/>
          <w:sz w:val="20"/>
          <w:szCs w:val="20"/>
          <w:lang w:val="es-MX"/>
        </w:rPr>
        <w:t>/ 202</w:t>
      </w:r>
      <w:r>
        <w:rPr>
          <w:rFonts w:ascii="Arial" w:hAnsi="Arial" w:cs="Arial"/>
          <w:b/>
          <w:sz w:val="20"/>
          <w:szCs w:val="20"/>
          <w:lang w:val="es-MX"/>
        </w:rPr>
        <w:t>2</w:t>
      </w:r>
    </w:p>
    <w:p w:rsidR="00E45143" w:rsidRPr="009B2C37" w:rsidRDefault="00E45143" w:rsidP="00E45143">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E45143" w:rsidRPr="009B2C37" w:rsidRDefault="00E45143" w:rsidP="00E45143">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E45143" w:rsidRPr="002E69AD" w:rsidRDefault="00E45143" w:rsidP="00E45143">
      <w:pPr>
        <w:jc w:val="both"/>
        <w:rPr>
          <w:rFonts w:ascii="Arial" w:hAnsi="Arial" w:cs="Arial"/>
          <w:sz w:val="20"/>
          <w:szCs w:val="20"/>
        </w:rPr>
      </w:pPr>
      <w:r w:rsidRPr="009B2C37">
        <w:rPr>
          <w:rFonts w:ascii="Arial" w:hAnsi="Arial" w:cs="Arial"/>
          <w:b/>
          <w:sz w:val="20"/>
          <w:szCs w:val="20"/>
        </w:rPr>
        <w:t xml:space="preserve">ACTA NÚMERO </w:t>
      </w:r>
      <w:r>
        <w:rPr>
          <w:rFonts w:ascii="Arial" w:hAnsi="Arial" w:cs="Arial"/>
          <w:b/>
          <w:sz w:val="20"/>
          <w:szCs w:val="20"/>
        </w:rPr>
        <w:t xml:space="preserve">SEIS </w:t>
      </w:r>
      <w:r w:rsidRPr="009B2C37">
        <w:rPr>
          <w:rFonts w:ascii="Arial" w:hAnsi="Arial" w:cs="Arial"/>
          <w:b/>
          <w:sz w:val="20"/>
          <w:szCs w:val="20"/>
        </w:rPr>
        <w:t>/ DOS MIL VEINTI</w:t>
      </w:r>
      <w:r>
        <w:rPr>
          <w:rFonts w:ascii="Arial" w:hAnsi="Arial" w:cs="Arial"/>
          <w:b/>
          <w:sz w:val="20"/>
          <w:szCs w:val="20"/>
        </w:rPr>
        <w:t>DÓS</w:t>
      </w:r>
      <w:r w:rsidRPr="009B2C37">
        <w:rPr>
          <w:rFonts w:ascii="Arial" w:hAnsi="Arial" w:cs="Arial"/>
          <w:b/>
          <w:sz w:val="20"/>
          <w:szCs w:val="20"/>
        </w:rPr>
        <w:t>.</w:t>
      </w:r>
      <w:r w:rsidRPr="009B2C37">
        <w:rPr>
          <w:rFonts w:ascii="Arial" w:hAnsi="Arial" w:cs="Arial"/>
          <w:sz w:val="20"/>
          <w:szCs w:val="20"/>
        </w:rPr>
        <w:t xml:space="preserve"> </w:t>
      </w:r>
      <w:r>
        <w:rPr>
          <w:rFonts w:ascii="Arial" w:hAnsi="Arial" w:cs="Arial"/>
          <w:sz w:val="20"/>
          <w:szCs w:val="20"/>
        </w:rPr>
        <w:t xml:space="preserve">En la plataforma virtual de la Defensoría del Consumidor, </w:t>
      </w:r>
      <w:r w:rsidRPr="009B2C37">
        <w:rPr>
          <w:rFonts w:ascii="Arial" w:hAnsi="Arial" w:cs="Arial"/>
          <w:sz w:val="20"/>
          <w:szCs w:val="20"/>
        </w:rPr>
        <w:t xml:space="preserve">a las </w:t>
      </w:r>
      <w:r>
        <w:rPr>
          <w:rFonts w:ascii="Arial" w:hAnsi="Arial" w:cs="Arial"/>
          <w:sz w:val="20"/>
          <w:szCs w:val="20"/>
        </w:rPr>
        <w:t xml:space="preserve">nueve </w:t>
      </w:r>
      <w:r w:rsidRPr="009B2C37">
        <w:rPr>
          <w:rFonts w:ascii="Arial" w:hAnsi="Arial" w:cs="Arial"/>
          <w:sz w:val="20"/>
          <w:szCs w:val="20"/>
        </w:rPr>
        <w:t xml:space="preserve">horas </w:t>
      </w:r>
      <w:r>
        <w:rPr>
          <w:rFonts w:ascii="Arial" w:hAnsi="Arial" w:cs="Arial"/>
          <w:sz w:val="20"/>
          <w:szCs w:val="20"/>
        </w:rPr>
        <w:t xml:space="preserve">quince minutos </w:t>
      </w:r>
      <w:r w:rsidRPr="009B2C37">
        <w:rPr>
          <w:rFonts w:ascii="Arial" w:hAnsi="Arial" w:cs="Arial"/>
          <w:sz w:val="20"/>
          <w:szCs w:val="20"/>
        </w:rPr>
        <w:t>del</w:t>
      </w:r>
      <w:r>
        <w:rPr>
          <w:rFonts w:ascii="Arial" w:hAnsi="Arial" w:cs="Arial"/>
          <w:sz w:val="20"/>
          <w:szCs w:val="20"/>
        </w:rPr>
        <w:t xml:space="preserve"> veinticuatro de marzo d</w:t>
      </w:r>
      <w:r w:rsidRPr="009B2C37">
        <w:rPr>
          <w:rFonts w:ascii="Arial" w:hAnsi="Arial" w:cs="Arial"/>
          <w:sz w:val="20"/>
          <w:szCs w:val="20"/>
        </w:rPr>
        <w:t>e dos mil veinti</w:t>
      </w:r>
      <w:r>
        <w:rPr>
          <w:rFonts w:ascii="Arial" w:hAnsi="Arial" w:cs="Arial"/>
          <w:sz w:val="20"/>
          <w:szCs w:val="20"/>
        </w:rPr>
        <w:t>dós</w:t>
      </w:r>
      <w:r w:rsidRPr="009B2C37">
        <w:rPr>
          <w:rFonts w:ascii="Arial" w:hAnsi="Arial" w:cs="Arial"/>
          <w:sz w:val="20"/>
          <w:szCs w:val="20"/>
        </w:rPr>
        <w:t xml:space="preserve">. Presentes los miembros del Consejo Consultivo de la Defensoría del Consumidor: </w:t>
      </w:r>
      <w:r w:rsidRPr="009B2C37">
        <w:rPr>
          <w:rFonts w:ascii="Arial" w:hAnsi="Arial" w:cs="Arial"/>
          <w:sz w:val="20"/>
          <w:szCs w:val="20"/>
          <w:lang w:val="es-ES" w:eastAsia="es-ES"/>
        </w:rPr>
        <w:t>Gerardo Daniel Henríquez Angulo</w:t>
      </w:r>
      <w:r>
        <w:rPr>
          <w:rFonts w:ascii="Arial" w:hAnsi="Arial" w:cs="Arial"/>
          <w:sz w:val="20"/>
          <w:szCs w:val="20"/>
          <w:lang w:val="es-ES" w:eastAsia="es-ES"/>
        </w:rPr>
        <w:t>,</w:t>
      </w:r>
      <w:r>
        <w:rPr>
          <w:rFonts w:ascii="Arial" w:hAnsi="Arial" w:cs="Arial"/>
          <w:sz w:val="20"/>
          <w:szCs w:val="20"/>
        </w:rPr>
        <w:t xml:space="preserve"> </w:t>
      </w:r>
      <w:r w:rsidRPr="009B2C37">
        <w:rPr>
          <w:rFonts w:ascii="Arial" w:hAnsi="Arial" w:cs="Arial"/>
          <w:sz w:val="20"/>
          <w:szCs w:val="20"/>
        </w:rPr>
        <w:t>Elmer Orlando Gómez Campos</w:t>
      </w:r>
      <w:r>
        <w:rPr>
          <w:rFonts w:ascii="Arial" w:hAnsi="Arial" w:cs="Arial"/>
          <w:sz w:val="20"/>
          <w:szCs w:val="20"/>
        </w:rPr>
        <w:t xml:space="preserve">, </w:t>
      </w:r>
      <w:r w:rsidRPr="009B2C37">
        <w:rPr>
          <w:rFonts w:ascii="Arial" w:hAnsi="Arial" w:cs="Arial"/>
          <w:sz w:val="20"/>
          <w:szCs w:val="20"/>
        </w:rPr>
        <w:t>Deysi Lorena Cruz de Amaya</w:t>
      </w:r>
      <w:r>
        <w:rPr>
          <w:rFonts w:ascii="Arial" w:hAnsi="Arial" w:cs="Arial"/>
          <w:sz w:val="20"/>
          <w:szCs w:val="20"/>
        </w:rPr>
        <w:t xml:space="preserve">, Oscar Alberto Alfaro Santos, </w:t>
      </w:r>
      <w:r w:rsidRPr="009B2C37">
        <w:rPr>
          <w:rFonts w:ascii="Arial" w:hAnsi="Arial" w:cs="Arial"/>
          <w:sz w:val="20"/>
          <w:szCs w:val="20"/>
        </w:rPr>
        <w:t>José V</w:t>
      </w:r>
      <w:r>
        <w:rPr>
          <w:rFonts w:ascii="Arial" w:hAnsi="Arial" w:cs="Arial"/>
          <w:sz w:val="20"/>
          <w:szCs w:val="20"/>
        </w:rPr>
        <w:t>í</w:t>
      </w:r>
      <w:r w:rsidRPr="009B2C37">
        <w:rPr>
          <w:rFonts w:ascii="Arial" w:hAnsi="Arial" w:cs="Arial"/>
          <w:sz w:val="20"/>
          <w:szCs w:val="20"/>
        </w:rPr>
        <w:t xml:space="preserve">ctor Aragón Molina y José Adalberto López </w:t>
      </w:r>
      <w:r>
        <w:rPr>
          <w:rFonts w:ascii="Arial" w:hAnsi="Arial" w:cs="Arial"/>
          <w:sz w:val="20"/>
          <w:szCs w:val="20"/>
        </w:rPr>
        <w:t>Castillo.</w:t>
      </w:r>
      <w:r>
        <w:rPr>
          <w:rFonts w:ascii="Arial" w:hAnsi="Arial" w:cs="Arial"/>
          <w:sz w:val="20"/>
          <w:szCs w:val="20"/>
          <w:lang w:val="es-ES" w:eastAsia="es-ES"/>
        </w:rPr>
        <w:t xml:space="preserve"> No estuvo presente </w:t>
      </w:r>
      <w:r>
        <w:rPr>
          <w:rFonts w:ascii="Arial" w:hAnsi="Arial" w:cs="Arial"/>
          <w:sz w:val="20"/>
          <w:szCs w:val="20"/>
        </w:rPr>
        <w:t>Carlos Roberto Ochoa Córdova, quien presentó su respectiva excusa.</w:t>
      </w:r>
      <w:r>
        <w:rPr>
          <w:rFonts w:ascii="Arial" w:hAnsi="Arial" w:cs="Arial"/>
          <w:sz w:val="20"/>
          <w:szCs w:val="20"/>
          <w:lang w:val="es-ES" w:eastAsia="es-ES"/>
        </w:rPr>
        <w:t xml:space="preserve"> Tampoco estuvo presente el Licenciado </w:t>
      </w:r>
      <w:r>
        <w:rPr>
          <w:rFonts w:ascii="Arial" w:hAnsi="Arial" w:cs="Arial"/>
          <w:sz w:val="20"/>
          <w:szCs w:val="20"/>
        </w:rPr>
        <w:t xml:space="preserve">Ricardo Salazar, Presidente de la Defensoría del Consumidor. </w:t>
      </w:r>
      <w:r w:rsidRPr="009B2C37">
        <w:rPr>
          <w:rFonts w:ascii="Arial" w:hAnsi="Arial" w:cs="Arial"/>
          <w:sz w:val="20"/>
          <w:szCs w:val="20"/>
        </w:rPr>
        <w:t>El Presidente del Consejo Consultivo 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“Verificación de reformas a la Ley de Regulación de los servicios de información sobre el Historial de crédito de las personas”.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cinco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diez de marzo 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Pr="00E45143">
        <w:rPr>
          <w:rFonts w:ascii="Arial" w:hAnsi="Arial" w:cs="Arial"/>
          <w:b/>
          <w:sz w:val="20"/>
          <w:szCs w:val="20"/>
        </w:rPr>
        <w:t>VERIFICACIÓN DE REFORMAS A LA LEY DE REGULACIÓN DE LOS SERVICIOS DE INFORMACIÓN SOBRE EL HISTORIAL DE CRÉDITO DE LAS PERSONAS</w:t>
      </w:r>
      <w:r>
        <w:rPr>
          <w:rFonts w:ascii="Arial" w:hAnsi="Arial" w:cs="Arial"/>
          <w:b/>
          <w:sz w:val="20"/>
          <w:szCs w:val="20"/>
        </w:rPr>
        <w:t>”</w:t>
      </w:r>
      <w:r>
        <w:rPr>
          <w:rFonts w:ascii="Arial" w:hAnsi="Arial" w:cs="Arial"/>
          <w:sz w:val="20"/>
          <w:szCs w:val="20"/>
        </w:rPr>
        <w:t xml:space="preserve">. La presentación estuvo a cargo del Licenciado Mauricio Alfredo Lozano, Técnico Legal de la Dirección Jurídica de esta institución; quien expone de forma minuciosa y detalla los aspectos siguientes:1) Antecedentes; 2) Obligaciones de la Agencias de Información de Datos; 3) Acciones implementadas por la Defensoría del Consumidor; 4) Aspectos verificados en inspección. a) Con respecto a los deberes de las Agencias de Información de datos; b) En cuanto a los derechos de los consumidores; c) Avance de resultados; y, d) Requerimientos de Información; 5) Conclusiones. Seguidamente, el Presidente del Consejo Consultivo abre a ronda de preguntas, consultas y comentarios, por lo que el Licenciado López Castillo toma la palabra y felicita por el gran trabajo realizado, consultando cuando y donde se socializará dicha información con los consumidores; a lo cual se le responde que se considera muy positiva su sugerencia de implementar una campaña de socialización al respecto, la cual será traslada a la Presidencia de la Defensoría. El Licenciado López Castillo señala que como academia pueden impulsar estos temas o relacionar los vínculos correspondientes, a fin que la población </w:t>
      </w:r>
      <w:r w:rsidR="00E702DC">
        <w:rPr>
          <w:rFonts w:ascii="Arial" w:hAnsi="Arial" w:cs="Arial"/>
          <w:sz w:val="20"/>
          <w:szCs w:val="20"/>
        </w:rPr>
        <w:t xml:space="preserve">la </w:t>
      </w:r>
      <w:r>
        <w:rPr>
          <w:rFonts w:ascii="Arial" w:hAnsi="Arial" w:cs="Arial"/>
          <w:sz w:val="20"/>
          <w:szCs w:val="20"/>
        </w:rPr>
        <w:t>conozca</w:t>
      </w:r>
      <w:r w:rsidR="00E702DC">
        <w:rPr>
          <w:rFonts w:ascii="Arial" w:hAnsi="Arial" w:cs="Arial"/>
          <w:sz w:val="20"/>
          <w:szCs w:val="20"/>
        </w:rPr>
        <w:t xml:space="preserve"> pues se afecta a las personas más vulnerables, aprovecha también para extender congratulaciones al Presidente del Consejo Consultivo por el lanzamiento del curso sobre Derecho de Competencia que se está impulsando desde la Superintendencia de Competencia. Por su parte, el Presidente del Consejo Consultivo felicita por la presentación y señala que son muy positivos los resultados obtenidos hasta el momento, indicándose que se aprecia que van por buen camino. El Ingeniero Alfaro Santos consulta si hay más Agencias de Información de Datos además de las autorizadas; a lo que se le indica que se desconoce tal circunstancia, pero que por el tipo de actividad es imprescindible contar con la autorización que al efecto exige la Superintendencia del Sistema Financiero para poder ejercer tal actividad de forma lícita. </w:t>
      </w:r>
      <w:r>
        <w:rPr>
          <w:rFonts w:ascii="Arial" w:hAnsi="Arial" w:cs="Arial"/>
          <w:sz w:val="20"/>
          <w:szCs w:val="20"/>
        </w:rPr>
        <w:t xml:space="preserve">Finalmente, los miembros del Consejo Consultivo agradecen la presentación realizada.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El Presidente del Consejo Consultivo pregunta a los demás miembros si existen otros temas</w:t>
      </w:r>
      <w:r>
        <w:rPr>
          <w:rFonts w:ascii="Arial" w:hAnsi="Arial" w:cs="Arial"/>
          <w:sz w:val="20"/>
          <w:szCs w:val="20"/>
        </w:rPr>
        <w:t xml:space="preserve"> a tratar, por lo que el Ingeniero Aragón Molina realiza los </w:t>
      </w:r>
      <w:r>
        <w:rPr>
          <w:rFonts w:ascii="Arial" w:hAnsi="Arial" w:cs="Arial"/>
          <w:sz w:val="20"/>
          <w:szCs w:val="20"/>
        </w:rPr>
        <w:lastRenderedPageBreak/>
        <w:t>siguientes p</w:t>
      </w:r>
      <w:r w:rsidR="00E702DC">
        <w:rPr>
          <w:rFonts w:ascii="Arial" w:hAnsi="Arial" w:cs="Arial"/>
          <w:sz w:val="20"/>
          <w:szCs w:val="20"/>
        </w:rPr>
        <w:t>lanteamientos: 1) Consulta sobre el avance en la aprobación de las reformas a la Ley Contra la Usura que fueron presentadas con anterioridad: en este caso, el Licenciado Gómez Campos toma la palabra y expresa que ha tenido conocimiento que, desde la Presidencia de la República se realizaron algunas observaciones a dichas reformas, razón por la que, han sido devueltas al seno de la Asamblea Legislativa, por lo que procede que la Asamblea realice el análisis correspondiente; y, 2) Consulta respecto del avance en la aprobación del pliego de reformas a la Ley de Protección al Consumidor que fueron presentadas recientemente; a lo que se responde, que ya el Presidente de la Defensoría fue convocado por la Comisión de Economía para el conocimiento del pliego de reformas, y que luego de ello, se ha conocido que la Comisión se encuentra en el análisis correspondiente</w:t>
      </w:r>
      <w:r w:rsidR="001155B7">
        <w:rPr>
          <w:rFonts w:ascii="Arial" w:hAnsi="Arial" w:cs="Arial"/>
          <w:sz w:val="20"/>
          <w:szCs w:val="20"/>
        </w:rPr>
        <w:t xml:space="preserve">; sin embargo se desconocen más detalles al respecto. Por su parte, el Ingeniero Aragón sugiere </w:t>
      </w:r>
      <w:proofErr w:type="gramStart"/>
      <w:r w:rsidR="001155B7">
        <w:rPr>
          <w:rFonts w:ascii="Arial" w:hAnsi="Arial" w:cs="Arial"/>
          <w:sz w:val="20"/>
          <w:szCs w:val="20"/>
        </w:rPr>
        <w:t>que</w:t>
      </w:r>
      <w:proofErr w:type="gramEnd"/>
      <w:r w:rsidR="001155B7">
        <w:rPr>
          <w:rFonts w:ascii="Arial" w:hAnsi="Arial" w:cs="Arial"/>
          <w:sz w:val="20"/>
          <w:szCs w:val="20"/>
        </w:rPr>
        <w:t xml:space="preserve"> dada la crisis actual, el Presidente de la Defensoría considere solicitar a la Presidencia de la República que se tome en cuenta dicha situación para agilizar el estudio y posterior aprobación de las mismas. A su vez, el Ingeniero Aragón Molina aprovecha para recomendar al Licenciado Salazar, que dado el despliegue de inspecciones que se ha efectuado en los últimos días en razón de la implementación de las medidas económicas para paliar la crisis actual, que se informe a la población que este es un trabajo que la institución realiza permanentemente, a fin que se conozca el trabajo institucional. Aprovecha también el Ingeniero Aragón Molina para consultar quien controla a la Dirección de Hidrocarburos y Minas, pues sería lo ideal que para sustentar de forma más óptima su trabajo, se crearan las normativas pertinentes; a lo que se le responde que dicha Dirección depende del Ministerio de Economía, siendo la Ministra su superior jerárquico, por lo que es a ella a quien se le pueden hacer llegar sugerencias o recomendaciones para mejorar la labor de la referida Dirección. Por su parte, el Ingeniero Alfaro Santos expresa que desde las asociaciones de consumidores hay personas que están interesadas en ingresar a la Defensoría, a laborar como inspectores, que son las plazas que se han estado promocionando, por lo que consulta respecto del procedimiento a seguir para aplicar a las plazas, señalando que tales personas tienen la ventaja de conocer el tema de protección al consumidor, por lo que tienen ese valor agregado para ingresar a la institución; a lo que se le indica que se puede aplicar remitiendo su hoja de vida al correo electrónico que Talento Humano ha proporcionado para ello, a fin de así dar inicio al procedimiento de selección que </w:t>
      </w:r>
      <w:r w:rsidR="0088016D">
        <w:rPr>
          <w:rFonts w:ascii="Arial" w:hAnsi="Arial" w:cs="Arial"/>
          <w:sz w:val="20"/>
          <w:szCs w:val="20"/>
        </w:rPr>
        <w:t xml:space="preserve"> se ha diseñado para ello y que se </w:t>
      </w:r>
      <w:r w:rsidR="001155B7">
        <w:rPr>
          <w:rFonts w:ascii="Arial" w:hAnsi="Arial" w:cs="Arial"/>
          <w:sz w:val="20"/>
          <w:szCs w:val="20"/>
        </w:rPr>
        <w:t xml:space="preserve">desarrolla </w:t>
      </w:r>
      <w:r w:rsidR="0088016D">
        <w:rPr>
          <w:rFonts w:ascii="Arial" w:hAnsi="Arial" w:cs="Arial"/>
          <w:sz w:val="20"/>
          <w:szCs w:val="20"/>
        </w:rPr>
        <w:t xml:space="preserve">desde </w:t>
      </w:r>
      <w:r w:rsidR="001155B7">
        <w:rPr>
          <w:rFonts w:ascii="Arial" w:hAnsi="Arial" w:cs="Arial"/>
          <w:sz w:val="20"/>
          <w:szCs w:val="20"/>
        </w:rPr>
        <w:t xml:space="preserve">esa Unidad </w:t>
      </w:r>
      <w:r w:rsidR="0088016D">
        <w:rPr>
          <w:rFonts w:ascii="Arial" w:hAnsi="Arial" w:cs="Arial"/>
          <w:sz w:val="20"/>
          <w:szCs w:val="20"/>
        </w:rPr>
        <w:t xml:space="preserve">en conjunto </w:t>
      </w:r>
      <w:r w:rsidR="001155B7">
        <w:rPr>
          <w:rFonts w:ascii="Arial" w:hAnsi="Arial" w:cs="Arial"/>
          <w:sz w:val="20"/>
          <w:szCs w:val="20"/>
        </w:rPr>
        <w:t>con otras áreas como la Dirección de Administració</w:t>
      </w:r>
      <w:r w:rsidR="0088016D">
        <w:rPr>
          <w:rFonts w:ascii="Arial" w:hAnsi="Arial" w:cs="Arial"/>
          <w:sz w:val="20"/>
          <w:szCs w:val="20"/>
        </w:rPr>
        <w:t xml:space="preserve">n y la misma </w:t>
      </w:r>
      <w:r w:rsidR="001155B7">
        <w:rPr>
          <w:rFonts w:ascii="Arial" w:hAnsi="Arial" w:cs="Arial"/>
          <w:sz w:val="20"/>
          <w:szCs w:val="20"/>
        </w:rPr>
        <w:t>Dirección de Vigilancia de Mercado</w:t>
      </w:r>
      <w:r w:rsidR="0088016D">
        <w:rPr>
          <w:rFonts w:ascii="Arial" w:hAnsi="Arial" w:cs="Arial"/>
          <w:sz w:val="20"/>
          <w:szCs w:val="20"/>
        </w:rPr>
        <w:t xml:space="preserve">.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diez horas </w:t>
      </w:r>
      <w:r w:rsidR="0088016D">
        <w:rPr>
          <w:rFonts w:ascii="Arial" w:hAnsi="Arial" w:cs="Arial"/>
          <w:sz w:val="20"/>
          <w:szCs w:val="20"/>
          <w:lang w:val="es-MX"/>
        </w:rPr>
        <w:t xml:space="preserve">treinta </w:t>
      </w:r>
      <w:r>
        <w:rPr>
          <w:rFonts w:ascii="Arial" w:hAnsi="Arial" w:cs="Arial"/>
          <w:sz w:val="20"/>
          <w:szCs w:val="20"/>
          <w:lang w:val="es-MX"/>
        </w:rPr>
        <w:t xml:space="preserve">minutos horas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E45143" w:rsidRDefault="00E45143" w:rsidP="00E45143">
      <w:pPr>
        <w:jc w:val="both"/>
        <w:rPr>
          <w:rFonts w:ascii="Arial" w:hAnsi="Arial" w:cs="Arial"/>
          <w:sz w:val="20"/>
          <w:szCs w:val="20"/>
        </w:rPr>
      </w:pPr>
    </w:p>
    <w:p w:rsidR="00E45143" w:rsidRDefault="00E45143" w:rsidP="00E45143">
      <w:pPr>
        <w:jc w:val="both"/>
        <w:rPr>
          <w:rFonts w:ascii="Arial" w:hAnsi="Arial" w:cs="Arial"/>
          <w:sz w:val="20"/>
          <w:szCs w:val="20"/>
        </w:rPr>
      </w:pPr>
    </w:p>
    <w:p w:rsidR="00E45143" w:rsidRDefault="00E45143" w:rsidP="00E45143">
      <w:pPr>
        <w:jc w:val="both"/>
        <w:rPr>
          <w:rFonts w:ascii="Arial" w:hAnsi="Arial" w:cs="Arial"/>
          <w:sz w:val="20"/>
          <w:szCs w:val="20"/>
        </w:rPr>
      </w:pPr>
      <w:r w:rsidRPr="009B2C37">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sidRPr="009B2C37">
        <w:rPr>
          <w:rFonts w:ascii="Arial" w:hAnsi="Arial" w:cs="Arial"/>
          <w:sz w:val="20"/>
          <w:szCs w:val="20"/>
        </w:rPr>
        <w:t xml:space="preserve">  </w:t>
      </w:r>
      <w:r>
        <w:rPr>
          <w:rFonts w:ascii="Arial" w:hAnsi="Arial" w:cs="Arial"/>
          <w:sz w:val="20"/>
          <w:szCs w:val="20"/>
        </w:rPr>
        <w:t xml:space="preserve">                              </w:t>
      </w:r>
      <w:r w:rsidRPr="009B2C37">
        <w:rPr>
          <w:rFonts w:ascii="Arial" w:hAnsi="Arial" w:cs="Arial"/>
          <w:sz w:val="20"/>
          <w:szCs w:val="20"/>
        </w:rPr>
        <w:t xml:space="preserve">   Elmer Orlando Gómez Campos                 </w:t>
      </w:r>
      <w:r>
        <w:rPr>
          <w:rFonts w:ascii="Arial" w:hAnsi="Arial" w:cs="Arial"/>
          <w:sz w:val="20"/>
          <w:szCs w:val="20"/>
        </w:rPr>
        <w:t xml:space="preserve">                                            </w:t>
      </w:r>
      <w:r w:rsidRPr="009B2C37">
        <w:rPr>
          <w:rFonts w:ascii="Arial" w:hAnsi="Arial" w:cs="Arial"/>
          <w:sz w:val="20"/>
          <w:szCs w:val="20"/>
        </w:rPr>
        <w:t xml:space="preserve"> </w:t>
      </w:r>
      <w:r>
        <w:rPr>
          <w:rFonts w:ascii="Arial" w:hAnsi="Arial" w:cs="Arial"/>
          <w:sz w:val="20"/>
          <w:szCs w:val="20"/>
        </w:rPr>
        <w:t xml:space="preserve">                             </w:t>
      </w:r>
    </w:p>
    <w:p w:rsidR="00E45143" w:rsidRDefault="00E45143" w:rsidP="00E45143">
      <w:pPr>
        <w:jc w:val="both"/>
        <w:rPr>
          <w:rFonts w:ascii="Arial" w:hAnsi="Arial" w:cs="Arial"/>
          <w:sz w:val="20"/>
          <w:szCs w:val="20"/>
        </w:rPr>
      </w:pPr>
    </w:p>
    <w:p w:rsidR="00E45143" w:rsidRDefault="00E45143" w:rsidP="00E45143">
      <w:pPr>
        <w:jc w:val="both"/>
        <w:rPr>
          <w:rFonts w:ascii="Arial" w:hAnsi="Arial" w:cs="Arial"/>
          <w:sz w:val="20"/>
          <w:szCs w:val="20"/>
        </w:rPr>
      </w:pPr>
    </w:p>
    <w:p w:rsidR="00E45143" w:rsidRDefault="00E45143" w:rsidP="00E45143">
      <w:pPr>
        <w:jc w:val="both"/>
        <w:rPr>
          <w:rFonts w:ascii="Arial" w:hAnsi="Arial" w:cs="Arial"/>
          <w:sz w:val="20"/>
          <w:szCs w:val="20"/>
        </w:rPr>
      </w:pPr>
      <w:r w:rsidRPr="009B2C37">
        <w:rPr>
          <w:rFonts w:ascii="Arial" w:hAnsi="Arial" w:cs="Arial"/>
          <w:sz w:val="20"/>
          <w:szCs w:val="20"/>
        </w:rPr>
        <w:t>Deysi Lorena Cruz de Amaya</w:t>
      </w:r>
      <w:r>
        <w:rPr>
          <w:rFonts w:ascii="Arial" w:hAnsi="Arial" w:cs="Arial"/>
          <w:sz w:val="20"/>
          <w:szCs w:val="20"/>
        </w:rPr>
        <w:t xml:space="preserve">                                                </w:t>
      </w:r>
      <w:r w:rsidRPr="009B2C37">
        <w:rPr>
          <w:rFonts w:ascii="Arial" w:hAnsi="Arial" w:cs="Arial"/>
          <w:sz w:val="20"/>
          <w:szCs w:val="20"/>
        </w:rPr>
        <w:t>Oscar Alberto Alfaro Santos</w:t>
      </w:r>
      <w:r>
        <w:rPr>
          <w:rFonts w:ascii="Arial" w:hAnsi="Arial" w:cs="Arial"/>
          <w:sz w:val="20"/>
          <w:szCs w:val="20"/>
        </w:rPr>
        <w:t xml:space="preserve">                                                  </w:t>
      </w:r>
      <w:r w:rsidRPr="009B2C37">
        <w:rPr>
          <w:rFonts w:ascii="Arial" w:hAnsi="Arial" w:cs="Arial"/>
          <w:sz w:val="20"/>
          <w:szCs w:val="20"/>
        </w:rPr>
        <w:t xml:space="preserve">  </w:t>
      </w:r>
    </w:p>
    <w:p w:rsidR="00E45143" w:rsidRDefault="00E45143" w:rsidP="00E45143">
      <w:pPr>
        <w:jc w:val="both"/>
        <w:rPr>
          <w:rFonts w:ascii="Arial" w:hAnsi="Arial" w:cs="Arial"/>
          <w:sz w:val="20"/>
          <w:szCs w:val="20"/>
        </w:rPr>
      </w:pPr>
    </w:p>
    <w:p w:rsidR="00E45143" w:rsidRDefault="00E45143" w:rsidP="00E45143">
      <w:pPr>
        <w:jc w:val="both"/>
        <w:rPr>
          <w:rFonts w:ascii="Arial" w:hAnsi="Arial" w:cs="Arial"/>
          <w:sz w:val="20"/>
          <w:szCs w:val="20"/>
        </w:rPr>
      </w:pPr>
    </w:p>
    <w:p w:rsidR="005519DE" w:rsidRDefault="00E45143" w:rsidP="00643FB4">
      <w:pPr>
        <w:jc w:val="both"/>
      </w:pPr>
      <w:r>
        <w:rPr>
          <w:rFonts w:ascii="Arial" w:hAnsi="Arial" w:cs="Arial"/>
          <w:sz w:val="20"/>
          <w:szCs w:val="20"/>
        </w:rPr>
        <w:t xml:space="preserve"> José Ví</w:t>
      </w:r>
      <w:r w:rsidRPr="009B2C37">
        <w:rPr>
          <w:rFonts w:ascii="Arial" w:hAnsi="Arial" w:cs="Arial"/>
          <w:sz w:val="20"/>
          <w:szCs w:val="20"/>
        </w:rPr>
        <w:t xml:space="preserve">ctor Aragón Molina                 </w:t>
      </w:r>
      <w:r>
        <w:rPr>
          <w:rFonts w:ascii="Arial" w:hAnsi="Arial" w:cs="Arial"/>
          <w:sz w:val="20"/>
          <w:szCs w:val="20"/>
        </w:rPr>
        <w:t xml:space="preserve">                                        </w:t>
      </w:r>
      <w:r w:rsidRPr="009B2C37">
        <w:rPr>
          <w:rFonts w:ascii="Arial" w:hAnsi="Arial" w:cs="Arial"/>
          <w:sz w:val="20"/>
          <w:szCs w:val="20"/>
        </w:rPr>
        <w:t>José Adalberto López Castillo</w:t>
      </w:r>
      <w:bookmarkStart w:id="0" w:name="_GoBack"/>
      <w:bookmarkEnd w:id="0"/>
    </w:p>
    <w:sectPr w:rsidR="005519DE"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143"/>
    <w:rsid w:val="001155B7"/>
    <w:rsid w:val="005519DE"/>
    <w:rsid w:val="00643FB4"/>
    <w:rsid w:val="0088016D"/>
    <w:rsid w:val="00E45143"/>
    <w:rsid w:val="00E702D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DAE9D-5DE8-4C53-8150-AF57005B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14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43F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3FB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1215</Words>
  <Characters>6686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3</cp:revision>
  <cp:lastPrinted>2022-03-29T16:05:00Z</cp:lastPrinted>
  <dcterms:created xsi:type="dcterms:W3CDTF">2022-03-29T16:12:00Z</dcterms:created>
  <dcterms:modified xsi:type="dcterms:W3CDTF">2022-03-29T16:12:00Z</dcterms:modified>
</cp:coreProperties>
</file>