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B3" w:rsidRPr="00720EBC" w:rsidRDefault="00B803B3" w:rsidP="00B803B3">
      <w:pPr>
        <w:spacing w:before="120" w:after="120" w:line="360" w:lineRule="auto"/>
        <w:jc w:val="center"/>
        <w:rPr>
          <w:rFonts w:ascii="Arial" w:hAnsi="Arial" w:cs="Arial"/>
          <w:b/>
          <w:sz w:val="20"/>
          <w:szCs w:val="20"/>
          <w:lang w:val="es-MX"/>
        </w:rPr>
      </w:pPr>
      <w:r>
        <w:rPr>
          <w:rFonts w:ascii="Arial" w:hAnsi="Arial" w:cs="Arial"/>
          <w:b/>
          <w:sz w:val="20"/>
          <w:szCs w:val="20"/>
          <w:lang w:val="es-MX"/>
        </w:rPr>
        <w:t>ACTA N° 19/ 2019</w:t>
      </w:r>
    </w:p>
    <w:p w:rsidR="00B803B3" w:rsidRPr="00720EBC" w:rsidRDefault="00B803B3" w:rsidP="00B803B3">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B803B3" w:rsidRPr="00720EBC" w:rsidRDefault="00B803B3" w:rsidP="00B803B3">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B803B3" w:rsidRPr="000A7083" w:rsidRDefault="00B803B3" w:rsidP="007C2E54">
      <w:pPr>
        <w:jc w:val="both"/>
        <w:rPr>
          <w:rFonts w:ascii="Arial" w:hAnsi="Arial" w:cs="Arial"/>
          <w:sz w:val="20"/>
          <w:szCs w:val="20"/>
          <w:lang w:val="es-US"/>
        </w:rPr>
      </w:pPr>
      <w:r w:rsidRPr="00720EBC">
        <w:rPr>
          <w:rFonts w:ascii="Arial" w:hAnsi="Arial" w:cs="Arial"/>
          <w:b/>
          <w:sz w:val="20"/>
          <w:szCs w:val="20"/>
        </w:rPr>
        <w:t xml:space="preserve">ACTA NÚMERO </w:t>
      </w:r>
      <w:r>
        <w:rPr>
          <w:rFonts w:ascii="Arial" w:hAnsi="Arial" w:cs="Arial"/>
          <w:b/>
          <w:sz w:val="20"/>
          <w:szCs w:val="20"/>
        </w:rPr>
        <w:t xml:space="preserve">DIECINUEVE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treinta y cinco minutos del diez de octubre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de la Defensoría del Consumidor:</w:t>
      </w:r>
      <w:r>
        <w:rPr>
          <w:rFonts w:ascii="Arial" w:hAnsi="Arial" w:cs="Arial"/>
          <w:sz w:val="20"/>
          <w:szCs w:val="20"/>
          <w:lang w:val="es-ES" w:eastAsia="es-ES"/>
        </w:rPr>
        <w:t xml:space="preserve"> </w:t>
      </w:r>
      <w:r w:rsidRPr="00720EBC">
        <w:rPr>
          <w:rFonts w:ascii="Arial" w:hAnsi="Arial" w:cs="Arial"/>
          <w:sz w:val="20"/>
          <w:szCs w:val="20"/>
        </w:rPr>
        <w:t>César Augusto Calderón Flores</w:t>
      </w:r>
      <w:r>
        <w:rPr>
          <w:rFonts w:ascii="Arial" w:hAnsi="Arial" w:cs="Arial"/>
          <w:sz w:val="20"/>
          <w:szCs w:val="20"/>
        </w:rPr>
        <w:t>, Deysi Lorena Cruz de Amaya, 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José Victor Aragón Molina</w:t>
      </w:r>
      <w:r>
        <w:rPr>
          <w:rFonts w:ascii="Arial" w:hAnsi="Arial" w:cs="Arial"/>
          <w:sz w:val="20"/>
          <w:szCs w:val="20"/>
        </w:rPr>
        <w:t xml:space="preserve"> </w:t>
      </w:r>
      <w:r w:rsidRPr="00720EBC">
        <w:rPr>
          <w:rFonts w:ascii="Arial" w:hAnsi="Arial" w:cs="Arial"/>
          <w:sz w:val="20"/>
          <w:szCs w:val="20"/>
        </w:rPr>
        <w:t>y José Adalberto L</w:t>
      </w:r>
      <w:r>
        <w:rPr>
          <w:rFonts w:ascii="Arial" w:hAnsi="Arial" w:cs="Arial"/>
          <w:sz w:val="20"/>
          <w:szCs w:val="20"/>
        </w:rPr>
        <w:t>ópez Castillo. No estuvo presente</w:t>
      </w:r>
      <w:r w:rsidRPr="005C0C86">
        <w:rPr>
          <w:rFonts w:ascii="Arial" w:hAnsi="Arial" w:cs="Arial"/>
          <w:sz w:val="20"/>
          <w:szCs w:val="20"/>
          <w:lang w:val="es-ES" w:eastAsia="es-ES"/>
        </w:rPr>
        <w:t xml:space="preserve"> </w:t>
      </w:r>
      <w:r w:rsidRPr="00720EBC">
        <w:rPr>
          <w:rFonts w:ascii="Arial" w:hAnsi="Arial" w:cs="Arial"/>
          <w:sz w:val="20"/>
          <w:szCs w:val="20"/>
        </w:rPr>
        <w:t>Carlos Roberto Ochoa Córdo</w:t>
      </w:r>
      <w:r>
        <w:rPr>
          <w:rFonts w:ascii="Arial" w:hAnsi="Arial" w:cs="Arial"/>
          <w:sz w:val="20"/>
          <w:szCs w:val="20"/>
        </w:rPr>
        <w:t xml:space="preserve">va, quien presentó su respectiva excusa. Tampoco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“Informe sobre procedimiento de depósito de contratos de adhesión de operadores de servicios de telecomunicaciones”;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dieciocho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veintiséis de septiembre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Pr>
          <w:rFonts w:ascii="Arial" w:hAnsi="Arial" w:cs="Arial"/>
          <w:b/>
          <w:sz w:val="20"/>
          <w:szCs w:val="20"/>
        </w:rPr>
        <w:t xml:space="preserve"> PRESENTACIÓN DEL TEMA “</w:t>
      </w:r>
      <w:r w:rsidRPr="00B803B3">
        <w:rPr>
          <w:rFonts w:ascii="Arial" w:hAnsi="Arial" w:cs="Arial"/>
          <w:b/>
          <w:sz w:val="20"/>
          <w:szCs w:val="20"/>
        </w:rPr>
        <w:t>INFORME SOBRE PROCEDIMIENTO DE DEPÓSITO DE CONTRATOS DE ADHESIÓN DE OPERADORES DE SERVICIOS DE TELECOMUNICACIONES</w:t>
      </w:r>
      <w:r>
        <w:rPr>
          <w:rFonts w:ascii="Arial" w:hAnsi="Arial" w:cs="Arial"/>
          <w:sz w:val="20"/>
          <w:szCs w:val="20"/>
        </w:rPr>
        <w:t xml:space="preserve">”. La presentación estuvo a cargo de la Doctora Paula Elena Olivares, Directora Jurídica de la institución, quien inicia su presentación explicando las reformas realizadas a la Ley de Protección al Consumidor vigentes desde el pasado mes de abril, que incorporan obligaciones, prohibiciones y sanciones a cargo de los operadores de servicios de telecomunicaciones, dentro de las cuales se incorpora la obligación de depositar los contratos de adhesión, formularios y anexos a esta institución, quien verificará en un plazo no mayor a noventa días hábiles contados a partir de su presentación, que cumplan lo relativo a los derechos de las personas consumidoras, debiendo realizar las observaciones que sean pertinentes de conformidad con el procedimiento legalmente establecido. </w:t>
      </w:r>
      <w:r w:rsidR="007C2E54">
        <w:rPr>
          <w:rFonts w:ascii="Arial" w:hAnsi="Arial" w:cs="Arial"/>
          <w:sz w:val="20"/>
          <w:szCs w:val="20"/>
        </w:rPr>
        <w:t xml:space="preserve">Posteriormente, procede a explicarles cada una de las fases o etapas que posee el procedimiento establecido tanto en la Ley de Protección al Consumidor como en la Ley de Procedimientos Administrativos. Luego de esto puntualiza cuales son los objetivos de este tipo de verificación, así como también detalla el estado actual de los documentos presentados a depósito, para finalmente expresar cuales fueron los hallazgos más comunes de incumplimiento a la normativa generados a partir de dicha revisión. </w:t>
      </w:r>
      <w:r>
        <w:rPr>
          <w:rFonts w:ascii="Arial" w:hAnsi="Arial" w:cs="Arial"/>
          <w:sz w:val="20"/>
          <w:szCs w:val="20"/>
          <w:lang w:val="es-US"/>
        </w:rPr>
        <w:t>A continuación, el Presidente del Consejo Consultivo abre a ronda de preguntas, por l</w:t>
      </w:r>
      <w:r w:rsidR="007C2E54">
        <w:rPr>
          <w:rFonts w:ascii="Arial" w:hAnsi="Arial" w:cs="Arial"/>
          <w:sz w:val="20"/>
          <w:szCs w:val="20"/>
          <w:lang w:val="es-US"/>
        </w:rPr>
        <w:t>o que pide la palabra el Licenciado López Castillo y felicita por la ardua tarea realizada. Por su parte, el Presidente del Consejo Consultivo recomienda que esta información sea compartida con la población, pues considera muy relevante tal divulgación todo con la finalidad que conozcan sus derechos y así puedan ejercerlos. Por su parte, el ingeniero Aragón Molina también hace énfasis en la importancia de incrementar la comunicación y divulgación de los derechos, para que efectivamente la población pueda hacer uso de los mismos y así cesen las prácticas abusivas que algunos proveedores de bienes y servicios</w:t>
      </w:r>
      <w:r w:rsidR="00011B2B">
        <w:rPr>
          <w:rFonts w:ascii="Arial" w:hAnsi="Arial" w:cs="Arial"/>
          <w:sz w:val="20"/>
          <w:szCs w:val="20"/>
          <w:lang w:val="es-US"/>
        </w:rPr>
        <w:t xml:space="preserve"> realizan. El Licenciado Gómez Campos consulta respecto del desarrollo del procedimiento, en concreto respecto del </w:t>
      </w:r>
      <w:r w:rsidR="00011B2B">
        <w:rPr>
          <w:rFonts w:ascii="Arial" w:hAnsi="Arial" w:cs="Arial"/>
          <w:sz w:val="20"/>
          <w:szCs w:val="20"/>
          <w:lang w:val="es-US"/>
        </w:rPr>
        <w:lastRenderedPageBreak/>
        <w:t xml:space="preserve">establecimiento de penalidades por terminación anticipada de los contratos, pues es frecuente que sean muy altas, a lo que se le responde que efectivamente fue uno de los elementos más observados y discutidos con los proveedores, en tanto si bien estos operadores están habilitados para cobrar penalidades por terminación anticipada del contrato por responsabilidad del consumidor, estás deben ser proporcionales al daño causado, por lo que se les increpó en el desarrollo del procedimiento al establecimiento de penalidad que tuvieran proporción con el supuesto daño generado por la terminación anticipada de los contratos. La Licenciada Cruz de Amaya sugiere que podrían generarse programas o convenios con este tipo de proveedores para que personal de la Defensoría se encontrara cerca o inmediato de sus establecimientos y así atender reclamos, sobre todo tomando en consideración que son servicios masivos, a lo que se le indica que se toma su sugerencia señalando que la institución se encuentra actualmente impulsando programas de cumplimiento de la normativa así como adhesión a manuales de buenas prácticas para incentivar a los operadores al cumplimiento de la ley y a un cambio hacia una cultura de protección al consumidor.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realizada y</w:t>
      </w:r>
      <w:r w:rsidR="00011B2B">
        <w:rPr>
          <w:rFonts w:ascii="Arial" w:hAnsi="Arial" w:cs="Arial"/>
          <w:sz w:val="20"/>
          <w:szCs w:val="20"/>
        </w:rPr>
        <w:t xml:space="preserve"> felicitan a la institución por la ardua tarea realizada en beneficio de las personas consumidoras.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consulta a los demás miembros si existe algún otro punto a tratar, a lo que </w:t>
      </w:r>
      <w:r w:rsidR="00011B2B">
        <w:rPr>
          <w:rFonts w:ascii="Arial" w:hAnsi="Arial" w:cs="Arial"/>
          <w:sz w:val="20"/>
          <w:szCs w:val="20"/>
        </w:rPr>
        <w:t>el ingeniero Aragón Molina expresa que tiene una consulta, referente a que en los últimos días se ha conocido de uno</w:t>
      </w:r>
      <w:r w:rsidR="00C342CC">
        <w:rPr>
          <w:rFonts w:ascii="Arial" w:hAnsi="Arial" w:cs="Arial"/>
          <w:sz w:val="20"/>
          <w:szCs w:val="20"/>
        </w:rPr>
        <w:t>s procedimientos sancionatorios que han llevado al cierre de unos establecimientos de una compañía de comida rápida, por lo que consulta si la Defensoría ha intervenido en dichos procedimientos, a lo que se le responde negativamente, pues la institución no ha tenido ningún tipo de intervención en tales procedimientos</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B803B3" w:rsidRDefault="00B803B3" w:rsidP="00B803B3">
      <w:pPr>
        <w:spacing w:line="360" w:lineRule="auto"/>
        <w:jc w:val="both"/>
        <w:rPr>
          <w:rFonts w:ascii="Arial" w:hAnsi="Arial" w:cs="Arial"/>
          <w:sz w:val="20"/>
          <w:szCs w:val="20"/>
          <w:lang w:val="es-US"/>
        </w:rPr>
      </w:pPr>
    </w:p>
    <w:p w:rsidR="00DC2726" w:rsidRPr="00DC2726" w:rsidRDefault="00DC2726" w:rsidP="00B803B3">
      <w:pPr>
        <w:spacing w:line="360" w:lineRule="auto"/>
        <w:jc w:val="both"/>
        <w:rPr>
          <w:rFonts w:ascii="Arial" w:hAnsi="Arial" w:cs="Arial"/>
          <w:sz w:val="20"/>
          <w:szCs w:val="20"/>
          <w:lang w:val="es-US"/>
        </w:rPr>
      </w:pPr>
    </w:p>
    <w:p w:rsidR="00C342CC" w:rsidRDefault="00B803B3" w:rsidP="00B803B3">
      <w:pPr>
        <w:spacing w:line="360" w:lineRule="auto"/>
        <w:jc w:val="both"/>
        <w:rPr>
          <w:rFonts w:ascii="Arial" w:hAnsi="Arial" w:cs="Arial"/>
          <w:sz w:val="20"/>
          <w:szCs w:val="20"/>
        </w:rPr>
      </w:pPr>
      <w:r>
        <w:rPr>
          <w:rFonts w:ascii="Arial" w:hAnsi="Arial" w:cs="Arial"/>
          <w:sz w:val="20"/>
          <w:szCs w:val="20"/>
        </w:rPr>
        <w:t xml:space="preserve">Cesar Augusto Calderón Flores                                      </w:t>
      </w:r>
      <w:r w:rsidR="00C342CC">
        <w:rPr>
          <w:rFonts w:ascii="Arial" w:hAnsi="Arial" w:cs="Arial"/>
          <w:sz w:val="20"/>
          <w:szCs w:val="20"/>
        </w:rPr>
        <w:t xml:space="preserve">              </w:t>
      </w:r>
      <w:r>
        <w:rPr>
          <w:rFonts w:ascii="Arial" w:hAnsi="Arial" w:cs="Arial"/>
          <w:sz w:val="20"/>
          <w:szCs w:val="20"/>
        </w:rPr>
        <w:t xml:space="preserve"> </w:t>
      </w:r>
      <w:r w:rsidR="00011B2B">
        <w:rPr>
          <w:rFonts w:ascii="Arial" w:hAnsi="Arial" w:cs="Arial"/>
          <w:sz w:val="20"/>
          <w:szCs w:val="20"/>
        </w:rPr>
        <w:t xml:space="preserve">Deysi Lorena Cruz de Amaya </w:t>
      </w:r>
    </w:p>
    <w:p w:rsidR="00C342CC" w:rsidRDefault="00C342CC" w:rsidP="00B803B3">
      <w:pPr>
        <w:spacing w:line="360" w:lineRule="auto"/>
        <w:jc w:val="both"/>
        <w:rPr>
          <w:rFonts w:ascii="Arial" w:hAnsi="Arial" w:cs="Arial"/>
          <w:sz w:val="20"/>
          <w:szCs w:val="20"/>
        </w:rPr>
      </w:pPr>
    </w:p>
    <w:p w:rsidR="00DC2726" w:rsidRDefault="00DC2726" w:rsidP="00B803B3">
      <w:pPr>
        <w:spacing w:line="360" w:lineRule="auto"/>
        <w:jc w:val="both"/>
        <w:rPr>
          <w:rFonts w:ascii="Arial" w:hAnsi="Arial" w:cs="Arial"/>
          <w:sz w:val="20"/>
          <w:szCs w:val="20"/>
        </w:rPr>
      </w:pPr>
    </w:p>
    <w:p w:rsidR="00C342CC" w:rsidRDefault="00B803B3" w:rsidP="00B803B3">
      <w:pPr>
        <w:spacing w:line="360" w:lineRule="auto"/>
        <w:jc w:val="both"/>
        <w:rPr>
          <w:rFonts w:ascii="Arial" w:hAnsi="Arial" w:cs="Arial"/>
          <w:sz w:val="20"/>
          <w:szCs w:val="20"/>
          <w:lang w:val="es-ES" w:eastAsia="es-ES"/>
        </w:rPr>
      </w:pPr>
      <w:r>
        <w:rPr>
          <w:rFonts w:ascii="Arial" w:hAnsi="Arial" w:cs="Arial"/>
          <w:sz w:val="20"/>
          <w:szCs w:val="20"/>
        </w:rPr>
        <w:t xml:space="preserve">Elmer Orlando Gómez Campos                                    </w:t>
      </w:r>
      <w:r w:rsidR="00C342CC">
        <w:rPr>
          <w:rFonts w:ascii="Arial" w:hAnsi="Arial" w:cs="Arial"/>
          <w:sz w:val="20"/>
          <w:szCs w:val="20"/>
        </w:rPr>
        <w:t xml:space="preserve">                      </w:t>
      </w:r>
      <w:r>
        <w:rPr>
          <w:rFonts w:ascii="Arial" w:hAnsi="Arial" w:cs="Arial"/>
          <w:sz w:val="20"/>
          <w:szCs w:val="20"/>
          <w:lang w:val="es-ES" w:eastAsia="es-ES"/>
        </w:rPr>
        <w:t xml:space="preserve">Gerardo Daniel Henríquez Angulo                                                       </w:t>
      </w:r>
    </w:p>
    <w:p w:rsidR="00C342CC" w:rsidRDefault="00C342CC" w:rsidP="00B803B3">
      <w:pPr>
        <w:spacing w:line="360" w:lineRule="auto"/>
        <w:jc w:val="both"/>
        <w:rPr>
          <w:rFonts w:ascii="Arial" w:hAnsi="Arial" w:cs="Arial"/>
          <w:sz w:val="20"/>
          <w:szCs w:val="20"/>
          <w:lang w:val="es-ES" w:eastAsia="es-ES"/>
        </w:rPr>
      </w:pPr>
    </w:p>
    <w:p w:rsidR="00C342CC" w:rsidRDefault="00C342CC" w:rsidP="00B803B3">
      <w:pPr>
        <w:spacing w:line="360" w:lineRule="auto"/>
        <w:jc w:val="both"/>
        <w:rPr>
          <w:rFonts w:ascii="Arial" w:hAnsi="Arial" w:cs="Arial"/>
          <w:sz w:val="20"/>
          <w:szCs w:val="20"/>
          <w:lang w:val="es-ES" w:eastAsia="es-ES"/>
        </w:rPr>
      </w:pPr>
    </w:p>
    <w:p w:rsidR="00C342CC" w:rsidRDefault="00B803B3" w:rsidP="00B803B3">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sidR="00C342CC">
        <w:rPr>
          <w:rFonts w:ascii="Arial" w:hAnsi="Arial" w:cs="Arial"/>
          <w:sz w:val="20"/>
          <w:szCs w:val="20"/>
        </w:rPr>
        <w:t xml:space="preserve">                              </w:t>
      </w:r>
      <w:r w:rsidR="00C342CC">
        <w:rPr>
          <w:rFonts w:ascii="Arial" w:hAnsi="Arial" w:cs="Arial"/>
          <w:sz w:val="20"/>
          <w:szCs w:val="20"/>
          <w:lang w:val="es-ES" w:eastAsia="es-ES"/>
        </w:rPr>
        <w:t xml:space="preserve">  </w:t>
      </w:r>
      <w:r w:rsidRPr="00720EBC">
        <w:rPr>
          <w:rFonts w:ascii="Arial" w:hAnsi="Arial" w:cs="Arial"/>
          <w:sz w:val="20"/>
          <w:szCs w:val="20"/>
        </w:rPr>
        <w:t>José V</w:t>
      </w:r>
      <w:r>
        <w:rPr>
          <w:rFonts w:ascii="Arial" w:hAnsi="Arial" w:cs="Arial"/>
          <w:sz w:val="20"/>
          <w:szCs w:val="20"/>
        </w:rPr>
        <w:t>í</w:t>
      </w:r>
      <w:r w:rsidRPr="00720EBC">
        <w:rPr>
          <w:rFonts w:ascii="Arial" w:hAnsi="Arial" w:cs="Arial"/>
          <w:sz w:val="20"/>
          <w:szCs w:val="20"/>
        </w:rPr>
        <w:t>ctor Aragón Molina</w:t>
      </w:r>
      <w:r>
        <w:rPr>
          <w:rFonts w:ascii="Arial" w:hAnsi="Arial" w:cs="Arial"/>
          <w:sz w:val="20"/>
          <w:szCs w:val="20"/>
        </w:rPr>
        <w:t xml:space="preserve">                                                                      </w:t>
      </w:r>
    </w:p>
    <w:p w:rsidR="00DC2726" w:rsidRDefault="00DC2726" w:rsidP="00B803B3">
      <w:pPr>
        <w:spacing w:line="360" w:lineRule="auto"/>
        <w:jc w:val="both"/>
        <w:rPr>
          <w:rFonts w:ascii="Arial" w:hAnsi="Arial" w:cs="Arial"/>
          <w:sz w:val="20"/>
          <w:szCs w:val="20"/>
        </w:rPr>
      </w:pPr>
    </w:p>
    <w:p w:rsidR="00DC2726" w:rsidRDefault="00DC2726" w:rsidP="00B803B3">
      <w:pPr>
        <w:spacing w:line="360" w:lineRule="auto"/>
        <w:jc w:val="both"/>
        <w:rPr>
          <w:rFonts w:ascii="Arial" w:hAnsi="Arial" w:cs="Arial"/>
          <w:sz w:val="20"/>
          <w:szCs w:val="20"/>
        </w:rPr>
      </w:pPr>
    </w:p>
    <w:p w:rsidR="00AF6586" w:rsidRDefault="00B803B3" w:rsidP="00DC2726">
      <w:pPr>
        <w:spacing w:line="360" w:lineRule="auto"/>
        <w:jc w:val="both"/>
      </w:pPr>
      <w:r w:rsidRPr="00882E4F">
        <w:rPr>
          <w:rFonts w:ascii="Arial" w:hAnsi="Arial" w:cs="Arial"/>
          <w:sz w:val="20"/>
          <w:szCs w:val="20"/>
        </w:rPr>
        <w:t>José Adalberto López Castillo</w:t>
      </w:r>
      <w:bookmarkStart w:id="0" w:name="_GoBack"/>
      <w:bookmarkEnd w:id="0"/>
    </w:p>
    <w:sectPr w:rsidR="00AF6586" w:rsidSect="00DC2726">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B3"/>
    <w:rsid w:val="00011B2B"/>
    <w:rsid w:val="007C2E54"/>
    <w:rsid w:val="00AF6586"/>
    <w:rsid w:val="00B803B3"/>
    <w:rsid w:val="00C342CC"/>
    <w:rsid w:val="00DC27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D5153-E0D1-4862-A810-1F0D3F84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3B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27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7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cp:lastPrinted>2019-10-23T21:33:00Z</cp:lastPrinted>
  <dcterms:created xsi:type="dcterms:W3CDTF">2019-10-23T21:34:00Z</dcterms:created>
  <dcterms:modified xsi:type="dcterms:W3CDTF">2019-10-23T21:34:00Z</dcterms:modified>
</cp:coreProperties>
</file>