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6143E4" w:rsidRDefault="007228D1" w:rsidP="00D938B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284E" w:rsidRPr="006143E4" w:rsidRDefault="002B284E" w:rsidP="00D938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0093" w:rsidRDefault="00F70093" w:rsidP="00D938B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6C08" w:rsidRPr="006143E4" w:rsidRDefault="006F0A2A" w:rsidP="00D938B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143E4">
        <w:rPr>
          <w:rFonts w:ascii="Arial" w:hAnsi="Arial" w:cs="Arial"/>
          <w:b/>
          <w:sz w:val="28"/>
          <w:szCs w:val="24"/>
        </w:rPr>
        <w:t xml:space="preserve">RESOLUCIÓN </w:t>
      </w:r>
      <w:r w:rsidR="008D6C08" w:rsidRPr="006143E4">
        <w:rPr>
          <w:rFonts w:ascii="Arial" w:hAnsi="Arial" w:cs="Arial"/>
          <w:b/>
          <w:sz w:val="28"/>
          <w:szCs w:val="24"/>
        </w:rPr>
        <w:t xml:space="preserve">SOBRE </w:t>
      </w:r>
      <w:r w:rsidRPr="006143E4">
        <w:rPr>
          <w:rFonts w:ascii="Arial" w:hAnsi="Arial" w:cs="Arial"/>
          <w:b/>
          <w:sz w:val="28"/>
          <w:szCs w:val="24"/>
        </w:rPr>
        <w:t xml:space="preserve">SOLICITUD DE INFORMACIÓN </w:t>
      </w:r>
    </w:p>
    <w:p w:rsidR="006F0A2A" w:rsidRPr="006143E4" w:rsidRDefault="00D938B2" w:rsidP="00D938B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NÚMERO 002</w:t>
      </w:r>
      <w:r w:rsidR="006F0A2A" w:rsidRPr="006143E4">
        <w:rPr>
          <w:rFonts w:ascii="Arial" w:hAnsi="Arial" w:cs="Arial"/>
          <w:b/>
          <w:sz w:val="28"/>
          <w:szCs w:val="24"/>
        </w:rPr>
        <w:t>-01/2018</w:t>
      </w:r>
    </w:p>
    <w:p w:rsidR="006F0A2A" w:rsidRPr="006143E4" w:rsidRDefault="006F0A2A" w:rsidP="00D938B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6C08" w:rsidRPr="006143E4" w:rsidRDefault="006F0A2A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D938B2">
        <w:rPr>
          <w:rFonts w:ascii="Arial" w:hAnsi="Arial" w:cs="Arial"/>
          <w:sz w:val="24"/>
          <w:szCs w:val="24"/>
        </w:rPr>
        <w:t>nto de La Libertad, a las diez</w:t>
      </w:r>
      <w:r w:rsidRPr="006143E4">
        <w:rPr>
          <w:rFonts w:ascii="Arial" w:hAnsi="Arial" w:cs="Arial"/>
          <w:sz w:val="24"/>
          <w:szCs w:val="24"/>
        </w:rPr>
        <w:t xml:space="preserve"> horas</w:t>
      </w:r>
      <w:r w:rsidR="008D6C08" w:rsidRPr="006143E4">
        <w:rPr>
          <w:rFonts w:ascii="Arial" w:hAnsi="Arial" w:cs="Arial"/>
          <w:sz w:val="24"/>
          <w:szCs w:val="24"/>
        </w:rPr>
        <w:t xml:space="preserve"> y </w:t>
      </w:r>
      <w:r w:rsidR="00F70093">
        <w:rPr>
          <w:rFonts w:ascii="Arial" w:hAnsi="Arial" w:cs="Arial"/>
          <w:sz w:val="24"/>
          <w:szCs w:val="24"/>
        </w:rPr>
        <w:t>cincuenta</w:t>
      </w:r>
      <w:r w:rsidR="008B3081" w:rsidRPr="006143E4">
        <w:rPr>
          <w:rFonts w:ascii="Arial" w:hAnsi="Arial" w:cs="Arial"/>
          <w:sz w:val="24"/>
          <w:szCs w:val="24"/>
        </w:rPr>
        <w:t xml:space="preserve"> minutos</w:t>
      </w:r>
      <w:r w:rsidRPr="006143E4">
        <w:rPr>
          <w:rFonts w:ascii="Arial" w:hAnsi="Arial" w:cs="Arial"/>
          <w:sz w:val="24"/>
          <w:szCs w:val="24"/>
        </w:rPr>
        <w:t xml:space="preserve"> del día die</w:t>
      </w:r>
      <w:r w:rsidR="00D938B2">
        <w:rPr>
          <w:rFonts w:ascii="Arial" w:hAnsi="Arial" w:cs="Arial"/>
          <w:sz w:val="24"/>
          <w:szCs w:val="24"/>
        </w:rPr>
        <w:t>ciséis</w:t>
      </w:r>
      <w:r w:rsidRPr="006143E4">
        <w:rPr>
          <w:rFonts w:ascii="Arial" w:hAnsi="Arial" w:cs="Arial"/>
          <w:sz w:val="24"/>
          <w:szCs w:val="24"/>
        </w:rPr>
        <w:t xml:space="preserve"> de enero del año dos mil dieciocho</w:t>
      </w:r>
      <w:r w:rsidR="008D6C08" w:rsidRPr="006143E4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6143E4">
        <w:rPr>
          <w:rFonts w:ascii="Arial" w:hAnsi="Arial" w:cs="Arial"/>
          <w:b/>
          <w:sz w:val="24"/>
          <w:szCs w:val="24"/>
        </w:rPr>
        <w:t>solicitud de información número 00</w:t>
      </w:r>
      <w:r w:rsidR="00D938B2">
        <w:rPr>
          <w:rFonts w:ascii="Arial" w:hAnsi="Arial" w:cs="Arial"/>
          <w:b/>
          <w:sz w:val="24"/>
          <w:szCs w:val="24"/>
        </w:rPr>
        <w:t>2</w:t>
      </w:r>
      <w:r w:rsidRPr="006143E4">
        <w:rPr>
          <w:rFonts w:ascii="Arial" w:hAnsi="Arial" w:cs="Arial"/>
          <w:b/>
          <w:sz w:val="24"/>
          <w:szCs w:val="24"/>
        </w:rPr>
        <w:t>-01/2018</w:t>
      </w:r>
      <w:r w:rsidRPr="006143E4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D938B2" w:rsidRPr="00EE4B01">
        <w:rPr>
          <w:rFonts w:ascii="Arial" w:hAnsi="Arial" w:cs="Arial"/>
          <w:b/>
          <w:sz w:val="24"/>
          <w:szCs w:val="24"/>
        </w:rPr>
        <w:t>“Proporcionar los montos en dinero que se han pagado con compras de combustible entre 2010 y 2017, ambos años inclusive, ya sea por licitación, libre gestión, compra directa o cualquier otra figura que aplique según la ley.”</w:t>
      </w:r>
      <w:r w:rsidR="007228D1" w:rsidRPr="006143E4">
        <w:rPr>
          <w:rFonts w:ascii="Arial" w:hAnsi="Arial" w:cs="Arial"/>
          <w:sz w:val="24"/>
          <w:szCs w:val="24"/>
        </w:rPr>
        <w:t>,</w:t>
      </w:r>
      <w:r w:rsidR="007228D1" w:rsidRPr="006143E4">
        <w:rPr>
          <w:rFonts w:ascii="Arial" w:hAnsi="Arial" w:cs="Arial"/>
          <w:b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>se verificó que la solicitud cumple con los requisitos establecidos en el Artículo 66 de la Ley de Acceso a la Información Pública-LAIP, y 50, 52</w:t>
      </w:r>
      <w:r w:rsidR="008D6C08" w:rsidRPr="006143E4">
        <w:rPr>
          <w:rFonts w:ascii="Arial" w:hAnsi="Arial" w:cs="Arial"/>
          <w:sz w:val="24"/>
          <w:szCs w:val="24"/>
        </w:rPr>
        <w:t xml:space="preserve"> y 53 del Reglamento de la LAIP, así como 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6143E4">
        <w:rPr>
          <w:rFonts w:ascii="Arial" w:hAnsi="Arial" w:cs="Arial"/>
          <w:sz w:val="24"/>
          <w:szCs w:val="24"/>
        </w:rPr>
        <w:t xml:space="preserve">, por lo que, </w:t>
      </w:r>
      <w:r w:rsidR="008D6C08" w:rsidRPr="006143E4">
        <w:rPr>
          <w:rFonts w:ascii="Arial" w:hAnsi="Arial" w:cs="Arial"/>
          <w:sz w:val="24"/>
          <w:szCs w:val="24"/>
        </w:rPr>
        <w:t>previo a resolver</w:t>
      </w:r>
      <w:r w:rsidR="00590AB9" w:rsidRPr="006143E4">
        <w:rPr>
          <w:rFonts w:ascii="Arial" w:hAnsi="Arial" w:cs="Arial"/>
          <w:sz w:val="24"/>
          <w:szCs w:val="24"/>
        </w:rPr>
        <w:t xml:space="preserve"> sobre</w:t>
      </w:r>
      <w:r w:rsidR="008D6C08" w:rsidRPr="006143E4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6143E4" w:rsidRDefault="006143E4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6143E4" w:rsidRDefault="008D6C08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1. 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6143E4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ni la vida privada de los demás. Asimismo, los Artículos 19 de la Declaración Universal de los Derechos Humanos, 4 de la Declaración Americana de los Derechos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y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Deberes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del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Hombre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y 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>13.1</w:t>
      </w:r>
      <w:r w:rsidR="000703A0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 xml:space="preserve"> de la Convención Americana sobre los Derechos Humanos, señalan que el acceso a la información pública es una herramienta eficaz en el ejercicio del derecho al acceso a la información.</w:t>
      </w:r>
    </w:p>
    <w:p w:rsidR="006143E4" w:rsidRPr="006143E4" w:rsidRDefault="006143E4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6143E4" w:rsidRDefault="00191507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Que el</w:t>
      </w:r>
      <w:r w:rsidR="008D6C08" w:rsidRPr="006143E4">
        <w:rPr>
          <w:rFonts w:ascii="Arial" w:hAnsi="Arial" w:cs="Arial"/>
          <w:sz w:val="24"/>
          <w:szCs w:val="24"/>
        </w:rPr>
        <w:t xml:space="preserve">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6143E4" w:rsidRDefault="008D6C08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3E4" w:rsidRPr="006143E4" w:rsidRDefault="008D6C08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3. En el marco de la competencia subjetiva, inmersa en los Artículos 50 y 70 de la</w:t>
      </w:r>
      <w:r w:rsidR="00590AB9" w:rsidRPr="006143E4">
        <w:rPr>
          <w:rFonts w:ascii="Arial" w:hAnsi="Arial" w:cs="Arial"/>
          <w:sz w:val="24"/>
          <w:szCs w:val="24"/>
        </w:rPr>
        <w:t xml:space="preserve"> </w:t>
      </w:r>
      <w:r w:rsidRPr="006143E4">
        <w:rPr>
          <w:rFonts w:ascii="Arial" w:hAnsi="Arial" w:cs="Arial"/>
          <w:sz w:val="24"/>
          <w:szCs w:val="24"/>
        </w:rPr>
        <w:t>LAIP, otorgan a los oficiales de información las potestades requeridas para dar trámite a las solicitudes de infor</w:t>
      </w:r>
      <w:r w:rsidR="00590AB9" w:rsidRPr="006143E4">
        <w:rPr>
          <w:rFonts w:ascii="Arial" w:hAnsi="Arial" w:cs="Arial"/>
          <w:sz w:val="24"/>
          <w:szCs w:val="24"/>
        </w:rPr>
        <w:t>mación interpuestas ante las Unidades de Acceso a la Información Pública</w:t>
      </w:r>
      <w:r w:rsidRPr="006143E4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4E3B8C" w:rsidRPr="006143E4" w:rsidRDefault="004E3B8C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093" w:rsidRDefault="004E3B8C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 xml:space="preserve">4. En respuesta al requerimiento de información, la </w:t>
      </w:r>
      <w:r w:rsidR="00D938B2">
        <w:rPr>
          <w:rFonts w:ascii="Arial" w:hAnsi="Arial" w:cs="Arial"/>
          <w:sz w:val="24"/>
          <w:szCs w:val="24"/>
        </w:rPr>
        <w:t>Unidad de Adquisiciones y Contrataciones Institucional-UACI</w:t>
      </w:r>
      <w:r w:rsidR="00F70093">
        <w:rPr>
          <w:rFonts w:ascii="Arial" w:hAnsi="Arial" w:cs="Arial"/>
          <w:sz w:val="24"/>
          <w:szCs w:val="24"/>
        </w:rPr>
        <w:t xml:space="preserve">, brindó los montos pagados por la Defensoría del </w:t>
      </w:r>
    </w:p>
    <w:p w:rsidR="00F70093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093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093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093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093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Default="00F70093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Consumidor para el suministro de cupones de combustible </w:t>
      </w:r>
      <w:r w:rsidR="00D938B2">
        <w:rPr>
          <w:rFonts w:ascii="Arial" w:hAnsi="Arial" w:cs="Arial"/>
          <w:sz w:val="24"/>
          <w:szCs w:val="24"/>
        </w:rPr>
        <w:t xml:space="preserve">desde el año 2010 hasta el 2017, que incluye todas las formas de contratación aplicadas por </w:t>
      </w:r>
      <w:r>
        <w:rPr>
          <w:rFonts w:ascii="Arial" w:hAnsi="Arial" w:cs="Arial"/>
          <w:sz w:val="24"/>
          <w:szCs w:val="24"/>
        </w:rPr>
        <w:t>esta institución.</w:t>
      </w:r>
    </w:p>
    <w:p w:rsidR="00590AB9" w:rsidRPr="006143E4" w:rsidRDefault="00590AB9" w:rsidP="00D938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6143E4" w:rsidRDefault="004E3B8C" w:rsidP="00D938B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 xml:space="preserve">Por tanto, tomando en cuenta lo antes expuesto en observancia a los Artículos 1, 6 y 18 de la Constitución, así como el procedimiento de acceso a la información, establecido en los Artículos 50 letras "h" e "i", 61, 62, 65, 69, 72 y 102 de la </w:t>
      </w:r>
      <w:r w:rsidR="00590AB9" w:rsidRPr="006143E4">
        <w:rPr>
          <w:rFonts w:ascii="Arial" w:hAnsi="Arial" w:cs="Arial"/>
          <w:sz w:val="24"/>
          <w:szCs w:val="24"/>
        </w:rPr>
        <w:t>LAIP</w:t>
      </w:r>
      <w:r w:rsidRPr="006143E4">
        <w:rPr>
          <w:rFonts w:ascii="Arial" w:hAnsi="Arial" w:cs="Arial"/>
          <w:sz w:val="24"/>
          <w:szCs w:val="24"/>
        </w:rPr>
        <w:t>, se resuelve:</w:t>
      </w:r>
    </w:p>
    <w:p w:rsidR="008D6C08" w:rsidRDefault="00191507" w:rsidP="00D938B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</w:t>
      </w:r>
      <w:r w:rsidR="004E3B8C" w:rsidRPr="006143E4">
        <w:rPr>
          <w:rFonts w:ascii="Arial" w:hAnsi="Arial" w:cs="Arial"/>
          <w:sz w:val="24"/>
          <w:szCs w:val="24"/>
        </w:rPr>
        <w:t xml:space="preserve"> base </w:t>
      </w:r>
      <w:r>
        <w:rPr>
          <w:rFonts w:ascii="Arial" w:hAnsi="Arial" w:cs="Arial"/>
          <w:sz w:val="24"/>
          <w:szCs w:val="24"/>
        </w:rPr>
        <w:t>e</w:t>
      </w:r>
      <w:r w:rsidR="00590AB9" w:rsidRPr="006143E4">
        <w:rPr>
          <w:rFonts w:ascii="Arial" w:hAnsi="Arial" w:cs="Arial"/>
          <w:sz w:val="24"/>
          <w:szCs w:val="24"/>
        </w:rPr>
        <w:t>n</w:t>
      </w:r>
      <w:r w:rsidR="004E3B8C" w:rsidRPr="006143E4">
        <w:rPr>
          <w:rFonts w:ascii="Arial" w:hAnsi="Arial" w:cs="Arial"/>
          <w:sz w:val="24"/>
          <w:szCs w:val="24"/>
        </w:rPr>
        <w:t xml:space="preserve"> lo informado por la </w:t>
      </w:r>
      <w:r w:rsidR="00D938B2">
        <w:rPr>
          <w:rFonts w:ascii="Arial" w:hAnsi="Arial" w:cs="Arial"/>
          <w:sz w:val="24"/>
          <w:szCs w:val="24"/>
        </w:rPr>
        <w:t>UACI</w:t>
      </w:r>
      <w:r w:rsidR="004E3B8C" w:rsidRPr="006143E4">
        <w:rPr>
          <w:rFonts w:ascii="Arial" w:hAnsi="Arial" w:cs="Arial"/>
          <w:sz w:val="24"/>
          <w:szCs w:val="24"/>
        </w:rPr>
        <w:t xml:space="preserve"> de la Defensoría del Consumidor</w:t>
      </w:r>
      <w:r w:rsidR="00590AB9" w:rsidRPr="006143E4">
        <w:rPr>
          <w:rFonts w:ascii="Arial" w:hAnsi="Arial" w:cs="Arial"/>
          <w:sz w:val="24"/>
          <w:szCs w:val="24"/>
        </w:rPr>
        <w:t xml:space="preserve">, </w:t>
      </w:r>
      <w:r w:rsidR="00D938B2">
        <w:rPr>
          <w:rFonts w:ascii="Arial" w:hAnsi="Arial" w:cs="Arial"/>
          <w:sz w:val="24"/>
          <w:szCs w:val="24"/>
        </w:rPr>
        <w:t xml:space="preserve">se proporcionan los montos </w:t>
      </w:r>
      <w:r w:rsidR="00F70093">
        <w:rPr>
          <w:rFonts w:ascii="Arial" w:hAnsi="Arial" w:cs="Arial"/>
          <w:sz w:val="24"/>
          <w:szCs w:val="24"/>
        </w:rPr>
        <w:t>de contratación para el suministro de cupones de combustible en el período comprendido desde el año 2010 al 2017: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1737"/>
      </w:tblGrid>
      <w:tr w:rsidR="00F70093" w:rsidRPr="00F70093" w:rsidTr="0017606A">
        <w:trPr>
          <w:trHeight w:val="562"/>
          <w:jc w:val="center"/>
        </w:trPr>
        <w:tc>
          <w:tcPr>
            <w:tcW w:w="1774" w:type="dxa"/>
            <w:shd w:val="clear" w:color="auto" w:fill="BDD6EE" w:themeFill="accent1" w:themeFillTint="66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AÑO</w:t>
            </w:r>
          </w:p>
        </w:tc>
        <w:tc>
          <w:tcPr>
            <w:tcW w:w="1737" w:type="dxa"/>
            <w:shd w:val="clear" w:color="auto" w:fill="BDD6EE" w:themeFill="accent1" w:themeFillTint="66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MONTO</w:t>
            </w:r>
          </w:p>
        </w:tc>
      </w:tr>
      <w:tr w:rsidR="00F70093" w:rsidRPr="00F70093" w:rsidTr="00F70093">
        <w:trPr>
          <w:trHeight w:val="306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2010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$40,000.00</w:t>
            </w:r>
          </w:p>
        </w:tc>
      </w:tr>
      <w:tr w:rsidR="00F70093" w:rsidRPr="00F70093" w:rsidTr="00F70093">
        <w:trPr>
          <w:trHeight w:val="270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2011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$67,932.00</w:t>
            </w:r>
          </w:p>
        </w:tc>
      </w:tr>
      <w:tr w:rsidR="00F70093" w:rsidRPr="00F70093" w:rsidTr="00F70093">
        <w:trPr>
          <w:trHeight w:val="131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2012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$53,642.50</w:t>
            </w:r>
          </w:p>
        </w:tc>
      </w:tr>
      <w:tr w:rsidR="00F70093" w:rsidRPr="00F70093" w:rsidTr="00F70093">
        <w:trPr>
          <w:trHeight w:val="176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2013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$53,672.44</w:t>
            </w:r>
          </w:p>
        </w:tc>
      </w:tr>
      <w:tr w:rsidR="00F70093" w:rsidRPr="00F70093" w:rsidTr="00F70093">
        <w:trPr>
          <w:trHeight w:val="80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2014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$49,900.00</w:t>
            </w:r>
          </w:p>
        </w:tc>
      </w:tr>
      <w:tr w:rsidR="00F70093" w:rsidRPr="00F70093" w:rsidTr="00F70093">
        <w:trPr>
          <w:trHeight w:val="126"/>
          <w:jc w:val="center"/>
        </w:trPr>
        <w:tc>
          <w:tcPr>
            <w:tcW w:w="1774" w:type="dxa"/>
            <w:shd w:val="solid" w:color="FFFFFF" w:fill="auto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2015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$37,924.00</w:t>
            </w:r>
          </w:p>
        </w:tc>
      </w:tr>
      <w:tr w:rsidR="00F70093" w:rsidRPr="00F70093" w:rsidTr="00F70093">
        <w:trPr>
          <w:trHeight w:val="70"/>
          <w:jc w:val="center"/>
        </w:trPr>
        <w:tc>
          <w:tcPr>
            <w:tcW w:w="1774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$40,000.00</w:t>
            </w:r>
          </w:p>
        </w:tc>
      </w:tr>
      <w:tr w:rsidR="00F70093" w:rsidRPr="00F70093" w:rsidTr="00F70093">
        <w:trPr>
          <w:trHeight w:val="70"/>
          <w:jc w:val="center"/>
        </w:trPr>
        <w:tc>
          <w:tcPr>
            <w:tcW w:w="1774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1737" w:type="dxa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color w:val="000000"/>
                <w:sz w:val="20"/>
                <w:szCs w:val="24"/>
              </w:rPr>
              <w:t>$30,000.00</w:t>
            </w:r>
          </w:p>
        </w:tc>
      </w:tr>
      <w:tr w:rsidR="00F70093" w:rsidRPr="00F70093" w:rsidTr="0017606A">
        <w:trPr>
          <w:trHeight w:val="269"/>
          <w:jc w:val="center"/>
        </w:trPr>
        <w:tc>
          <w:tcPr>
            <w:tcW w:w="1774" w:type="dxa"/>
            <w:shd w:val="clear" w:color="auto" w:fill="BDD6EE" w:themeFill="accent1" w:themeFillTint="66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TOTAL</w:t>
            </w:r>
          </w:p>
        </w:tc>
        <w:tc>
          <w:tcPr>
            <w:tcW w:w="1737" w:type="dxa"/>
            <w:shd w:val="clear" w:color="auto" w:fill="BDD6EE" w:themeFill="accent1" w:themeFillTint="66"/>
            <w:vAlign w:val="center"/>
          </w:tcPr>
          <w:p w:rsidR="00F70093" w:rsidRPr="00F70093" w:rsidRDefault="00F70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F700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$373,070.94</w:t>
            </w:r>
          </w:p>
        </w:tc>
      </w:tr>
    </w:tbl>
    <w:p w:rsidR="00D938B2" w:rsidRPr="006143E4" w:rsidRDefault="00D938B2" w:rsidP="00D938B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Default="00590AB9" w:rsidP="00D938B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70093" w:rsidRDefault="00F70093" w:rsidP="00F70093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6143E4" w:rsidRDefault="00590AB9" w:rsidP="00D938B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Se hace constar que, la Defensoría del Consumidor respondió a la sol</w:t>
      </w:r>
      <w:r w:rsidR="00F70093">
        <w:rPr>
          <w:rFonts w:ascii="Arial" w:hAnsi="Arial" w:cs="Arial"/>
          <w:sz w:val="24"/>
          <w:szCs w:val="24"/>
        </w:rPr>
        <w:t>icitud de información número 002</w:t>
      </w:r>
      <w:r w:rsidRPr="006143E4">
        <w:rPr>
          <w:rFonts w:ascii="Arial" w:hAnsi="Arial" w:cs="Arial"/>
          <w:sz w:val="24"/>
          <w:szCs w:val="24"/>
        </w:rPr>
        <w:t>-01/2018, dentro del plazo legal establecido en el Artículo 71 inciso primero de la LAIP y comunicado en la Constancia de recepción y Resolución de admisibilidad, respectivamente.</w:t>
      </w:r>
    </w:p>
    <w:p w:rsidR="008D6C08" w:rsidRDefault="008D6C08" w:rsidP="00D938B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3E41" w:rsidRDefault="009D3E41" w:rsidP="009D3E4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:rsidR="009D3E41" w:rsidRDefault="009D3E41" w:rsidP="009D3E41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p w:rsidR="009D3E41" w:rsidRPr="004D5F15" w:rsidRDefault="009D3E41" w:rsidP="009D3E41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</w:rPr>
        <w:t>Oficial de Información y Transparencia</w:t>
      </w:r>
    </w:p>
    <w:p w:rsidR="009D3E41" w:rsidRPr="006143E4" w:rsidRDefault="009D3E41" w:rsidP="00D938B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Pr="006143E4" w:rsidRDefault="006F0A2A" w:rsidP="00D938B2">
      <w:pPr>
        <w:spacing w:line="240" w:lineRule="auto"/>
        <w:jc w:val="both"/>
        <w:rPr>
          <w:sz w:val="24"/>
          <w:szCs w:val="24"/>
        </w:rPr>
      </w:pPr>
      <w:r w:rsidRPr="006143E4">
        <w:rPr>
          <w:rFonts w:ascii="Arial" w:hAnsi="Arial" w:cs="Arial"/>
          <w:sz w:val="24"/>
          <w:szCs w:val="24"/>
        </w:rPr>
        <w:t>.</w:t>
      </w:r>
    </w:p>
    <w:sectPr w:rsidR="00346D2B" w:rsidRPr="006143E4" w:rsidSect="00070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6B" w:rsidRDefault="006D606B" w:rsidP="006F0A2A">
      <w:pPr>
        <w:spacing w:after="0" w:line="240" w:lineRule="auto"/>
      </w:pPr>
      <w:r>
        <w:separator/>
      </w:r>
    </w:p>
  </w:endnote>
  <w:endnote w:type="continuationSeparator" w:id="0">
    <w:p w:rsidR="006D606B" w:rsidRDefault="006D606B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B9" w:rsidRDefault="00AA47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91" w:rsidRDefault="005E26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B9" w:rsidRDefault="00AA47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6B" w:rsidRDefault="006D606B" w:rsidP="006F0A2A">
      <w:pPr>
        <w:spacing w:after="0" w:line="240" w:lineRule="auto"/>
      </w:pPr>
      <w:r>
        <w:separator/>
      </w:r>
    </w:p>
  </w:footnote>
  <w:footnote w:type="continuationSeparator" w:id="0">
    <w:p w:rsidR="006D606B" w:rsidRDefault="006D606B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B9" w:rsidRDefault="00AA47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2A" w:rsidRDefault="006F0A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B9" w:rsidRDefault="00AA4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432D8"/>
    <w:multiLevelType w:val="hybridMultilevel"/>
    <w:tmpl w:val="6F243FA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703A0"/>
    <w:rsid w:val="0017606A"/>
    <w:rsid w:val="00191507"/>
    <w:rsid w:val="001F54AD"/>
    <w:rsid w:val="002B284E"/>
    <w:rsid w:val="002E4204"/>
    <w:rsid w:val="00346D2B"/>
    <w:rsid w:val="00455167"/>
    <w:rsid w:val="004E3B8C"/>
    <w:rsid w:val="00590AB9"/>
    <w:rsid w:val="005E0755"/>
    <w:rsid w:val="005E2691"/>
    <w:rsid w:val="006143E4"/>
    <w:rsid w:val="006D606B"/>
    <w:rsid w:val="006F0A2A"/>
    <w:rsid w:val="007228D1"/>
    <w:rsid w:val="008B3081"/>
    <w:rsid w:val="008D6C08"/>
    <w:rsid w:val="00932B44"/>
    <w:rsid w:val="009D3E41"/>
    <w:rsid w:val="00AA47B9"/>
    <w:rsid w:val="00AF1209"/>
    <w:rsid w:val="00C36360"/>
    <w:rsid w:val="00C829A7"/>
    <w:rsid w:val="00D938B2"/>
    <w:rsid w:val="00DD777F"/>
    <w:rsid w:val="00F10A9A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7EE6F0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15</cp:revision>
  <cp:lastPrinted>2018-01-10T21:45:00Z</cp:lastPrinted>
  <dcterms:created xsi:type="dcterms:W3CDTF">2018-01-10T17:58:00Z</dcterms:created>
  <dcterms:modified xsi:type="dcterms:W3CDTF">2018-02-01T16:25:00Z</dcterms:modified>
</cp:coreProperties>
</file>