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5AEC" w14:textId="77777777" w:rsidR="00757BF4" w:rsidRPr="00533CA6" w:rsidRDefault="00757BF4" w:rsidP="00757BF4">
      <w:pPr>
        <w:spacing w:after="240"/>
        <w:jc w:val="center"/>
        <w:rPr>
          <w:rFonts w:eastAsia="Arial Unicode MS" w:cstheme="majorBidi"/>
          <w:b/>
          <w:bCs/>
          <w:color w:val="000099"/>
          <w:sz w:val="18"/>
          <w:szCs w:val="28"/>
          <w:lang w:eastAsia="en-US"/>
        </w:rPr>
      </w:pPr>
      <w:r w:rsidRPr="00533CA6">
        <w:rPr>
          <w:rFonts w:eastAsia="Arial Unicode MS" w:cstheme="majorBidi"/>
          <w:b/>
          <w:bCs/>
          <w:color w:val="000099"/>
          <w:sz w:val="18"/>
          <w:szCs w:val="28"/>
          <w:lang w:eastAsia="en-US"/>
        </w:rPr>
        <w:t>Versión pública de acuerdo a lo dispuesto en el Art. 30 de la LAIP, se elimina el nombre y Documento Único de Identidad de la persona  solicitante por ser datos personales Art. 6 literal “a”;  los datos se ubican en el primer párrafo de la presente resolución.</w:t>
      </w:r>
    </w:p>
    <w:p w14:paraId="34BEF231" w14:textId="77777777" w:rsidR="003F53CA" w:rsidRPr="003D4FD2" w:rsidRDefault="007769DF" w:rsidP="00757BF4">
      <w:pPr>
        <w:jc w:val="center"/>
        <w:rPr>
          <w:rFonts w:ascii="Arial" w:hAnsi="Arial" w:cs="Arial"/>
          <w:b/>
          <w:sz w:val="28"/>
          <w:lang w:val="es-SV"/>
        </w:rPr>
      </w:pPr>
      <w:r w:rsidRPr="003D4FD2">
        <w:rPr>
          <w:rFonts w:ascii="Arial" w:hAnsi="Arial" w:cs="Arial"/>
          <w:b/>
          <w:sz w:val="28"/>
          <w:lang w:val="es-SV"/>
        </w:rPr>
        <w:t>RESOLUCIÓN</w:t>
      </w:r>
      <w:r w:rsidR="002E6C7C" w:rsidRPr="003D4FD2">
        <w:rPr>
          <w:rFonts w:ascii="Arial" w:hAnsi="Arial" w:cs="Arial"/>
          <w:b/>
          <w:sz w:val="28"/>
          <w:lang w:val="es-SV"/>
        </w:rPr>
        <w:t xml:space="preserve"> DE ENTREGA DE INFORMACIÓN </w:t>
      </w:r>
    </w:p>
    <w:p w14:paraId="7E679D36" w14:textId="43451BF6" w:rsidR="007769DF" w:rsidRPr="003D4FD2" w:rsidRDefault="003F53CA" w:rsidP="00757BF4">
      <w:pPr>
        <w:jc w:val="center"/>
        <w:rPr>
          <w:rFonts w:ascii="Arial" w:hAnsi="Arial" w:cs="Arial"/>
          <w:b/>
          <w:sz w:val="28"/>
          <w:lang w:val="es-SV"/>
        </w:rPr>
      </w:pPr>
      <w:r w:rsidRPr="003D4FD2">
        <w:rPr>
          <w:rFonts w:ascii="Arial" w:hAnsi="Arial" w:cs="Arial"/>
          <w:b/>
          <w:sz w:val="28"/>
          <w:lang w:val="es-SV"/>
        </w:rPr>
        <w:t xml:space="preserve">SOLICITUD </w:t>
      </w:r>
      <w:r w:rsidR="002E6C7C" w:rsidRPr="003D4FD2">
        <w:rPr>
          <w:rFonts w:ascii="Arial" w:hAnsi="Arial" w:cs="Arial"/>
          <w:b/>
          <w:sz w:val="28"/>
          <w:lang w:val="es-SV"/>
        </w:rPr>
        <w:t xml:space="preserve">NÚMERO </w:t>
      </w:r>
      <w:r w:rsidR="00D57DAD" w:rsidRPr="003D4FD2">
        <w:rPr>
          <w:rFonts w:ascii="Arial" w:hAnsi="Arial" w:cs="Arial"/>
          <w:b/>
          <w:sz w:val="28"/>
          <w:lang w:val="es-SV"/>
        </w:rPr>
        <w:t>003/2016</w:t>
      </w:r>
    </w:p>
    <w:p w14:paraId="1CDA5959" w14:textId="77777777" w:rsidR="00C75814" w:rsidRPr="003D4FD2" w:rsidRDefault="00C75814" w:rsidP="00757BF4">
      <w:pPr>
        <w:spacing w:after="240"/>
        <w:jc w:val="center"/>
        <w:rPr>
          <w:rFonts w:ascii="Arial" w:hAnsi="Arial" w:cs="Arial"/>
          <w:b/>
          <w:sz w:val="28"/>
          <w:lang w:val="es-SV"/>
        </w:rPr>
      </w:pPr>
    </w:p>
    <w:p w14:paraId="03825EA8" w14:textId="59F1A461" w:rsidR="00D57DAD" w:rsidRPr="00A90382" w:rsidRDefault="00DD37C5" w:rsidP="00757BF4">
      <w:pPr>
        <w:pStyle w:val="Textosinformato"/>
        <w:spacing w:after="240" w:line="360" w:lineRule="auto"/>
        <w:jc w:val="both"/>
        <w:rPr>
          <w:rFonts w:ascii="Arial" w:hAnsi="Arial" w:cs="Arial"/>
          <w:b/>
          <w:sz w:val="24"/>
          <w:szCs w:val="24"/>
        </w:rPr>
      </w:pPr>
      <w:r w:rsidRPr="00A90382">
        <w:rPr>
          <w:rFonts w:ascii="Arial" w:hAnsi="Arial" w:cs="Arial"/>
          <w:sz w:val="24"/>
          <w:szCs w:val="24"/>
        </w:rPr>
        <w:t>En las oficinas de la Defenso</w:t>
      </w:r>
      <w:r w:rsidR="005F0F27" w:rsidRPr="00A90382">
        <w:rPr>
          <w:rFonts w:ascii="Arial" w:hAnsi="Arial" w:cs="Arial"/>
          <w:sz w:val="24"/>
          <w:szCs w:val="24"/>
        </w:rPr>
        <w:t>r</w:t>
      </w:r>
      <w:r w:rsidR="0021300E" w:rsidRPr="00A90382">
        <w:rPr>
          <w:rFonts w:ascii="Arial" w:hAnsi="Arial" w:cs="Arial"/>
          <w:sz w:val="24"/>
          <w:szCs w:val="24"/>
        </w:rPr>
        <w:t xml:space="preserve">ía del Consumidor, a </w:t>
      </w:r>
      <w:r w:rsidR="00523BE7">
        <w:rPr>
          <w:rFonts w:ascii="Arial" w:hAnsi="Arial" w:cs="Arial"/>
          <w:sz w:val="24"/>
          <w:szCs w:val="24"/>
        </w:rPr>
        <w:t xml:space="preserve">las quince </w:t>
      </w:r>
      <w:r w:rsidR="00770270" w:rsidRPr="00A90382">
        <w:rPr>
          <w:rFonts w:ascii="Arial" w:hAnsi="Arial" w:cs="Arial"/>
          <w:sz w:val="24"/>
          <w:szCs w:val="24"/>
        </w:rPr>
        <w:t>horas y</w:t>
      </w:r>
      <w:r w:rsidR="0036017C" w:rsidRPr="00A90382">
        <w:rPr>
          <w:rFonts w:ascii="Arial" w:hAnsi="Arial" w:cs="Arial"/>
          <w:sz w:val="24"/>
          <w:szCs w:val="24"/>
        </w:rPr>
        <w:t xml:space="preserve"> </w:t>
      </w:r>
      <w:r w:rsidR="00FF2E1C">
        <w:rPr>
          <w:rFonts w:ascii="Arial" w:hAnsi="Arial" w:cs="Arial"/>
          <w:sz w:val="24"/>
          <w:szCs w:val="24"/>
        </w:rPr>
        <w:t>treinta y ocho</w:t>
      </w:r>
      <w:r w:rsidR="00523BE7">
        <w:rPr>
          <w:rFonts w:ascii="Arial" w:hAnsi="Arial" w:cs="Arial"/>
          <w:sz w:val="24"/>
          <w:szCs w:val="24"/>
        </w:rPr>
        <w:t xml:space="preserve"> </w:t>
      </w:r>
      <w:r w:rsidR="0042604E" w:rsidRPr="00A90382">
        <w:rPr>
          <w:rFonts w:ascii="Arial" w:hAnsi="Arial" w:cs="Arial"/>
          <w:sz w:val="24"/>
          <w:szCs w:val="24"/>
        </w:rPr>
        <w:t xml:space="preserve">minutos </w:t>
      </w:r>
      <w:r w:rsidR="0021300E" w:rsidRPr="00A90382">
        <w:rPr>
          <w:rFonts w:ascii="Arial" w:hAnsi="Arial" w:cs="Arial"/>
          <w:sz w:val="24"/>
          <w:szCs w:val="24"/>
        </w:rPr>
        <w:t xml:space="preserve"> del día </w:t>
      </w:r>
      <w:r w:rsidR="00D57DAD" w:rsidRPr="00A90382">
        <w:rPr>
          <w:rFonts w:ascii="Arial" w:hAnsi="Arial" w:cs="Arial"/>
          <w:sz w:val="24"/>
          <w:szCs w:val="24"/>
        </w:rPr>
        <w:t>dos de febrero del año dos mil dieciséis</w:t>
      </w:r>
      <w:r w:rsidRPr="00A90382">
        <w:rPr>
          <w:rFonts w:ascii="Arial" w:hAnsi="Arial" w:cs="Arial"/>
          <w:sz w:val="24"/>
          <w:szCs w:val="24"/>
        </w:rPr>
        <w:t xml:space="preserve">, luego de haber recibido y admitido la solicitud de información número </w:t>
      </w:r>
      <w:r w:rsidR="00D57DAD" w:rsidRPr="00A90382">
        <w:rPr>
          <w:rFonts w:ascii="Arial" w:hAnsi="Arial" w:cs="Arial"/>
          <w:b/>
          <w:sz w:val="24"/>
          <w:szCs w:val="24"/>
        </w:rPr>
        <w:t>003/2016</w:t>
      </w:r>
      <w:r w:rsidRPr="00A90382">
        <w:rPr>
          <w:rFonts w:ascii="Arial" w:hAnsi="Arial" w:cs="Arial"/>
          <w:sz w:val="24"/>
          <w:szCs w:val="24"/>
        </w:rPr>
        <w:t xml:space="preserve"> presentada ante la Unidad de Acceso a la Información Pública y Transparencia de esta In</w:t>
      </w:r>
      <w:r w:rsidR="005F0F27" w:rsidRPr="00A90382">
        <w:rPr>
          <w:rFonts w:ascii="Arial" w:hAnsi="Arial" w:cs="Arial"/>
          <w:sz w:val="24"/>
          <w:szCs w:val="24"/>
        </w:rPr>
        <w:t xml:space="preserve">stitución por parte </w:t>
      </w:r>
      <w:r w:rsidR="00770270" w:rsidRPr="00A90382">
        <w:rPr>
          <w:rFonts w:ascii="Arial" w:hAnsi="Arial" w:cs="Arial"/>
          <w:sz w:val="24"/>
          <w:szCs w:val="24"/>
        </w:rPr>
        <w:t xml:space="preserve">del señor </w:t>
      </w:r>
      <w:r w:rsidR="00757BF4" w:rsidRPr="00757BF4">
        <w:rPr>
          <w:rFonts w:ascii="Arial" w:hAnsi="Arial" w:cs="Arial"/>
          <w:sz w:val="24"/>
          <w:szCs w:val="24"/>
          <w:highlight w:val="black"/>
        </w:rPr>
        <w:t>xxxxxxxxxxxxxxxxxxxx</w:t>
      </w:r>
      <w:r w:rsidR="00770270" w:rsidRPr="00757BF4">
        <w:rPr>
          <w:rFonts w:ascii="Arial" w:hAnsi="Arial" w:cs="Arial"/>
          <w:sz w:val="24"/>
          <w:szCs w:val="24"/>
          <w:highlight w:val="black"/>
        </w:rPr>
        <w:t>,</w:t>
      </w:r>
      <w:r w:rsidR="00770270" w:rsidRPr="00A90382">
        <w:rPr>
          <w:rFonts w:ascii="Arial" w:hAnsi="Arial" w:cs="Arial"/>
          <w:sz w:val="24"/>
          <w:szCs w:val="24"/>
        </w:rPr>
        <w:t xml:space="preserve"> quien se identifica con su Documento Único de Identidad número </w:t>
      </w:r>
      <w:r w:rsidR="00D57DAD" w:rsidRPr="00A90382">
        <w:rPr>
          <w:rFonts w:ascii="Arial" w:hAnsi="Arial" w:cs="Arial"/>
          <w:sz w:val="24"/>
          <w:szCs w:val="24"/>
        </w:rPr>
        <w:t xml:space="preserve"> </w:t>
      </w:r>
      <w:r w:rsidR="00757BF4" w:rsidRPr="00757BF4">
        <w:rPr>
          <w:rFonts w:ascii="Arial" w:hAnsi="Arial" w:cs="Arial"/>
          <w:sz w:val="24"/>
          <w:szCs w:val="24"/>
          <w:highlight w:val="black"/>
        </w:rPr>
        <w:t>xxxxxxxxxxxxxxxxxxxxxxxxxxxxxxxxxxxxxxxxxxxx</w:t>
      </w:r>
      <w:r w:rsidR="00157A9C" w:rsidRPr="00757BF4">
        <w:rPr>
          <w:rFonts w:ascii="Arial" w:hAnsi="Arial" w:cs="Arial"/>
          <w:sz w:val="24"/>
          <w:szCs w:val="24"/>
          <w:highlight w:val="black"/>
        </w:rPr>
        <w:t>,</w:t>
      </w:r>
      <w:r w:rsidRPr="00A90382">
        <w:rPr>
          <w:rFonts w:ascii="Arial" w:hAnsi="Arial" w:cs="Arial"/>
          <w:sz w:val="24"/>
          <w:szCs w:val="24"/>
        </w:rPr>
        <w:t xml:space="preserve"> quien requiere:</w:t>
      </w:r>
      <w:r w:rsidR="00770270" w:rsidRPr="00A90382">
        <w:rPr>
          <w:rFonts w:ascii="Arial" w:hAnsi="Arial" w:cs="Arial"/>
          <w:sz w:val="24"/>
          <w:szCs w:val="24"/>
        </w:rPr>
        <w:t xml:space="preserve"> </w:t>
      </w:r>
      <w:r w:rsidR="00D57DAD" w:rsidRPr="00A90382">
        <w:rPr>
          <w:rFonts w:ascii="Arial" w:hAnsi="Arial" w:cs="Arial"/>
          <w:b/>
          <w:sz w:val="24"/>
          <w:szCs w:val="24"/>
        </w:rPr>
        <w:t>“1. Texto de las resoluciones (sentencias) emitidas por el Tribunal Sancionador, en formato electrónico, en las cuales se haya utilizado la presunción dispuesta en el artículo 112 de la Ley de Protección al Consumidor,  en el periodo  comprendido entre los  años 2013, 2014 y 2015;  2. Texto de las resoluciones (sentencias) emitidas por el Tribunal Sancionador, en formato electrónico, que hayan versado sobre el cometimiento de prácticas abusivas consistentes en cobros indebidos y cobros injuriantes, indistintamente de su resultado condenatorio o absolutorio,   en el periodo comprendido entre los años 2013, 2014 y 2015 y; 3. Copia electrónica de todas las sentencias definitivas emitidas por la Sala de lo Contencioso Administrativo notificadas al Tribunal Sancionador en su calidad de autoridad demandada, en el periodo comprendido entre los años 2012, 2013, 2014 y 2015.”</w:t>
      </w:r>
      <w:r w:rsidR="00770270" w:rsidRPr="00A90382">
        <w:rPr>
          <w:rFonts w:ascii="Arial" w:hAnsi="Arial" w:cs="Arial"/>
          <w:sz w:val="24"/>
          <w:szCs w:val="24"/>
        </w:rPr>
        <w:t>;</w:t>
      </w:r>
      <w:r w:rsidR="00770270" w:rsidRPr="00A90382">
        <w:rPr>
          <w:rFonts w:ascii="Arial" w:hAnsi="Arial" w:cs="Arial"/>
          <w:b/>
          <w:sz w:val="24"/>
          <w:szCs w:val="24"/>
        </w:rPr>
        <w:t xml:space="preserve"> </w:t>
      </w:r>
      <w:r w:rsidRPr="00A90382">
        <w:rPr>
          <w:rFonts w:ascii="Arial" w:hAnsi="Arial" w:cs="Arial"/>
          <w:sz w:val="24"/>
          <w:szCs w:val="24"/>
        </w:rPr>
        <w:t xml:space="preserve">se </w:t>
      </w:r>
      <w:r w:rsidR="003018E8" w:rsidRPr="00A90382">
        <w:rPr>
          <w:rFonts w:ascii="Arial" w:hAnsi="Arial" w:cs="Arial"/>
          <w:sz w:val="24"/>
          <w:szCs w:val="24"/>
        </w:rPr>
        <w:t xml:space="preserve">realizaron las gestiones necesarias con </w:t>
      </w:r>
      <w:r w:rsidR="00D57DAD" w:rsidRPr="00A90382">
        <w:rPr>
          <w:rFonts w:ascii="Arial" w:hAnsi="Arial" w:cs="Arial"/>
          <w:sz w:val="24"/>
          <w:szCs w:val="24"/>
        </w:rPr>
        <w:t>el Tribunal Sancionador</w:t>
      </w:r>
      <w:r w:rsidR="003018E8" w:rsidRPr="00A90382">
        <w:rPr>
          <w:rFonts w:ascii="Arial" w:hAnsi="Arial" w:cs="Arial"/>
          <w:sz w:val="24"/>
          <w:szCs w:val="24"/>
        </w:rPr>
        <w:t xml:space="preserve"> </w:t>
      </w:r>
      <w:r w:rsidR="00D57DAD" w:rsidRPr="00A90382">
        <w:rPr>
          <w:rFonts w:ascii="Arial" w:hAnsi="Arial" w:cs="Arial"/>
          <w:sz w:val="24"/>
          <w:szCs w:val="24"/>
        </w:rPr>
        <w:t>a fin de obtener los documentos de interés</w:t>
      </w:r>
      <w:r w:rsidR="00C75814" w:rsidRPr="00A90382">
        <w:rPr>
          <w:rFonts w:ascii="Arial" w:hAnsi="Arial" w:cs="Arial"/>
          <w:sz w:val="24"/>
          <w:szCs w:val="24"/>
        </w:rPr>
        <w:t xml:space="preserve">, el cual realizó la búsqueda, verificación y preparación de la información </w:t>
      </w:r>
      <w:r w:rsidR="00667F90">
        <w:rPr>
          <w:rFonts w:ascii="Arial" w:hAnsi="Arial" w:cs="Arial"/>
          <w:sz w:val="24"/>
          <w:szCs w:val="24"/>
        </w:rPr>
        <w:t xml:space="preserve">que fuera </w:t>
      </w:r>
      <w:r w:rsidR="00C75814" w:rsidRPr="00A90382">
        <w:rPr>
          <w:rFonts w:ascii="Arial" w:hAnsi="Arial" w:cs="Arial"/>
          <w:sz w:val="24"/>
          <w:szCs w:val="24"/>
        </w:rPr>
        <w:t>correspondiente a los requerimientos</w:t>
      </w:r>
      <w:r w:rsidR="00667F90">
        <w:rPr>
          <w:rFonts w:ascii="Arial" w:hAnsi="Arial" w:cs="Arial"/>
          <w:sz w:val="24"/>
          <w:szCs w:val="24"/>
        </w:rPr>
        <w:t xml:space="preserve"> interpuestos</w:t>
      </w:r>
      <w:r w:rsidR="00D57DAD" w:rsidRPr="00A90382">
        <w:rPr>
          <w:rFonts w:ascii="Arial" w:hAnsi="Arial" w:cs="Arial"/>
          <w:sz w:val="24"/>
          <w:szCs w:val="24"/>
        </w:rPr>
        <w:t xml:space="preserve"> y, después de analizar el fondo de lo solicitado y considerando que la solicitud cumple con todos los requisitos establecidos en el artículo 66 de la Ley de Acceso a la Información Pública –LAIP, se resuelve: </w:t>
      </w:r>
    </w:p>
    <w:p w14:paraId="3B7616D8" w14:textId="77777777" w:rsidR="00D57DAD" w:rsidRPr="00A90382" w:rsidRDefault="00D57DAD" w:rsidP="00757BF4">
      <w:pPr>
        <w:shd w:val="clear" w:color="auto" w:fill="FFFFFF" w:themeFill="background1"/>
        <w:spacing w:after="240"/>
        <w:contextualSpacing/>
        <w:rPr>
          <w:rFonts w:ascii="Arial" w:hAnsi="Arial" w:cs="Arial"/>
          <w:lang w:val="es-SV"/>
        </w:rPr>
      </w:pPr>
    </w:p>
    <w:p w14:paraId="6A3DDBF5" w14:textId="5B2CAA87" w:rsidR="00A90382" w:rsidRDefault="00D57DAD" w:rsidP="00757BF4">
      <w:pPr>
        <w:shd w:val="clear" w:color="auto" w:fill="FFFFFF" w:themeFill="background1"/>
        <w:spacing w:after="240"/>
        <w:contextualSpacing/>
        <w:jc w:val="center"/>
        <w:rPr>
          <w:rFonts w:ascii="Arial" w:hAnsi="Arial" w:cs="Arial"/>
          <w:b/>
          <w:lang w:val="es-SV"/>
        </w:rPr>
      </w:pPr>
      <w:r w:rsidRPr="00A90382">
        <w:rPr>
          <w:rFonts w:ascii="Arial" w:hAnsi="Arial" w:cs="Arial"/>
          <w:b/>
          <w:sz w:val="28"/>
          <w:lang w:val="es-SV"/>
        </w:rPr>
        <w:t>PROPORCIONAR LA INFORMACIÓN SOLICITADA</w:t>
      </w:r>
    </w:p>
    <w:p w14:paraId="622C4049" w14:textId="77777777" w:rsidR="00A90382" w:rsidRDefault="00A90382" w:rsidP="00757BF4">
      <w:pPr>
        <w:shd w:val="clear" w:color="auto" w:fill="FFFFFF" w:themeFill="background1"/>
        <w:spacing w:after="240"/>
        <w:contextualSpacing/>
        <w:jc w:val="both"/>
        <w:rPr>
          <w:rFonts w:ascii="Arial" w:hAnsi="Arial" w:cs="Arial"/>
          <w:b/>
          <w:lang w:val="es-SV"/>
        </w:rPr>
      </w:pPr>
    </w:p>
    <w:p w14:paraId="56AB1B24" w14:textId="77777777" w:rsidR="00A90382" w:rsidRDefault="00A90382" w:rsidP="00757BF4">
      <w:pPr>
        <w:shd w:val="clear" w:color="auto" w:fill="FFFFFF" w:themeFill="background1"/>
        <w:spacing w:after="240"/>
        <w:contextualSpacing/>
        <w:jc w:val="both"/>
        <w:rPr>
          <w:rFonts w:ascii="Arial" w:hAnsi="Arial" w:cs="Arial"/>
          <w:b/>
          <w:lang w:val="es-SV"/>
        </w:rPr>
      </w:pPr>
    </w:p>
    <w:p w14:paraId="2F86D063" w14:textId="77777777" w:rsidR="00E52BD4" w:rsidRDefault="00E52BD4" w:rsidP="00757BF4">
      <w:pPr>
        <w:shd w:val="clear" w:color="auto" w:fill="FFFFFF" w:themeFill="background1"/>
        <w:spacing w:after="240"/>
        <w:contextualSpacing/>
        <w:jc w:val="both"/>
        <w:rPr>
          <w:rFonts w:ascii="Arial" w:hAnsi="Arial" w:cs="Arial"/>
          <w:b/>
          <w:lang w:val="es-SV"/>
        </w:rPr>
      </w:pPr>
    </w:p>
    <w:p w14:paraId="4EA61AFE" w14:textId="77777777" w:rsidR="00757BF4" w:rsidRDefault="00757BF4" w:rsidP="00757BF4">
      <w:pPr>
        <w:shd w:val="clear" w:color="auto" w:fill="FFFFFF" w:themeFill="background1"/>
        <w:spacing w:after="240"/>
        <w:contextualSpacing/>
        <w:jc w:val="both"/>
        <w:rPr>
          <w:rFonts w:ascii="Arial" w:hAnsi="Arial" w:cs="Arial"/>
          <w:b/>
          <w:lang w:val="es-SV"/>
        </w:rPr>
      </w:pPr>
    </w:p>
    <w:p w14:paraId="5566507F" w14:textId="77777777" w:rsidR="00757BF4" w:rsidRDefault="00757BF4" w:rsidP="00757BF4">
      <w:pPr>
        <w:shd w:val="clear" w:color="auto" w:fill="FFFFFF" w:themeFill="background1"/>
        <w:spacing w:after="240"/>
        <w:contextualSpacing/>
        <w:jc w:val="both"/>
        <w:rPr>
          <w:rFonts w:ascii="Arial" w:hAnsi="Arial" w:cs="Arial"/>
          <w:b/>
          <w:lang w:val="es-SV"/>
        </w:rPr>
      </w:pPr>
    </w:p>
    <w:p w14:paraId="512B0A40" w14:textId="77777777" w:rsidR="00757BF4" w:rsidRDefault="00757BF4" w:rsidP="00757BF4">
      <w:pPr>
        <w:shd w:val="clear" w:color="auto" w:fill="FFFFFF" w:themeFill="background1"/>
        <w:spacing w:after="240"/>
        <w:contextualSpacing/>
        <w:jc w:val="both"/>
        <w:rPr>
          <w:rFonts w:ascii="Arial" w:hAnsi="Arial" w:cs="Arial"/>
          <w:b/>
          <w:lang w:val="es-SV"/>
        </w:rPr>
      </w:pPr>
    </w:p>
    <w:p w14:paraId="7B352B96" w14:textId="77777777" w:rsidR="00757BF4" w:rsidRDefault="00757BF4" w:rsidP="00757BF4">
      <w:pPr>
        <w:shd w:val="clear" w:color="auto" w:fill="FFFFFF" w:themeFill="background1"/>
        <w:spacing w:after="240"/>
        <w:contextualSpacing/>
        <w:jc w:val="both"/>
        <w:rPr>
          <w:rFonts w:ascii="Arial" w:hAnsi="Arial" w:cs="Arial"/>
          <w:b/>
          <w:lang w:val="es-SV"/>
        </w:rPr>
      </w:pPr>
    </w:p>
    <w:p w14:paraId="2D55645B" w14:textId="5424D8BA" w:rsidR="00D57DAD" w:rsidRPr="00A90382" w:rsidRDefault="00D57DAD" w:rsidP="00757BF4">
      <w:pPr>
        <w:shd w:val="clear" w:color="auto" w:fill="FFFFFF" w:themeFill="background1"/>
        <w:spacing w:after="240" w:line="360" w:lineRule="auto"/>
        <w:contextualSpacing/>
        <w:jc w:val="both"/>
        <w:rPr>
          <w:rFonts w:ascii="Arial" w:hAnsi="Arial" w:cs="Arial"/>
          <w:b/>
          <w:lang w:val="es-SV"/>
        </w:rPr>
      </w:pPr>
      <w:r w:rsidRPr="00A90382">
        <w:rPr>
          <w:rFonts w:ascii="Arial" w:hAnsi="Arial" w:cs="Arial"/>
          <w:b/>
          <w:lang w:val="es-SV"/>
        </w:rPr>
        <w:t xml:space="preserve">Requerimiento 1: </w:t>
      </w:r>
      <w:r w:rsidRPr="00A90382">
        <w:rPr>
          <w:rFonts w:ascii="Arial" w:hAnsi="Arial" w:cs="Arial"/>
          <w:lang w:val="es-SV"/>
        </w:rPr>
        <w:t xml:space="preserve">Se </w:t>
      </w:r>
      <w:r w:rsidR="00C75814" w:rsidRPr="00A90382">
        <w:rPr>
          <w:rFonts w:ascii="Arial" w:hAnsi="Arial" w:cs="Arial"/>
          <w:lang w:val="es-SV"/>
        </w:rPr>
        <w:t>entregan</w:t>
      </w:r>
      <w:r w:rsidR="00984FB0">
        <w:rPr>
          <w:rFonts w:ascii="Arial" w:hAnsi="Arial" w:cs="Arial"/>
          <w:lang w:val="es-SV"/>
        </w:rPr>
        <w:t xml:space="preserve"> las </w:t>
      </w:r>
      <w:r w:rsidRPr="00A90382">
        <w:rPr>
          <w:rFonts w:ascii="Arial" w:hAnsi="Arial" w:cs="Arial"/>
          <w:lang w:val="es-SV"/>
        </w:rPr>
        <w:t>resoluciones emitidas por el Tr</w:t>
      </w:r>
      <w:r w:rsidR="00667F90">
        <w:rPr>
          <w:rFonts w:ascii="Arial" w:hAnsi="Arial" w:cs="Arial"/>
          <w:lang w:val="es-SV"/>
        </w:rPr>
        <w:t>ibunal Sancionador,</w:t>
      </w:r>
      <w:r w:rsidRPr="00A90382">
        <w:rPr>
          <w:rFonts w:ascii="Arial" w:hAnsi="Arial" w:cs="Arial"/>
          <w:lang w:val="es-SV"/>
        </w:rPr>
        <w:t xml:space="preserve"> en las que se han </w:t>
      </w:r>
      <w:r w:rsidRPr="00A90382">
        <w:rPr>
          <w:rFonts w:ascii="Arial" w:hAnsi="Arial" w:cs="Arial"/>
        </w:rPr>
        <w:t xml:space="preserve">utilizado la presunción dispuesta en el artículo 112 de la Ley </w:t>
      </w:r>
      <w:r w:rsidR="00C75814" w:rsidRPr="00A90382">
        <w:rPr>
          <w:rFonts w:ascii="Arial" w:hAnsi="Arial" w:cs="Arial"/>
        </w:rPr>
        <w:t>de Protección al Consumidor, d</w:t>
      </w:r>
      <w:r w:rsidRPr="00A90382">
        <w:rPr>
          <w:rFonts w:ascii="Arial" w:hAnsi="Arial" w:cs="Arial"/>
        </w:rPr>
        <w:t>el periodo comprendido e</w:t>
      </w:r>
      <w:r w:rsidR="00C75814" w:rsidRPr="00A90382">
        <w:rPr>
          <w:rFonts w:ascii="Arial" w:hAnsi="Arial" w:cs="Arial"/>
        </w:rPr>
        <w:t>ntre los años 2013, 2014 y 2015.</w:t>
      </w:r>
    </w:p>
    <w:p w14:paraId="3FF7B361" w14:textId="77777777" w:rsidR="00D57DAD" w:rsidRPr="00A90382" w:rsidRDefault="00D57DAD" w:rsidP="00757BF4">
      <w:pPr>
        <w:shd w:val="clear" w:color="auto" w:fill="FFFFFF" w:themeFill="background1"/>
        <w:spacing w:after="240" w:line="360" w:lineRule="auto"/>
        <w:contextualSpacing/>
        <w:jc w:val="center"/>
        <w:rPr>
          <w:rFonts w:ascii="Arial" w:hAnsi="Arial" w:cs="Arial"/>
          <w:b/>
          <w:lang w:val="es-SV"/>
        </w:rPr>
      </w:pPr>
    </w:p>
    <w:p w14:paraId="454E274F" w14:textId="04B9B390" w:rsidR="00A90382" w:rsidRDefault="00D57DAD" w:rsidP="00757BF4">
      <w:pPr>
        <w:shd w:val="clear" w:color="auto" w:fill="FFFFFF" w:themeFill="background1"/>
        <w:spacing w:after="240" w:line="360" w:lineRule="auto"/>
        <w:contextualSpacing/>
        <w:jc w:val="both"/>
        <w:rPr>
          <w:rFonts w:ascii="Arial" w:hAnsi="Arial" w:cs="Arial"/>
          <w:b/>
          <w:lang w:val="es-SV"/>
        </w:rPr>
      </w:pPr>
      <w:r w:rsidRPr="00A90382">
        <w:rPr>
          <w:rFonts w:ascii="Arial" w:hAnsi="Arial" w:cs="Arial"/>
          <w:b/>
          <w:lang w:val="es-SV"/>
        </w:rPr>
        <w:t xml:space="preserve">Requerimiento 2: </w:t>
      </w:r>
      <w:r w:rsidRPr="00A90382">
        <w:rPr>
          <w:rFonts w:ascii="Arial" w:hAnsi="Arial" w:cs="Arial"/>
          <w:lang w:val="es-SV"/>
        </w:rPr>
        <w:t xml:space="preserve">Se </w:t>
      </w:r>
      <w:r w:rsidR="00C75814" w:rsidRPr="00A90382">
        <w:rPr>
          <w:rFonts w:ascii="Arial" w:hAnsi="Arial" w:cs="Arial"/>
          <w:lang w:val="es-SV"/>
        </w:rPr>
        <w:t>entregan</w:t>
      </w:r>
      <w:r w:rsidRPr="00A90382">
        <w:rPr>
          <w:rFonts w:ascii="Arial" w:hAnsi="Arial" w:cs="Arial"/>
          <w:lang w:val="es-SV"/>
        </w:rPr>
        <w:t xml:space="preserve"> </w:t>
      </w:r>
      <w:r w:rsidR="00984FB0">
        <w:rPr>
          <w:rFonts w:ascii="Arial" w:hAnsi="Arial" w:cs="Arial"/>
          <w:lang w:val="es-SV"/>
        </w:rPr>
        <w:t xml:space="preserve">las </w:t>
      </w:r>
      <w:r w:rsidRPr="00A90382">
        <w:rPr>
          <w:rFonts w:ascii="Arial" w:hAnsi="Arial" w:cs="Arial"/>
          <w:lang w:val="es-SV"/>
        </w:rPr>
        <w:t>resoluciones emitidas por el Tri</w:t>
      </w:r>
      <w:r w:rsidR="00667F90">
        <w:rPr>
          <w:rFonts w:ascii="Arial" w:hAnsi="Arial" w:cs="Arial"/>
          <w:lang w:val="es-SV"/>
        </w:rPr>
        <w:t>bunal Sancionador</w:t>
      </w:r>
      <w:r w:rsidR="004B671B">
        <w:rPr>
          <w:rFonts w:ascii="Arial" w:hAnsi="Arial" w:cs="Arial"/>
          <w:lang w:val="es-SV"/>
        </w:rPr>
        <w:t xml:space="preserve">, que </w:t>
      </w:r>
      <w:r w:rsidRPr="00A90382">
        <w:rPr>
          <w:rFonts w:ascii="Arial" w:hAnsi="Arial" w:cs="Arial"/>
          <w:lang w:val="es-SV"/>
        </w:rPr>
        <w:t xml:space="preserve">han </w:t>
      </w:r>
      <w:r w:rsidRPr="00A90382">
        <w:rPr>
          <w:rFonts w:ascii="Arial" w:hAnsi="Arial" w:cs="Arial"/>
        </w:rPr>
        <w:t>versado sobre el cometimiento de prácticas abusivas consistentes en cobros indebidos y cobros injuriantes, indistintamente de su resulta</w:t>
      </w:r>
      <w:r w:rsidR="00667F90">
        <w:rPr>
          <w:rFonts w:ascii="Arial" w:hAnsi="Arial" w:cs="Arial"/>
        </w:rPr>
        <w:t xml:space="preserve">do condenatorio o absolutorio, </w:t>
      </w:r>
      <w:r w:rsidRPr="00A90382">
        <w:rPr>
          <w:rFonts w:ascii="Arial" w:hAnsi="Arial" w:cs="Arial"/>
        </w:rPr>
        <w:t>en el periodo comprendido entre los años 2013, 2014 y 2015</w:t>
      </w:r>
      <w:r w:rsidR="00C75814" w:rsidRPr="00A90382">
        <w:rPr>
          <w:rFonts w:ascii="Arial" w:hAnsi="Arial" w:cs="Arial"/>
        </w:rPr>
        <w:t>.</w:t>
      </w:r>
    </w:p>
    <w:p w14:paraId="0163ED8F" w14:textId="77777777" w:rsidR="00A90382" w:rsidRDefault="00A90382" w:rsidP="00757BF4">
      <w:pPr>
        <w:shd w:val="clear" w:color="auto" w:fill="FFFFFF" w:themeFill="background1"/>
        <w:spacing w:after="240" w:line="360" w:lineRule="auto"/>
        <w:contextualSpacing/>
        <w:jc w:val="both"/>
        <w:rPr>
          <w:rFonts w:ascii="Arial" w:hAnsi="Arial" w:cs="Arial"/>
          <w:b/>
          <w:lang w:val="es-SV"/>
        </w:rPr>
      </w:pPr>
    </w:p>
    <w:p w14:paraId="46B35CE5" w14:textId="711996EF" w:rsidR="00C75814" w:rsidRDefault="00C75814" w:rsidP="00757BF4">
      <w:pPr>
        <w:shd w:val="clear" w:color="auto" w:fill="FFFFFF" w:themeFill="background1"/>
        <w:spacing w:after="240" w:line="360" w:lineRule="auto"/>
        <w:contextualSpacing/>
        <w:jc w:val="both"/>
        <w:rPr>
          <w:rFonts w:ascii="Arial" w:hAnsi="Arial" w:cs="Arial"/>
        </w:rPr>
      </w:pPr>
      <w:r w:rsidRPr="00A90382">
        <w:rPr>
          <w:rFonts w:ascii="Arial" w:hAnsi="Arial" w:cs="Arial"/>
          <w:b/>
          <w:lang w:val="es-SV"/>
        </w:rPr>
        <w:t>Requerimiento 3:</w:t>
      </w:r>
      <w:r w:rsidR="00984FB0">
        <w:rPr>
          <w:rFonts w:ascii="Arial" w:hAnsi="Arial" w:cs="Arial"/>
          <w:lang w:val="es-SV"/>
        </w:rPr>
        <w:t xml:space="preserve"> Se entregan las </w:t>
      </w:r>
      <w:r w:rsidRPr="00A90382">
        <w:rPr>
          <w:rFonts w:ascii="Arial" w:hAnsi="Arial" w:cs="Arial"/>
        </w:rPr>
        <w:t xml:space="preserve">sentencias definitivas emitidas por la Sala de lo Contencioso Administrativo notificadas al Tribunal Sancionador en su calidad de </w:t>
      </w:r>
      <w:r w:rsidR="009434FC">
        <w:rPr>
          <w:rFonts w:ascii="Arial" w:hAnsi="Arial" w:cs="Arial"/>
        </w:rPr>
        <w:t>l</w:t>
      </w:r>
      <w:r w:rsidRPr="00A90382">
        <w:rPr>
          <w:rFonts w:ascii="Arial" w:hAnsi="Arial" w:cs="Arial"/>
        </w:rPr>
        <w:t>a</w:t>
      </w:r>
      <w:r w:rsidR="009434FC">
        <w:rPr>
          <w:rFonts w:ascii="Arial" w:hAnsi="Arial" w:cs="Arial"/>
        </w:rPr>
        <w:t xml:space="preserve"> a</w:t>
      </w:r>
      <w:r w:rsidRPr="00A90382">
        <w:rPr>
          <w:rFonts w:ascii="Arial" w:hAnsi="Arial" w:cs="Arial"/>
        </w:rPr>
        <w:t>utoridad demandada, en el periodo comprendido entre los años 2012, 2013, 2014 y 2015.</w:t>
      </w:r>
    </w:p>
    <w:p w14:paraId="3EA855D5" w14:textId="77777777" w:rsidR="004E4E7E" w:rsidRDefault="004E4E7E" w:rsidP="00757BF4">
      <w:pPr>
        <w:shd w:val="clear" w:color="auto" w:fill="FFFFFF" w:themeFill="background1"/>
        <w:spacing w:after="240" w:line="360" w:lineRule="auto"/>
        <w:contextualSpacing/>
        <w:jc w:val="both"/>
        <w:rPr>
          <w:rFonts w:ascii="Arial" w:hAnsi="Arial" w:cs="Arial"/>
        </w:rPr>
      </w:pPr>
    </w:p>
    <w:p w14:paraId="719D2C09" w14:textId="77777777" w:rsidR="00A90382" w:rsidRDefault="00C75814" w:rsidP="00757BF4">
      <w:pPr>
        <w:spacing w:after="240" w:line="360" w:lineRule="auto"/>
        <w:jc w:val="both"/>
        <w:rPr>
          <w:rFonts w:ascii="Arial" w:hAnsi="Arial" w:cs="Arial"/>
          <w:lang w:val="es-SV"/>
        </w:rPr>
      </w:pPr>
      <w:r w:rsidRPr="00A90382">
        <w:rPr>
          <w:rFonts w:ascii="Arial" w:hAnsi="Arial" w:cs="Arial"/>
          <w:lang w:val="es-SV"/>
        </w:rPr>
        <w:t xml:space="preserve">Asimismo, se informa </w:t>
      </w:r>
      <w:r w:rsidR="00A90382">
        <w:rPr>
          <w:rFonts w:ascii="Arial" w:hAnsi="Arial" w:cs="Arial"/>
          <w:lang w:val="es-SV"/>
        </w:rPr>
        <w:t>lo siguiente:</w:t>
      </w:r>
    </w:p>
    <w:p w14:paraId="5C604B1B" w14:textId="18FFC654" w:rsidR="0049063B" w:rsidRDefault="00A90382" w:rsidP="00757BF4">
      <w:pPr>
        <w:pStyle w:val="Prrafodelista"/>
        <w:numPr>
          <w:ilvl w:val="0"/>
          <w:numId w:val="21"/>
        </w:numPr>
        <w:spacing w:after="240" w:line="360" w:lineRule="auto"/>
        <w:jc w:val="both"/>
        <w:rPr>
          <w:rFonts w:ascii="Arial" w:hAnsi="Arial" w:cs="Arial"/>
          <w:lang w:val="es-SV"/>
        </w:rPr>
      </w:pPr>
      <w:r>
        <w:rPr>
          <w:rFonts w:ascii="Arial" w:hAnsi="Arial" w:cs="Arial"/>
          <w:lang w:val="es-SV"/>
        </w:rPr>
        <w:t>Q</w:t>
      </w:r>
      <w:r w:rsidR="00C75814" w:rsidRPr="00A90382">
        <w:rPr>
          <w:rFonts w:ascii="Arial" w:hAnsi="Arial" w:cs="Arial"/>
          <w:lang w:val="es-SV"/>
        </w:rPr>
        <w:t>ue sobre todos los documentos ante mencionados,</w:t>
      </w:r>
      <w:r w:rsidR="00D57DAD" w:rsidRPr="00A90382">
        <w:rPr>
          <w:rFonts w:ascii="Arial" w:hAnsi="Arial" w:cs="Arial"/>
          <w:lang w:val="es-SV"/>
        </w:rPr>
        <w:t xml:space="preserve"> se ha elaborado una </w:t>
      </w:r>
      <w:r w:rsidR="00D57DAD" w:rsidRPr="00A90382">
        <w:rPr>
          <w:rFonts w:ascii="Arial" w:hAnsi="Arial" w:cs="Arial"/>
          <w:b/>
          <w:lang w:val="es-SV"/>
        </w:rPr>
        <w:t>versión pública</w:t>
      </w:r>
      <w:r w:rsidR="00D57DAD" w:rsidRPr="00A90382">
        <w:rPr>
          <w:rFonts w:ascii="Arial" w:hAnsi="Arial" w:cs="Arial"/>
          <w:lang w:val="es-SV"/>
        </w:rPr>
        <w:t xml:space="preserve"> formato pdf, en las</w:t>
      </w:r>
      <w:r w:rsidR="00C75814" w:rsidRPr="00A90382">
        <w:rPr>
          <w:rFonts w:ascii="Arial" w:hAnsi="Arial" w:cs="Arial"/>
          <w:lang w:val="es-SV"/>
        </w:rPr>
        <w:t xml:space="preserve"> que</w:t>
      </w:r>
      <w:r w:rsidR="00D57DAD" w:rsidRPr="00A90382">
        <w:rPr>
          <w:rFonts w:ascii="Arial" w:hAnsi="Arial" w:cs="Arial"/>
          <w:lang w:val="es-SV"/>
        </w:rPr>
        <w:t xml:space="preserve"> se han colocado marcas que impiden la lectura de los datos confidenciales pertenecientes a las partes involucradas en los procedimientos administrativos sancionatorios,</w:t>
      </w:r>
      <w:r w:rsidR="002F6F74">
        <w:rPr>
          <w:rFonts w:ascii="Arial" w:hAnsi="Arial" w:cs="Arial"/>
          <w:lang w:val="es-SV"/>
        </w:rPr>
        <w:t xml:space="preserve"> a fin de brindar su protección</w:t>
      </w:r>
      <w:r w:rsidR="00D57DAD" w:rsidRPr="00A90382">
        <w:rPr>
          <w:rFonts w:ascii="Arial" w:hAnsi="Arial" w:cs="Arial"/>
          <w:lang w:val="es-SV"/>
        </w:rPr>
        <w:t xml:space="preserve"> de conformidad a los Artículos 24 y 30 de la LAIP.</w:t>
      </w:r>
    </w:p>
    <w:p w14:paraId="2F325408" w14:textId="77777777" w:rsidR="004E4E7E" w:rsidRDefault="004E4E7E" w:rsidP="00757BF4">
      <w:pPr>
        <w:pStyle w:val="Prrafodelista"/>
        <w:spacing w:after="240" w:line="360" w:lineRule="auto"/>
        <w:jc w:val="both"/>
        <w:rPr>
          <w:rFonts w:ascii="Arial" w:hAnsi="Arial" w:cs="Arial"/>
          <w:lang w:val="es-SV"/>
        </w:rPr>
      </w:pPr>
    </w:p>
    <w:p w14:paraId="176F984C" w14:textId="0E386B60" w:rsidR="004E4E7E" w:rsidRDefault="004E4E7E" w:rsidP="00757BF4">
      <w:pPr>
        <w:pStyle w:val="Prrafodelista"/>
        <w:numPr>
          <w:ilvl w:val="0"/>
          <w:numId w:val="21"/>
        </w:numPr>
        <w:spacing w:after="240" w:line="360" w:lineRule="auto"/>
        <w:jc w:val="both"/>
        <w:rPr>
          <w:rFonts w:ascii="Arial" w:hAnsi="Arial" w:cs="Arial"/>
          <w:lang w:val="es-SV"/>
        </w:rPr>
      </w:pPr>
      <w:r>
        <w:rPr>
          <w:rFonts w:ascii="Arial" w:hAnsi="Arial" w:cs="Arial"/>
          <w:lang w:val="es-SV"/>
        </w:rPr>
        <w:t xml:space="preserve">Las resoluciones emitidas por el Tribunal Sancionador y las sentencias emitidas por la Sala de lo Contencioso Administrativo, </w:t>
      </w:r>
      <w:r w:rsidRPr="00877D48">
        <w:rPr>
          <w:rFonts w:ascii="Arial" w:hAnsi="Arial" w:cs="Arial"/>
          <w:b/>
          <w:lang w:val="es-SV"/>
        </w:rPr>
        <w:t xml:space="preserve">son brindadas conforme al </w:t>
      </w:r>
      <w:r w:rsidRPr="00877D48">
        <w:rPr>
          <w:rFonts w:ascii="Arial" w:hAnsi="Arial" w:cs="Arial"/>
          <w:b/>
          <w:lang w:val="es-SV"/>
        </w:rPr>
        <w:lastRenderedPageBreak/>
        <w:t>registro interno del Tri</w:t>
      </w:r>
      <w:r w:rsidR="00877D48" w:rsidRPr="00877D48">
        <w:rPr>
          <w:rFonts w:ascii="Arial" w:hAnsi="Arial" w:cs="Arial"/>
          <w:b/>
          <w:lang w:val="es-SV"/>
        </w:rPr>
        <w:t>bunal Sancionador en el formato que se encuentra disponible</w:t>
      </w:r>
      <w:r w:rsidR="00877D48">
        <w:rPr>
          <w:rFonts w:ascii="Arial" w:hAnsi="Arial" w:cs="Arial"/>
          <w:lang w:val="es-SV"/>
        </w:rPr>
        <w:t>, conforme al Artículo 62 de la LAIP.</w:t>
      </w:r>
    </w:p>
    <w:p w14:paraId="38B08D8B" w14:textId="77777777" w:rsidR="00533CA6" w:rsidRPr="00533CA6" w:rsidRDefault="00533CA6" w:rsidP="00533CA6">
      <w:pPr>
        <w:pStyle w:val="Prrafodelista"/>
        <w:rPr>
          <w:rFonts w:ascii="Arial" w:hAnsi="Arial" w:cs="Arial"/>
          <w:lang w:val="es-SV"/>
        </w:rPr>
      </w:pPr>
    </w:p>
    <w:p w14:paraId="52CA5F22" w14:textId="77777777" w:rsidR="00533CA6" w:rsidRDefault="00533CA6" w:rsidP="00533CA6">
      <w:pPr>
        <w:pStyle w:val="Prrafodelista"/>
        <w:spacing w:after="240" w:line="360" w:lineRule="auto"/>
        <w:ind w:left="360"/>
        <w:jc w:val="both"/>
        <w:rPr>
          <w:rFonts w:ascii="Arial" w:hAnsi="Arial" w:cs="Arial"/>
          <w:lang w:val="es-SV"/>
        </w:rPr>
      </w:pPr>
    </w:p>
    <w:p w14:paraId="2B6B9CDD" w14:textId="5016D50D" w:rsidR="00877D48" w:rsidRDefault="004B671B" w:rsidP="00757BF4">
      <w:pPr>
        <w:pStyle w:val="Prrafodelista"/>
        <w:numPr>
          <w:ilvl w:val="0"/>
          <w:numId w:val="21"/>
        </w:numPr>
        <w:spacing w:after="240" w:line="360" w:lineRule="auto"/>
        <w:jc w:val="both"/>
        <w:rPr>
          <w:rFonts w:ascii="Arial" w:hAnsi="Arial" w:cs="Arial"/>
          <w:lang w:val="es-SV"/>
        </w:rPr>
      </w:pPr>
      <w:r>
        <w:rPr>
          <w:rFonts w:ascii="Arial" w:hAnsi="Arial" w:cs="Arial"/>
          <w:lang w:val="es-SV"/>
        </w:rPr>
        <w:t>Se entrega un listado formato e</w:t>
      </w:r>
      <w:r w:rsidR="004E4E7E">
        <w:rPr>
          <w:rFonts w:ascii="Arial" w:hAnsi="Arial" w:cs="Arial"/>
          <w:lang w:val="es-SV"/>
        </w:rPr>
        <w:t xml:space="preserve">xcel, que contiene el </w:t>
      </w:r>
      <w:r w:rsidR="004E4E7E" w:rsidRPr="00877D48">
        <w:rPr>
          <w:rFonts w:ascii="Arial" w:hAnsi="Arial" w:cs="Arial"/>
          <w:b/>
          <w:lang w:val="es-SV"/>
        </w:rPr>
        <w:t>detalle de cada u</w:t>
      </w:r>
      <w:r>
        <w:rPr>
          <w:rFonts w:ascii="Arial" w:hAnsi="Arial" w:cs="Arial"/>
          <w:b/>
          <w:lang w:val="es-SV"/>
        </w:rPr>
        <w:t>no de los documentos</w:t>
      </w:r>
      <w:r w:rsidR="00877D48">
        <w:rPr>
          <w:rFonts w:ascii="Arial" w:hAnsi="Arial" w:cs="Arial"/>
          <w:lang w:val="es-SV"/>
        </w:rPr>
        <w:t>:</w:t>
      </w:r>
    </w:p>
    <w:p w14:paraId="39CFB1C9" w14:textId="77777777" w:rsidR="00877D48" w:rsidRPr="00877D48" w:rsidRDefault="00877D48" w:rsidP="00757BF4">
      <w:pPr>
        <w:pStyle w:val="Prrafodelista"/>
        <w:spacing w:after="240" w:line="360" w:lineRule="auto"/>
        <w:rPr>
          <w:rFonts w:ascii="Arial" w:hAnsi="Arial" w:cs="Arial"/>
          <w:lang w:val="es-SV"/>
        </w:rPr>
      </w:pPr>
    </w:p>
    <w:p w14:paraId="52126583" w14:textId="77777777" w:rsidR="00877D48" w:rsidRPr="00877D48" w:rsidRDefault="00877D48" w:rsidP="00757BF4">
      <w:pPr>
        <w:pStyle w:val="Prrafodelista"/>
        <w:numPr>
          <w:ilvl w:val="0"/>
          <w:numId w:val="22"/>
        </w:numPr>
        <w:spacing w:after="240" w:line="360" w:lineRule="auto"/>
        <w:jc w:val="both"/>
        <w:rPr>
          <w:rFonts w:ascii="Arial" w:hAnsi="Arial" w:cs="Arial"/>
          <w:b/>
          <w:lang w:val="es-SV"/>
        </w:rPr>
      </w:pPr>
      <w:r w:rsidRPr="00877D48">
        <w:rPr>
          <w:rFonts w:ascii="Arial" w:hAnsi="Arial" w:cs="Arial"/>
          <w:b/>
          <w:lang w:val="es-SV"/>
        </w:rPr>
        <w:t xml:space="preserve">Art. 112 LPC, que corresponde al requerimiento 1. </w:t>
      </w:r>
    </w:p>
    <w:p w14:paraId="4D1450C3" w14:textId="7DC04608" w:rsidR="004E4E7E" w:rsidRPr="00CD4571" w:rsidRDefault="00877D48" w:rsidP="00757BF4">
      <w:pPr>
        <w:spacing w:after="240" w:line="360" w:lineRule="auto"/>
        <w:ind w:left="708"/>
        <w:jc w:val="both"/>
        <w:rPr>
          <w:rFonts w:ascii="Arial" w:hAnsi="Arial" w:cs="Arial"/>
          <w:lang w:val="es-SV"/>
        </w:rPr>
      </w:pPr>
      <w:r w:rsidRPr="00CD4571">
        <w:rPr>
          <w:rFonts w:ascii="Arial" w:hAnsi="Arial" w:cs="Arial"/>
          <w:lang w:val="es-SV"/>
        </w:rPr>
        <w:t>Contenido: referencia, proveedor, resolución (absuelto sancionado, etc.) y año de notificación.</w:t>
      </w:r>
    </w:p>
    <w:p w14:paraId="471E3F82" w14:textId="77777777" w:rsidR="005A15D8" w:rsidRDefault="00877D48" w:rsidP="00757BF4">
      <w:pPr>
        <w:pStyle w:val="Prrafodelista"/>
        <w:numPr>
          <w:ilvl w:val="0"/>
          <w:numId w:val="22"/>
        </w:numPr>
        <w:spacing w:after="240" w:line="360" w:lineRule="auto"/>
        <w:jc w:val="both"/>
        <w:rPr>
          <w:rFonts w:ascii="Arial" w:hAnsi="Arial" w:cs="Arial"/>
          <w:lang w:val="es-SV"/>
        </w:rPr>
      </w:pPr>
      <w:r w:rsidRPr="00877D48">
        <w:rPr>
          <w:rFonts w:ascii="Arial" w:hAnsi="Arial" w:cs="Arial"/>
          <w:b/>
          <w:lang w:val="es-SV"/>
        </w:rPr>
        <w:t>Art. 18 literales c) y f) LPC, que corresponde al requerimiento 2.</w:t>
      </w:r>
      <w:r>
        <w:rPr>
          <w:rFonts w:ascii="Arial" w:hAnsi="Arial" w:cs="Arial"/>
          <w:lang w:val="es-SV"/>
        </w:rPr>
        <w:t xml:space="preserve"> </w:t>
      </w:r>
    </w:p>
    <w:p w14:paraId="52F65164" w14:textId="7465016F" w:rsidR="00877D48" w:rsidRDefault="00877D48" w:rsidP="00757BF4">
      <w:pPr>
        <w:pStyle w:val="Prrafodelista"/>
        <w:spacing w:after="240" w:line="360" w:lineRule="auto"/>
        <w:jc w:val="both"/>
        <w:rPr>
          <w:rFonts w:ascii="Arial" w:hAnsi="Arial" w:cs="Arial"/>
          <w:lang w:val="es-SV"/>
        </w:rPr>
      </w:pPr>
      <w:r>
        <w:rPr>
          <w:rFonts w:ascii="Arial" w:hAnsi="Arial" w:cs="Arial"/>
          <w:lang w:val="es-SV"/>
        </w:rPr>
        <w:t>Contenido: referencia, proveedor, infracción, resolución (absuelto sancionado, etc.), distribuidos en 3 cuadros según los años de notificación 2013, 2014 y 2015.</w:t>
      </w:r>
    </w:p>
    <w:p w14:paraId="4C8107E3" w14:textId="3F71CC0B" w:rsidR="00877D48" w:rsidRPr="002F6F74" w:rsidRDefault="00877D48" w:rsidP="00757BF4">
      <w:pPr>
        <w:pStyle w:val="Prrafodelista"/>
        <w:numPr>
          <w:ilvl w:val="0"/>
          <w:numId w:val="22"/>
        </w:numPr>
        <w:spacing w:after="240" w:line="360" w:lineRule="auto"/>
        <w:jc w:val="both"/>
        <w:rPr>
          <w:rFonts w:ascii="Arial" w:hAnsi="Arial" w:cs="Arial"/>
          <w:b/>
          <w:lang w:val="es-SV"/>
        </w:rPr>
      </w:pPr>
      <w:r w:rsidRPr="002F6F74">
        <w:rPr>
          <w:rFonts w:ascii="Arial" w:hAnsi="Arial" w:cs="Arial"/>
          <w:b/>
          <w:lang w:val="es-SV"/>
        </w:rPr>
        <w:t>SCA, que corresponde al requerimiento 3.</w:t>
      </w:r>
    </w:p>
    <w:p w14:paraId="2324377F" w14:textId="544BA0CF" w:rsidR="00877D48" w:rsidRPr="00CD4571" w:rsidRDefault="00877D48" w:rsidP="00757BF4">
      <w:pPr>
        <w:spacing w:after="240" w:line="360" w:lineRule="auto"/>
        <w:ind w:left="708"/>
        <w:jc w:val="both"/>
        <w:rPr>
          <w:rFonts w:ascii="Arial" w:hAnsi="Arial" w:cs="Arial"/>
          <w:lang w:val="es-SV"/>
        </w:rPr>
      </w:pPr>
      <w:r w:rsidRPr="00CD4571">
        <w:rPr>
          <w:rFonts w:ascii="Arial" w:hAnsi="Arial" w:cs="Arial"/>
          <w:lang w:val="es-SV"/>
        </w:rPr>
        <w:t>Contenido: referencia del Tribunal Sancionador, referencia de la Sala de lo Contencioso Administrativo, parte actora y fecha de notificación recibida.</w:t>
      </w:r>
    </w:p>
    <w:p w14:paraId="6F5B3584" w14:textId="77777777" w:rsidR="00A90382" w:rsidRPr="00A90382" w:rsidRDefault="00A90382" w:rsidP="00757BF4">
      <w:pPr>
        <w:spacing w:after="240" w:line="360" w:lineRule="auto"/>
        <w:jc w:val="both"/>
        <w:rPr>
          <w:rFonts w:ascii="Arial" w:hAnsi="Arial" w:cs="Arial"/>
          <w:lang w:val="es-SV"/>
        </w:rPr>
      </w:pPr>
    </w:p>
    <w:p w14:paraId="05FBC916" w14:textId="16F82C11" w:rsidR="0049063B" w:rsidRPr="00984FB0" w:rsidRDefault="00877D48" w:rsidP="00757BF4">
      <w:pPr>
        <w:pStyle w:val="Prrafodelista"/>
        <w:numPr>
          <w:ilvl w:val="0"/>
          <w:numId w:val="21"/>
        </w:numPr>
        <w:spacing w:after="240" w:line="360" w:lineRule="auto"/>
        <w:jc w:val="both"/>
        <w:rPr>
          <w:rFonts w:ascii="Arial" w:hAnsi="Arial" w:cs="Arial"/>
          <w:b/>
        </w:rPr>
      </w:pPr>
      <w:r w:rsidRPr="00984FB0">
        <w:rPr>
          <w:rFonts w:ascii="Arial" w:hAnsi="Arial" w:cs="Arial"/>
          <w:b/>
          <w:lang w:val="es-SV"/>
        </w:rPr>
        <w:t>Los documentos</w:t>
      </w:r>
      <w:r w:rsidR="004B671B">
        <w:rPr>
          <w:rFonts w:ascii="Arial" w:hAnsi="Arial" w:cs="Arial"/>
          <w:b/>
          <w:lang w:val="es-SV"/>
        </w:rPr>
        <w:t xml:space="preserve"> y listado en excel,</w:t>
      </w:r>
      <w:r w:rsidRPr="00984FB0">
        <w:rPr>
          <w:rFonts w:ascii="Arial" w:hAnsi="Arial" w:cs="Arial"/>
          <w:b/>
          <w:lang w:val="es-SV"/>
        </w:rPr>
        <w:t xml:space="preserve"> son</w:t>
      </w:r>
      <w:r w:rsidR="00A90382" w:rsidRPr="00984FB0">
        <w:rPr>
          <w:rFonts w:ascii="Arial" w:hAnsi="Arial" w:cs="Arial"/>
          <w:b/>
          <w:lang w:val="es-SV"/>
        </w:rPr>
        <w:t xml:space="preserve"> proporcionados al solicitante </w:t>
      </w:r>
      <w:r w:rsidR="00523BE7" w:rsidRPr="00984FB0">
        <w:rPr>
          <w:rFonts w:ascii="Arial" w:hAnsi="Arial" w:cs="Arial"/>
          <w:b/>
          <w:lang w:val="es-SV"/>
        </w:rPr>
        <w:t xml:space="preserve">en un </w:t>
      </w:r>
      <w:r w:rsidR="00A90382" w:rsidRPr="00984FB0">
        <w:rPr>
          <w:rFonts w:ascii="Arial" w:hAnsi="Arial" w:cs="Arial"/>
          <w:b/>
          <w:lang w:val="es-SV"/>
        </w:rPr>
        <w:t>D</w:t>
      </w:r>
      <w:r w:rsidR="00523BE7" w:rsidRPr="00984FB0">
        <w:rPr>
          <w:rFonts w:ascii="Arial" w:hAnsi="Arial" w:cs="Arial"/>
          <w:b/>
          <w:lang w:val="es-SV"/>
        </w:rPr>
        <w:t>VD</w:t>
      </w:r>
      <w:r w:rsidR="00A90382" w:rsidRPr="00984FB0">
        <w:rPr>
          <w:rFonts w:ascii="Arial" w:hAnsi="Arial" w:cs="Arial"/>
          <w:lang w:val="es-SV"/>
        </w:rPr>
        <w:t xml:space="preserve">, debido </w:t>
      </w:r>
      <w:r w:rsidRPr="00984FB0">
        <w:rPr>
          <w:rFonts w:ascii="Arial" w:hAnsi="Arial" w:cs="Arial"/>
          <w:lang w:val="es-SV"/>
        </w:rPr>
        <w:t xml:space="preserve">a </w:t>
      </w:r>
      <w:r w:rsidR="00A90382" w:rsidRPr="00984FB0">
        <w:rPr>
          <w:rFonts w:ascii="Arial" w:hAnsi="Arial" w:cs="Arial"/>
          <w:lang w:val="es-SV"/>
        </w:rPr>
        <w:t>que superan la capacidad de envío de nuestr</w:t>
      </w:r>
      <w:r w:rsidR="00984FB0" w:rsidRPr="00984FB0">
        <w:rPr>
          <w:rFonts w:ascii="Arial" w:hAnsi="Arial" w:cs="Arial"/>
          <w:lang w:val="es-SV"/>
        </w:rPr>
        <w:t>a cuenta de correo electrónico, el cual se encuentra disponible  a partir de este día en la oficina de la Unidad de Acceso a la Información Pública y Transparencia, ubicada en el segundo piso del Edificio Defensoría del Consumidor, calle Circunvalación, número 20, Plan de La Laguna, Antiguo Cuscatlán, La Libertad. Horario de atención: lunes a viernes de 8:00 a.m. a 4:00 p.m.</w:t>
      </w:r>
    </w:p>
    <w:p w14:paraId="131DDFC5" w14:textId="77777777" w:rsidR="00533CA6" w:rsidRPr="00533CA6" w:rsidRDefault="00533CA6" w:rsidP="00533CA6">
      <w:pPr>
        <w:pStyle w:val="Prrafodelista"/>
        <w:spacing w:line="360" w:lineRule="auto"/>
        <w:ind w:left="360"/>
        <w:jc w:val="center"/>
        <w:rPr>
          <w:rFonts w:ascii="Arial" w:hAnsi="Arial" w:cs="Arial"/>
          <w:b/>
          <w:color w:val="000099"/>
        </w:rPr>
      </w:pPr>
      <w:bookmarkStart w:id="0" w:name="_GoBack"/>
      <w:bookmarkEnd w:id="0"/>
      <w:r w:rsidRPr="00533CA6">
        <w:rPr>
          <w:rFonts w:ascii="Arial" w:hAnsi="Arial" w:cs="Arial"/>
          <w:b/>
          <w:color w:val="000099"/>
        </w:rPr>
        <w:t>Rúbrica</w:t>
      </w:r>
    </w:p>
    <w:p w14:paraId="203E45E6" w14:textId="77777777" w:rsidR="00757BF4" w:rsidRDefault="00757BF4" w:rsidP="00757BF4">
      <w:pPr>
        <w:spacing w:after="240" w:line="360" w:lineRule="auto"/>
        <w:jc w:val="center"/>
        <w:rPr>
          <w:rFonts w:ascii="Arial" w:hAnsi="Arial" w:cs="Arial"/>
        </w:rPr>
      </w:pPr>
    </w:p>
    <w:p w14:paraId="2DDC30E0" w14:textId="588C6066" w:rsidR="00001BD0" w:rsidRPr="00A90382" w:rsidRDefault="00DD37C5" w:rsidP="00757BF4">
      <w:pPr>
        <w:spacing w:after="240" w:line="360" w:lineRule="auto"/>
        <w:jc w:val="center"/>
        <w:rPr>
          <w:rFonts w:asciiTheme="majorHAnsi" w:hAnsiTheme="majorHAnsi"/>
        </w:rPr>
      </w:pPr>
      <w:r w:rsidRPr="00A90382">
        <w:rPr>
          <w:rFonts w:ascii="Arial" w:hAnsi="Arial" w:cs="Arial"/>
        </w:rPr>
        <w:t>Oficial de Información y Transparencia</w:t>
      </w:r>
    </w:p>
    <w:sectPr w:rsidR="00001BD0" w:rsidRPr="00A90382" w:rsidSect="000A1F9B">
      <w:headerReference w:type="even"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9E484" w14:textId="77777777" w:rsidR="001A2D24" w:rsidRDefault="001A2D24" w:rsidP="00385C3D">
      <w:r>
        <w:separator/>
      </w:r>
    </w:p>
  </w:endnote>
  <w:endnote w:type="continuationSeparator" w:id="0">
    <w:p w14:paraId="3292F56C" w14:textId="77777777" w:rsidR="001A2D24" w:rsidRDefault="001A2D24"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A0E9D" w14:textId="77777777" w:rsidR="001A2D24" w:rsidRDefault="001A2D24" w:rsidP="00385C3D">
      <w:r>
        <w:separator/>
      </w:r>
    </w:p>
  </w:footnote>
  <w:footnote w:type="continuationSeparator" w:id="0">
    <w:p w14:paraId="6A366E83" w14:textId="77777777" w:rsidR="001A2D24" w:rsidRDefault="001A2D24"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59DD" w14:textId="77777777" w:rsidR="00385C3D" w:rsidRDefault="001A2D24">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542E1" w14:textId="77777777" w:rsidR="00385C3D" w:rsidRDefault="001A2D24">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151E6777"/>
    <w:multiLevelType w:val="hybridMultilevel"/>
    <w:tmpl w:val="8B026CE2"/>
    <w:lvl w:ilvl="0" w:tplc="A13888B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F4719E5"/>
    <w:multiLevelType w:val="hybridMultilevel"/>
    <w:tmpl w:val="D042F8CE"/>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4E77C89"/>
    <w:multiLevelType w:val="multilevel"/>
    <w:tmpl w:val="E79CD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7659CD"/>
    <w:multiLevelType w:val="hybridMultilevel"/>
    <w:tmpl w:val="67408B96"/>
    <w:lvl w:ilvl="0" w:tplc="A03239F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6D20682"/>
    <w:multiLevelType w:val="hybridMultilevel"/>
    <w:tmpl w:val="A1C0D86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27C72558"/>
    <w:multiLevelType w:val="hybridMultilevel"/>
    <w:tmpl w:val="88548D0C"/>
    <w:lvl w:ilvl="0" w:tplc="9CDC0A6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298D3B33"/>
    <w:multiLevelType w:val="multilevel"/>
    <w:tmpl w:val="930CC7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86557D"/>
    <w:multiLevelType w:val="hybridMultilevel"/>
    <w:tmpl w:val="6A62A404"/>
    <w:lvl w:ilvl="0" w:tplc="A730582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1A856DD"/>
    <w:multiLevelType w:val="hybridMultilevel"/>
    <w:tmpl w:val="52D8946A"/>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AD54E1"/>
    <w:multiLevelType w:val="hybridMultilevel"/>
    <w:tmpl w:val="1FDCB88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2A22423"/>
    <w:multiLevelType w:val="hybridMultilevel"/>
    <w:tmpl w:val="010ED3D8"/>
    <w:lvl w:ilvl="0" w:tplc="96245D9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92572E7"/>
    <w:multiLevelType w:val="hybridMultilevel"/>
    <w:tmpl w:val="047EB1DE"/>
    <w:lvl w:ilvl="0" w:tplc="37F297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AFD3F38"/>
    <w:multiLevelType w:val="hybridMultilevel"/>
    <w:tmpl w:val="1F9284EC"/>
    <w:lvl w:ilvl="0" w:tplc="CF9405FE">
      <w:start w:val="1"/>
      <w:numFmt w:val="lowerLetter"/>
      <w:lvlText w:val="%1)"/>
      <w:lvlJc w:val="left"/>
      <w:pPr>
        <w:ind w:left="2520" w:hanging="360"/>
      </w:pPr>
      <w:rPr>
        <w:rFonts w:hint="default"/>
        <w:b/>
      </w:rPr>
    </w:lvl>
    <w:lvl w:ilvl="1" w:tplc="440A0019" w:tentative="1">
      <w:start w:val="1"/>
      <w:numFmt w:val="lowerLetter"/>
      <w:lvlText w:val="%2."/>
      <w:lvlJc w:val="left"/>
      <w:pPr>
        <w:ind w:left="3240" w:hanging="360"/>
      </w:pPr>
    </w:lvl>
    <w:lvl w:ilvl="2" w:tplc="440A001B" w:tentative="1">
      <w:start w:val="1"/>
      <w:numFmt w:val="lowerRoman"/>
      <w:lvlText w:val="%3."/>
      <w:lvlJc w:val="right"/>
      <w:pPr>
        <w:ind w:left="3960" w:hanging="180"/>
      </w:pPr>
    </w:lvl>
    <w:lvl w:ilvl="3" w:tplc="440A000F" w:tentative="1">
      <w:start w:val="1"/>
      <w:numFmt w:val="decimal"/>
      <w:lvlText w:val="%4."/>
      <w:lvlJc w:val="left"/>
      <w:pPr>
        <w:ind w:left="4680" w:hanging="360"/>
      </w:pPr>
    </w:lvl>
    <w:lvl w:ilvl="4" w:tplc="440A0019" w:tentative="1">
      <w:start w:val="1"/>
      <w:numFmt w:val="lowerLetter"/>
      <w:lvlText w:val="%5."/>
      <w:lvlJc w:val="left"/>
      <w:pPr>
        <w:ind w:left="5400" w:hanging="360"/>
      </w:pPr>
    </w:lvl>
    <w:lvl w:ilvl="5" w:tplc="440A001B" w:tentative="1">
      <w:start w:val="1"/>
      <w:numFmt w:val="lowerRoman"/>
      <w:lvlText w:val="%6."/>
      <w:lvlJc w:val="right"/>
      <w:pPr>
        <w:ind w:left="6120" w:hanging="180"/>
      </w:pPr>
    </w:lvl>
    <w:lvl w:ilvl="6" w:tplc="440A000F" w:tentative="1">
      <w:start w:val="1"/>
      <w:numFmt w:val="decimal"/>
      <w:lvlText w:val="%7."/>
      <w:lvlJc w:val="left"/>
      <w:pPr>
        <w:ind w:left="6840" w:hanging="360"/>
      </w:pPr>
    </w:lvl>
    <w:lvl w:ilvl="7" w:tplc="440A0019" w:tentative="1">
      <w:start w:val="1"/>
      <w:numFmt w:val="lowerLetter"/>
      <w:lvlText w:val="%8."/>
      <w:lvlJc w:val="left"/>
      <w:pPr>
        <w:ind w:left="7560" w:hanging="360"/>
      </w:pPr>
    </w:lvl>
    <w:lvl w:ilvl="8" w:tplc="440A001B" w:tentative="1">
      <w:start w:val="1"/>
      <w:numFmt w:val="lowerRoman"/>
      <w:lvlText w:val="%9."/>
      <w:lvlJc w:val="right"/>
      <w:pPr>
        <w:ind w:left="8280" w:hanging="180"/>
      </w:pPr>
    </w:lvl>
  </w:abstractNum>
  <w:abstractNum w:abstractNumId="20" w15:restartNumberingAfterBreak="0">
    <w:nsid w:val="7E5259AC"/>
    <w:multiLevelType w:val="hybridMultilevel"/>
    <w:tmpl w:val="CAF24BBC"/>
    <w:lvl w:ilvl="0" w:tplc="DF46157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3"/>
  </w:num>
  <w:num w:numId="5">
    <w:abstractNumId w:val="21"/>
  </w:num>
  <w:num w:numId="6">
    <w:abstractNumId w:val="15"/>
  </w:num>
  <w:num w:numId="7">
    <w:abstractNumId w:val="12"/>
  </w:num>
  <w:num w:numId="8">
    <w:abstractNumId w:val="9"/>
  </w:num>
  <w:num w:numId="9">
    <w:abstractNumId w:val="5"/>
  </w:num>
  <w:num w:numId="10">
    <w:abstractNumId w:val="16"/>
  </w:num>
  <w:num w:numId="11">
    <w:abstractNumId w:val="18"/>
  </w:num>
  <w:num w:numId="12">
    <w:abstractNumId w:val="19"/>
  </w:num>
  <w:num w:numId="13">
    <w:abstractNumId w:val="20"/>
  </w:num>
  <w:num w:numId="14">
    <w:abstractNumId w:val="7"/>
  </w:num>
  <w:num w:numId="15">
    <w:abstractNumId w:val="3"/>
  </w:num>
  <w:num w:numId="16">
    <w:abstractNumId w:val="4"/>
  </w:num>
  <w:num w:numId="17">
    <w:abstractNumId w:val="2"/>
  </w:num>
  <w:num w:numId="18">
    <w:abstractNumId w:val="6"/>
  </w:num>
  <w:num w:numId="19">
    <w:abstractNumId w:val="14"/>
  </w:num>
  <w:num w:numId="20">
    <w:abstractNumId w:val="17"/>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10067"/>
    <w:rsid w:val="00061869"/>
    <w:rsid w:val="000661B9"/>
    <w:rsid w:val="0007592A"/>
    <w:rsid w:val="00076A2A"/>
    <w:rsid w:val="00080EE8"/>
    <w:rsid w:val="00081C31"/>
    <w:rsid w:val="000A1F9B"/>
    <w:rsid w:val="000A2BE9"/>
    <w:rsid w:val="000B1EA3"/>
    <w:rsid w:val="000C5BF7"/>
    <w:rsid w:val="00130EF4"/>
    <w:rsid w:val="001352F0"/>
    <w:rsid w:val="00157A9C"/>
    <w:rsid w:val="00185E0F"/>
    <w:rsid w:val="001958E9"/>
    <w:rsid w:val="001A0A02"/>
    <w:rsid w:val="001A2D24"/>
    <w:rsid w:val="001B5D1F"/>
    <w:rsid w:val="001D3270"/>
    <w:rsid w:val="001F528A"/>
    <w:rsid w:val="00201049"/>
    <w:rsid w:val="00207332"/>
    <w:rsid w:val="0021300E"/>
    <w:rsid w:val="0022479B"/>
    <w:rsid w:val="00292406"/>
    <w:rsid w:val="002E6C7C"/>
    <w:rsid w:val="002F6F74"/>
    <w:rsid w:val="003018E8"/>
    <w:rsid w:val="00307330"/>
    <w:rsid w:val="003101B8"/>
    <w:rsid w:val="00323E9A"/>
    <w:rsid w:val="003431D5"/>
    <w:rsid w:val="0036017C"/>
    <w:rsid w:val="00385C3D"/>
    <w:rsid w:val="00395651"/>
    <w:rsid w:val="003B400B"/>
    <w:rsid w:val="003C4D1C"/>
    <w:rsid w:val="003D4FD2"/>
    <w:rsid w:val="003F53CA"/>
    <w:rsid w:val="003F5413"/>
    <w:rsid w:val="0042604E"/>
    <w:rsid w:val="00450138"/>
    <w:rsid w:val="004636DA"/>
    <w:rsid w:val="004718EC"/>
    <w:rsid w:val="00481093"/>
    <w:rsid w:val="0049063B"/>
    <w:rsid w:val="004B671B"/>
    <w:rsid w:val="004D2385"/>
    <w:rsid w:val="004E3F52"/>
    <w:rsid w:val="004E4E7E"/>
    <w:rsid w:val="004F3FA9"/>
    <w:rsid w:val="00523BE7"/>
    <w:rsid w:val="00533CA6"/>
    <w:rsid w:val="005435BD"/>
    <w:rsid w:val="005A15D8"/>
    <w:rsid w:val="005D37FA"/>
    <w:rsid w:val="005D6517"/>
    <w:rsid w:val="005E4DD7"/>
    <w:rsid w:val="005F0F27"/>
    <w:rsid w:val="00616B85"/>
    <w:rsid w:val="00623F78"/>
    <w:rsid w:val="00625BB7"/>
    <w:rsid w:val="00657033"/>
    <w:rsid w:val="00664B12"/>
    <w:rsid w:val="00667F90"/>
    <w:rsid w:val="00680E9C"/>
    <w:rsid w:val="00686603"/>
    <w:rsid w:val="00687B71"/>
    <w:rsid w:val="006C49C2"/>
    <w:rsid w:val="00757BF4"/>
    <w:rsid w:val="00770270"/>
    <w:rsid w:val="007769DF"/>
    <w:rsid w:val="007E6172"/>
    <w:rsid w:val="008102D3"/>
    <w:rsid w:val="00877D48"/>
    <w:rsid w:val="00881D69"/>
    <w:rsid w:val="00891FCF"/>
    <w:rsid w:val="008B4884"/>
    <w:rsid w:val="008E76E3"/>
    <w:rsid w:val="00907F03"/>
    <w:rsid w:val="00920350"/>
    <w:rsid w:val="009306BB"/>
    <w:rsid w:val="00933FEA"/>
    <w:rsid w:val="009434FC"/>
    <w:rsid w:val="009461C9"/>
    <w:rsid w:val="00984FB0"/>
    <w:rsid w:val="00991CD0"/>
    <w:rsid w:val="0099553A"/>
    <w:rsid w:val="009C25E9"/>
    <w:rsid w:val="00A14EBC"/>
    <w:rsid w:val="00A25BD4"/>
    <w:rsid w:val="00A80529"/>
    <w:rsid w:val="00A90382"/>
    <w:rsid w:val="00A91462"/>
    <w:rsid w:val="00A97915"/>
    <w:rsid w:val="00AE4646"/>
    <w:rsid w:val="00AE508C"/>
    <w:rsid w:val="00AE671A"/>
    <w:rsid w:val="00B06D89"/>
    <w:rsid w:val="00B213C1"/>
    <w:rsid w:val="00B411D1"/>
    <w:rsid w:val="00B5488F"/>
    <w:rsid w:val="00B758BD"/>
    <w:rsid w:val="00BC0696"/>
    <w:rsid w:val="00BC35E3"/>
    <w:rsid w:val="00BE5C63"/>
    <w:rsid w:val="00C03775"/>
    <w:rsid w:val="00C6429C"/>
    <w:rsid w:val="00C75814"/>
    <w:rsid w:val="00CD4571"/>
    <w:rsid w:val="00D33AA3"/>
    <w:rsid w:val="00D45D05"/>
    <w:rsid w:val="00D46EDC"/>
    <w:rsid w:val="00D5365F"/>
    <w:rsid w:val="00D55DCF"/>
    <w:rsid w:val="00D57DAD"/>
    <w:rsid w:val="00D71F8A"/>
    <w:rsid w:val="00D82A7B"/>
    <w:rsid w:val="00D837FA"/>
    <w:rsid w:val="00DB1B74"/>
    <w:rsid w:val="00DD37C5"/>
    <w:rsid w:val="00E15EB8"/>
    <w:rsid w:val="00E16FA8"/>
    <w:rsid w:val="00E52BD4"/>
    <w:rsid w:val="00E66007"/>
    <w:rsid w:val="00EA082F"/>
    <w:rsid w:val="00EB5DFE"/>
    <w:rsid w:val="00EF3052"/>
    <w:rsid w:val="00F02641"/>
    <w:rsid w:val="00F44BA2"/>
    <w:rsid w:val="00F44D7E"/>
    <w:rsid w:val="00F51CE1"/>
    <w:rsid w:val="00F70F6D"/>
    <w:rsid w:val="00FB7707"/>
    <w:rsid w:val="00FC1614"/>
    <w:rsid w:val="00FE42EF"/>
    <w:rsid w:val="00FF2E1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 w:type="paragraph" w:styleId="Textosinformato">
    <w:name w:val="Plain Text"/>
    <w:basedOn w:val="Normal"/>
    <w:link w:val="TextosinformatoCar"/>
    <w:uiPriority w:val="99"/>
    <w:unhideWhenUsed/>
    <w:rsid w:val="00D57DAD"/>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D57DAD"/>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2908">
      <w:bodyDiv w:val="1"/>
      <w:marLeft w:val="0"/>
      <w:marRight w:val="0"/>
      <w:marTop w:val="0"/>
      <w:marBottom w:val="0"/>
      <w:divBdr>
        <w:top w:val="none" w:sz="0" w:space="0" w:color="auto"/>
        <w:left w:val="none" w:sz="0" w:space="0" w:color="auto"/>
        <w:bottom w:val="none" w:sz="0" w:space="0" w:color="auto"/>
        <w:right w:val="none" w:sz="0" w:space="0" w:color="auto"/>
      </w:divBdr>
    </w:div>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383483962">
      <w:bodyDiv w:val="1"/>
      <w:marLeft w:val="0"/>
      <w:marRight w:val="0"/>
      <w:marTop w:val="0"/>
      <w:marBottom w:val="0"/>
      <w:divBdr>
        <w:top w:val="none" w:sz="0" w:space="0" w:color="auto"/>
        <w:left w:val="none" w:sz="0" w:space="0" w:color="auto"/>
        <w:bottom w:val="none" w:sz="0" w:space="0" w:color="auto"/>
        <w:right w:val="none" w:sz="0" w:space="0" w:color="auto"/>
      </w:divBdr>
    </w:div>
    <w:div w:id="1558930102">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1451E-568F-4DB3-B656-B8DCA51F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Aida Funes</cp:lastModifiedBy>
  <cp:revision>4</cp:revision>
  <cp:lastPrinted>2015-03-16T21:15:00Z</cp:lastPrinted>
  <dcterms:created xsi:type="dcterms:W3CDTF">2016-05-02T18:40:00Z</dcterms:created>
  <dcterms:modified xsi:type="dcterms:W3CDTF">2016-05-29T23:33:00Z</dcterms:modified>
</cp:coreProperties>
</file>