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A3" w:rsidRPr="00C0485F" w:rsidRDefault="00CE6EA3" w:rsidP="00CE6EA3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>
        <w:rPr>
          <w:rFonts w:ascii="Arial" w:eastAsia="Calibri" w:hAnsi="Arial" w:cs="Arial"/>
          <w:b/>
          <w:sz w:val="20"/>
          <w:szCs w:val="20"/>
          <w:lang w:val="es-MX"/>
        </w:rPr>
        <w:t>ACTA N° 4</w:t>
      </w:r>
      <w:r w:rsidRPr="00C0485F">
        <w:rPr>
          <w:rFonts w:ascii="Arial" w:eastAsia="Calibri" w:hAnsi="Arial" w:cs="Arial"/>
          <w:b/>
          <w:sz w:val="20"/>
          <w:szCs w:val="20"/>
          <w:lang w:val="es-MX"/>
        </w:rPr>
        <w:t>/2016</w:t>
      </w:r>
    </w:p>
    <w:p w:rsidR="00CE6EA3" w:rsidRPr="00C0485F" w:rsidRDefault="00CE6EA3" w:rsidP="00CE6EA3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C0485F">
        <w:rPr>
          <w:rFonts w:ascii="Arial" w:eastAsia="Calibri" w:hAnsi="Arial" w:cs="Arial"/>
          <w:b/>
          <w:sz w:val="20"/>
          <w:szCs w:val="20"/>
          <w:lang w:val="es-MX"/>
        </w:rPr>
        <w:t>CONSEJO CONSULTIVO</w:t>
      </w:r>
    </w:p>
    <w:p w:rsidR="00CE6EA3" w:rsidRPr="00C0485F" w:rsidRDefault="00CE6EA3" w:rsidP="00CE6EA3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C0485F">
        <w:rPr>
          <w:rFonts w:ascii="Arial" w:eastAsia="Calibri" w:hAnsi="Arial" w:cs="Arial"/>
          <w:b/>
          <w:sz w:val="20"/>
          <w:szCs w:val="20"/>
          <w:lang w:val="es-MX"/>
        </w:rPr>
        <w:t>DEFENSORÍA DEL CONSUMIDOR</w:t>
      </w:r>
    </w:p>
    <w:p w:rsidR="00CE6EA3" w:rsidRPr="002313D2" w:rsidRDefault="00CE6EA3" w:rsidP="00CE6EA3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ACTA NÚMERO CUATRO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 / DOS MIL DIECISÉIS.</w:t>
      </w:r>
      <w:r w:rsidRPr="00C0485F">
        <w:rPr>
          <w:rFonts w:ascii="Arial" w:eastAsia="Calibri" w:hAnsi="Arial" w:cs="Arial"/>
          <w:sz w:val="20"/>
          <w:szCs w:val="20"/>
        </w:rPr>
        <w:t xml:space="preserve"> En las oficinas de la Defensoría del Consumidor, Antiguo Cuscatlán, a las nueve horas</w:t>
      </w:r>
      <w:r>
        <w:rPr>
          <w:rFonts w:ascii="Arial" w:eastAsia="Calibri" w:hAnsi="Arial" w:cs="Arial"/>
          <w:sz w:val="20"/>
          <w:szCs w:val="20"/>
        </w:rPr>
        <w:t xml:space="preserve"> cuarenta </w:t>
      </w:r>
      <w:r w:rsidRPr="00C0485F">
        <w:rPr>
          <w:rFonts w:ascii="Arial" w:eastAsia="Calibri" w:hAnsi="Arial" w:cs="Arial"/>
          <w:sz w:val="20"/>
          <w:szCs w:val="20"/>
        </w:rPr>
        <w:t xml:space="preserve">y cinco minutos del día </w:t>
      </w:r>
      <w:r>
        <w:rPr>
          <w:rFonts w:ascii="Arial" w:eastAsia="Calibri" w:hAnsi="Arial" w:cs="Arial"/>
          <w:sz w:val="20"/>
          <w:szCs w:val="20"/>
        </w:rPr>
        <w:t>veinticinco</w:t>
      </w:r>
      <w:r w:rsidRPr="00C0485F">
        <w:rPr>
          <w:rFonts w:ascii="Arial" w:eastAsia="Calibri" w:hAnsi="Arial" w:cs="Arial"/>
          <w:sz w:val="20"/>
          <w:szCs w:val="20"/>
        </w:rPr>
        <w:t xml:space="preserve"> de febrero de dos mil dieciséis. Presentes los miembros del Consejo Consultivo de la Defensoría del Consumidor: Carlos Roberto Ochoa, Miguel Ángel Rodríguez Arias, Deysi Lorena Cruz de Amaya</w:t>
      </w:r>
      <w:r>
        <w:rPr>
          <w:rFonts w:ascii="Arial" w:eastAsia="Calibri" w:hAnsi="Arial" w:cs="Arial"/>
          <w:sz w:val="20"/>
          <w:szCs w:val="20"/>
        </w:rPr>
        <w:t xml:space="preserve">, Irma Yolanda Núñez Mancía, </w:t>
      </w:r>
      <w:r w:rsidRPr="00C0485F">
        <w:rPr>
          <w:rFonts w:ascii="Arial" w:eastAsia="Calibri" w:hAnsi="Arial" w:cs="Arial"/>
          <w:sz w:val="20"/>
          <w:szCs w:val="20"/>
        </w:rPr>
        <w:t>Xiomara Beatriz Hernández Arévalo y Oscar Alberto Alfaro</w:t>
      </w:r>
      <w:r>
        <w:rPr>
          <w:rFonts w:ascii="Arial" w:eastAsia="Calibri" w:hAnsi="Arial" w:cs="Arial"/>
          <w:sz w:val="20"/>
          <w:szCs w:val="20"/>
        </w:rPr>
        <w:t xml:space="preserve"> Santos. No estuvieron presente Francisco Díaz y Mónica María Galdámez</w:t>
      </w:r>
      <w:r w:rsidRPr="00C0485F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0485F">
        <w:rPr>
          <w:rFonts w:ascii="Arial" w:eastAsia="Calibri" w:hAnsi="Arial" w:cs="Arial"/>
          <w:sz w:val="20"/>
          <w:szCs w:val="20"/>
        </w:rPr>
        <w:t>quienes pr</w:t>
      </w:r>
      <w:r w:rsidR="006868C0">
        <w:rPr>
          <w:rFonts w:ascii="Arial" w:eastAsia="Calibri" w:hAnsi="Arial" w:cs="Arial"/>
          <w:sz w:val="20"/>
          <w:szCs w:val="20"/>
        </w:rPr>
        <w:t>esentaron su respectiva excusa.</w:t>
      </w:r>
      <w:r w:rsidRPr="00C0485F">
        <w:rPr>
          <w:rFonts w:ascii="Arial" w:hAnsi="Arial" w:cs="Arial"/>
          <w:sz w:val="20"/>
          <w:szCs w:val="20"/>
          <w:lang w:val="es-ES" w:eastAsia="es-ES"/>
        </w:rPr>
        <w:t>También estuvo presente la Presidenta de la Defensoría del Consumidor, Licenciada Yanci Urbina</w:t>
      </w:r>
      <w:r w:rsidRPr="00C0485F">
        <w:rPr>
          <w:rFonts w:ascii="Arial" w:eastAsia="Calibri" w:hAnsi="Arial" w:cs="Arial"/>
          <w:sz w:val="20"/>
          <w:szCs w:val="20"/>
          <w:lang w:val="es-ES" w:eastAsia="es-ES"/>
        </w:rPr>
        <w:t xml:space="preserve">. </w:t>
      </w:r>
      <w:r w:rsidRPr="00C0485F">
        <w:rPr>
          <w:rFonts w:ascii="Arial" w:eastAsia="Calibri" w:hAnsi="Arial" w:cs="Arial"/>
          <w:sz w:val="20"/>
          <w:szCs w:val="20"/>
        </w:rPr>
        <w:t>El Presidente del Consejo Consultivo procedió a dar inicio a la reunión y se desarrolló la agenda siguiente</w:t>
      </w:r>
      <w:r w:rsidRPr="00C0485F">
        <w:rPr>
          <w:rFonts w:ascii="Arial" w:eastAsia="Calibri" w:hAnsi="Arial" w:cs="Arial"/>
          <w:sz w:val="20"/>
          <w:szCs w:val="20"/>
          <w:lang w:val="es-ES" w:eastAsia="es-ES"/>
        </w:rPr>
        <w:t>:</w:t>
      </w:r>
      <w:r w:rsidRPr="00C0485F">
        <w:rPr>
          <w:rFonts w:ascii="Arial" w:eastAsia="Calibri" w:hAnsi="Arial" w:cs="Arial"/>
          <w:sz w:val="20"/>
          <w:szCs w:val="20"/>
        </w:rPr>
        <w:t xml:space="preserve"> 1) Verificación del quórum; 2) Presentación y aprobación de la agenda; 3) Lectura y ap</w:t>
      </w:r>
      <w:r w:rsidR="00AF333C">
        <w:rPr>
          <w:rFonts w:ascii="Arial" w:eastAsia="Calibri" w:hAnsi="Arial" w:cs="Arial"/>
          <w:sz w:val="20"/>
          <w:szCs w:val="20"/>
        </w:rPr>
        <w:t xml:space="preserve">robación del acta anterior; 4) </w:t>
      </w:r>
      <w:r w:rsidRPr="00C0485F">
        <w:rPr>
          <w:rFonts w:ascii="Arial" w:eastAsia="Calibri" w:hAnsi="Arial" w:cs="Arial"/>
          <w:sz w:val="20"/>
          <w:szCs w:val="20"/>
        </w:rPr>
        <w:t>Presentación de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0485F">
        <w:rPr>
          <w:rFonts w:ascii="Arial" w:eastAsia="Calibri" w:hAnsi="Arial" w:cs="Arial"/>
          <w:sz w:val="20"/>
          <w:szCs w:val="20"/>
        </w:rPr>
        <w:t>l</w:t>
      </w:r>
      <w:r>
        <w:rPr>
          <w:rFonts w:ascii="Arial" w:eastAsia="Calibri" w:hAnsi="Arial" w:cs="Arial"/>
          <w:sz w:val="20"/>
          <w:szCs w:val="20"/>
        </w:rPr>
        <w:t>os</w:t>
      </w:r>
      <w:r w:rsidRPr="00C0485F">
        <w:rPr>
          <w:rFonts w:ascii="Arial" w:eastAsia="Calibri" w:hAnsi="Arial" w:cs="Arial"/>
          <w:sz w:val="20"/>
          <w:szCs w:val="20"/>
        </w:rPr>
        <w:t xml:space="preserve"> tema</w:t>
      </w:r>
      <w:r>
        <w:rPr>
          <w:rFonts w:ascii="Arial" w:eastAsia="Calibri" w:hAnsi="Arial" w:cs="Arial"/>
          <w:sz w:val="20"/>
          <w:szCs w:val="20"/>
        </w:rPr>
        <w:t xml:space="preserve">s: a) “Reformas a la Ley </w:t>
      </w:r>
      <w:r w:rsidR="00AF333C">
        <w:rPr>
          <w:rFonts w:ascii="Arial" w:eastAsia="Calibri" w:hAnsi="Arial" w:cs="Arial"/>
          <w:sz w:val="20"/>
          <w:szCs w:val="20"/>
        </w:rPr>
        <w:t xml:space="preserve">de </w:t>
      </w:r>
      <w:r w:rsidR="002313D2">
        <w:rPr>
          <w:rFonts w:ascii="Arial" w:eastAsia="Calibri" w:hAnsi="Arial" w:cs="Arial"/>
          <w:sz w:val="20"/>
          <w:szCs w:val="20"/>
        </w:rPr>
        <w:t xml:space="preserve">Regulación de los Servicios de Información sobre el </w:t>
      </w:r>
      <w:r>
        <w:rPr>
          <w:rFonts w:ascii="Arial" w:eastAsia="Calibri" w:hAnsi="Arial" w:cs="Arial"/>
          <w:sz w:val="20"/>
          <w:szCs w:val="20"/>
        </w:rPr>
        <w:t xml:space="preserve">Historial </w:t>
      </w:r>
      <w:r w:rsidR="002313D2">
        <w:rPr>
          <w:rFonts w:ascii="Arial" w:eastAsia="Calibri" w:hAnsi="Arial" w:cs="Arial"/>
          <w:sz w:val="20"/>
          <w:szCs w:val="20"/>
        </w:rPr>
        <w:t xml:space="preserve"> de Crédito de la Personas</w:t>
      </w:r>
      <w:r>
        <w:rPr>
          <w:rFonts w:ascii="Arial" w:eastAsia="Calibri" w:hAnsi="Arial" w:cs="Arial"/>
          <w:sz w:val="20"/>
          <w:szCs w:val="20"/>
        </w:rPr>
        <w:t xml:space="preserve"> y su incidencia en materia de consumo”; y, b) “Propuesta de reforma a la Ley contra la Usura”</w:t>
      </w:r>
      <w:r w:rsidRPr="00C0485F">
        <w:rPr>
          <w:rFonts w:ascii="Arial" w:eastAsia="Calibri" w:hAnsi="Arial" w:cs="Arial"/>
          <w:sz w:val="20"/>
          <w:szCs w:val="20"/>
        </w:rPr>
        <w:t xml:space="preserve">; 5) Varios; y, 6) Cierre. </w:t>
      </w:r>
      <w:r w:rsidRPr="00C0485F">
        <w:rPr>
          <w:rFonts w:ascii="Arial" w:eastAsia="Calibri" w:hAnsi="Arial" w:cs="Arial"/>
          <w:b/>
          <w:sz w:val="20"/>
          <w:szCs w:val="20"/>
        </w:rPr>
        <w:t>DESARROLLO DE LA AGENDA</w:t>
      </w:r>
      <w:r w:rsidRPr="00C0485F">
        <w:rPr>
          <w:rFonts w:ascii="Arial" w:eastAsia="Calibri" w:hAnsi="Arial" w:cs="Arial"/>
          <w:sz w:val="20"/>
          <w:szCs w:val="20"/>
        </w:rPr>
        <w:t>.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 PUNTO UNO: VERIFICACIÓN DEL QUORUM</w:t>
      </w:r>
      <w:r w:rsidRPr="00C0485F">
        <w:rPr>
          <w:rFonts w:ascii="Arial" w:eastAsia="Calibri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DOS: PRESENTACIÓN Y APROBACIÓN DE LA AGENDA. </w:t>
      </w:r>
      <w:r w:rsidRPr="00C0485F">
        <w:rPr>
          <w:rFonts w:ascii="Arial" w:eastAsia="Calibri" w:hAnsi="Arial" w:cs="Arial"/>
          <w:sz w:val="20"/>
          <w:szCs w:val="20"/>
        </w:rPr>
        <w:t xml:space="preserve">Los miembros del Consejo Consultivo </w:t>
      </w:r>
      <w:r w:rsidR="00AF333C">
        <w:rPr>
          <w:rFonts w:ascii="Arial" w:eastAsia="Calibri" w:hAnsi="Arial" w:cs="Arial"/>
          <w:sz w:val="20"/>
          <w:szCs w:val="20"/>
        </w:rPr>
        <w:t>analizaron la agenda sometida a su aprobación y acordaron que en razón de la trascendencia de los temas a desarrollar en las presentaciones propuestas en el punto número cuatro, se expusiera únicamente la primera presentación y se efectuara la relativa a la reforma a la Ley contra la Usura en la próxima Sesión de Consejo Consultivo. Luego de esto, a</w:t>
      </w:r>
      <w:r w:rsidRPr="00C0485F">
        <w:rPr>
          <w:rFonts w:ascii="Arial" w:eastAsia="Calibri" w:hAnsi="Arial" w:cs="Arial"/>
          <w:sz w:val="20"/>
          <w:szCs w:val="20"/>
        </w:rPr>
        <w:t>cordaron aprobar, por unanimidad, la agenda sometida a su consideración.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 PUNTO TRES: LECTURA DE ACTA DE SESIÓN ANTERIOR.</w:t>
      </w:r>
      <w:r w:rsidRPr="00C0485F">
        <w:rPr>
          <w:rFonts w:ascii="Arial" w:eastAsia="Calibri" w:hAnsi="Arial" w:cs="Arial"/>
          <w:sz w:val="20"/>
          <w:szCs w:val="20"/>
        </w:rPr>
        <w:t xml:space="preserve"> Se procedió </w:t>
      </w:r>
      <w:r>
        <w:rPr>
          <w:rFonts w:ascii="Arial" w:eastAsia="Calibri" w:hAnsi="Arial" w:cs="Arial"/>
          <w:sz w:val="20"/>
          <w:szCs w:val="20"/>
        </w:rPr>
        <w:t>a dar lectura al acta número tres</w:t>
      </w:r>
      <w:r w:rsidRPr="00C0485F">
        <w:rPr>
          <w:rFonts w:ascii="Arial" w:eastAsia="Calibri" w:hAnsi="Arial" w:cs="Arial"/>
          <w:sz w:val="20"/>
          <w:szCs w:val="20"/>
        </w:rPr>
        <w:t xml:space="preserve"> / dos mil dieciséis del Consejo Consultivo, correspondiente al día </w:t>
      </w:r>
      <w:r>
        <w:rPr>
          <w:rFonts w:ascii="Arial" w:eastAsia="Calibri" w:hAnsi="Arial" w:cs="Arial"/>
          <w:sz w:val="20"/>
          <w:szCs w:val="20"/>
        </w:rPr>
        <w:t xml:space="preserve">once de febrero de </w:t>
      </w:r>
      <w:r w:rsidRPr="00C0485F">
        <w:rPr>
          <w:rFonts w:ascii="Arial" w:eastAsia="Calibri" w:hAnsi="Arial" w:cs="Arial"/>
          <w:sz w:val="20"/>
          <w:szCs w:val="20"/>
        </w:rPr>
        <w:t xml:space="preserve">dos mil dieciséis y concluida la lectura de la misma, quedó aprobada por unanimidad.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CUATRO. PRESENTACIÓN DEL TEMA: </w:t>
      </w:r>
      <w:r w:rsidRPr="002313D2">
        <w:rPr>
          <w:rFonts w:ascii="Arial" w:eastAsia="Calibri" w:hAnsi="Arial" w:cs="Arial"/>
          <w:b/>
          <w:sz w:val="20"/>
          <w:szCs w:val="20"/>
        </w:rPr>
        <w:t xml:space="preserve">“REFORMAS A LA LEY </w:t>
      </w:r>
      <w:r w:rsidR="00AF333C">
        <w:rPr>
          <w:rFonts w:ascii="Arial" w:eastAsia="Calibri" w:hAnsi="Arial" w:cs="Arial"/>
          <w:b/>
          <w:sz w:val="20"/>
          <w:szCs w:val="20"/>
        </w:rPr>
        <w:t xml:space="preserve">DE </w:t>
      </w:r>
      <w:r w:rsidR="002313D2" w:rsidRPr="002313D2">
        <w:rPr>
          <w:rFonts w:ascii="Arial" w:eastAsia="Calibri" w:hAnsi="Arial" w:cs="Arial"/>
          <w:b/>
          <w:sz w:val="20"/>
          <w:szCs w:val="20"/>
        </w:rPr>
        <w:t xml:space="preserve">REGULACIÓN DE LOS SERVICIOS DE INFORMACIÓN SOBRE EL HISTORIAL  DE CRÉDITO DE LA PERSONAS </w:t>
      </w:r>
      <w:r w:rsidRPr="002313D2">
        <w:rPr>
          <w:rFonts w:ascii="Arial" w:eastAsia="Calibri" w:hAnsi="Arial" w:cs="Arial"/>
          <w:b/>
          <w:sz w:val="20"/>
          <w:szCs w:val="20"/>
        </w:rPr>
        <w:t>Y SU INCIDENCIA EN MATERIA DE CONSUMO</w:t>
      </w:r>
      <w:r w:rsidR="006868C0">
        <w:rPr>
          <w:rFonts w:ascii="Arial" w:eastAsia="Calibri" w:hAnsi="Arial" w:cs="Arial"/>
          <w:b/>
          <w:sz w:val="20"/>
          <w:szCs w:val="20"/>
        </w:rPr>
        <w:t>”</w:t>
      </w:r>
      <w:r w:rsidR="00AF333C">
        <w:rPr>
          <w:rFonts w:ascii="Arial" w:eastAsia="Calibri" w:hAnsi="Arial" w:cs="Arial"/>
          <w:sz w:val="20"/>
          <w:szCs w:val="20"/>
        </w:rPr>
        <w:t xml:space="preserve">. </w:t>
      </w:r>
      <w:r w:rsidR="006868C0">
        <w:rPr>
          <w:rFonts w:ascii="Arial" w:eastAsia="Calibri" w:hAnsi="Arial" w:cs="Arial"/>
          <w:sz w:val="20"/>
          <w:szCs w:val="20"/>
        </w:rPr>
        <w:t>Antes de iniciar la presentación toma la palabra la Licenciada Urbina</w:t>
      </w:r>
      <w:r w:rsidR="00185EFB">
        <w:rPr>
          <w:rFonts w:ascii="Arial" w:eastAsia="Calibri" w:hAnsi="Arial" w:cs="Arial"/>
          <w:sz w:val="20"/>
          <w:szCs w:val="20"/>
        </w:rPr>
        <w:t xml:space="preserve"> </w:t>
      </w:r>
      <w:r w:rsidR="00374A3C">
        <w:rPr>
          <w:rFonts w:ascii="Arial" w:eastAsia="Calibri" w:hAnsi="Arial" w:cs="Arial"/>
          <w:sz w:val="20"/>
          <w:szCs w:val="20"/>
        </w:rPr>
        <w:t>y realiza</w:t>
      </w:r>
      <w:r w:rsidR="00185EFB">
        <w:rPr>
          <w:rFonts w:ascii="Arial" w:eastAsia="Calibri" w:hAnsi="Arial" w:cs="Arial"/>
          <w:sz w:val="20"/>
          <w:szCs w:val="20"/>
        </w:rPr>
        <w:t xml:space="preserve"> una introducción sobre todas las circunstancias acaecidas alrededor del proceso de reforma de la Ley </w:t>
      </w:r>
      <w:r w:rsidR="00E311D4">
        <w:rPr>
          <w:rFonts w:ascii="Arial" w:eastAsia="Calibri" w:hAnsi="Arial" w:cs="Arial"/>
          <w:sz w:val="20"/>
          <w:szCs w:val="20"/>
        </w:rPr>
        <w:t>de Regulación de los Servicios de Información sobre el Historial de Crédito de la Personas – en adelante Ley del Historial Crediticio</w:t>
      </w:r>
      <w:r w:rsidR="00374A3C">
        <w:rPr>
          <w:rFonts w:ascii="Arial" w:eastAsia="Calibri" w:hAnsi="Arial" w:cs="Arial"/>
          <w:sz w:val="20"/>
          <w:szCs w:val="20"/>
        </w:rPr>
        <w:t>-</w:t>
      </w:r>
      <w:r w:rsidR="00185EFB">
        <w:rPr>
          <w:rFonts w:ascii="Arial" w:eastAsia="Calibri" w:hAnsi="Arial" w:cs="Arial"/>
          <w:sz w:val="20"/>
          <w:szCs w:val="20"/>
        </w:rPr>
        <w:t xml:space="preserve">, </w:t>
      </w:r>
      <w:r w:rsidR="00F05696">
        <w:rPr>
          <w:rFonts w:ascii="Arial" w:eastAsia="Calibri" w:hAnsi="Arial" w:cs="Arial"/>
          <w:sz w:val="20"/>
          <w:szCs w:val="20"/>
        </w:rPr>
        <w:t xml:space="preserve">indicando que </w:t>
      </w:r>
      <w:r w:rsidR="00374A3C">
        <w:rPr>
          <w:rFonts w:ascii="Arial" w:eastAsia="Calibri" w:hAnsi="Arial" w:cs="Arial"/>
          <w:sz w:val="20"/>
          <w:szCs w:val="20"/>
        </w:rPr>
        <w:t xml:space="preserve">tuvieron gran alcance en términos de discusión pues la Comisión Financiera de la Asamblea Legislativa </w:t>
      </w:r>
      <w:r w:rsidR="00540579">
        <w:rPr>
          <w:rFonts w:ascii="Arial" w:eastAsia="Calibri" w:hAnsi="Arial" w:cs="Arial"/>
          <w:sz w:val="20"/>
          <w:szCs w:val="20"/>
        </w:rPr>
        <w:t xml:space="preserve">confirió audiencia a diversas instituciones o sectores tales como el </w:t>
      </w:r>
      <w:r w:rsidR="00374A3C">
        <w:rPr>
          <w:rFonts w:ascii="Arial" w:eastAsia="Calibri" w:hAnsi="Arial" w:cs="Arial"/>
          <w:sz w:val="20"/>
          <w:szCs w:val="20"/>
        </w:rPr>
        <w:t xml:space="preserve">Banco Central de Reserva, </w:t>
      </w:r>
      <w:r w:rsidR="00540579">
        <w:rPr>
          <w:rFonts w:ascii="Arial" w:eastAsia="Calibri" w:hAnsi="Arial" w:cs="Arial"/>
          <w:sz w:val="20"/>
          <w:szCs w:val="20"/>
        </w:rPr>
        <w:t xml:space="preserve">la </w:t>
      </w:r>
      <w:r w:rsidR="00374A3C">
        <w:rPr>
          <w:rFonts w:ascii="Arial" w:eastAsia="Calibri" w:hAnsi="Arial" w:cs="Arial"/>
          <w:sz w:val="20"/>
          <w:szCs w:val="20"/>
        </w:rPr>
        <w:t xml:space="preserve">Superintendencia del Sistema Financiero, </w:t>
      </w:r>
      <w:r w:rsidR="00540579">
        <w:rPr>
          <w:rFonts w:ascii="Arial" w:eastAsia="Calibri" w:hAnsi="Arial" w:cs="Arial"/>
          <w:sz w:val="20"/>
          <w:szCs w:val="20"/>
        </w:rPr>
        <w:t xml:space="preserve">la </w:t>
      </w:r>
      <w:r w:rsidR="00374A3C">
        <w:rPr>
          <w:rFonts w:ascii="Arial" w:eastAsia="Calibri" w:hAnsi="Arial" w:cs="Arial"/>
          <w:sz w:val="20"/>
          <w:szCs w:val="20"/>
        </w:rPr>
        <w:t xml:space="preserve">Superintendencia de Competencia, </w:t>
      </w:r>
      <w:r w:rsidR="008635AE">
        <w:rPr>
          <w:rFonts w:ascii="Arial" w:eastAsia="Calibri" w:hAnsi="Arial" w:cs="Arial"/>
          <w:sz w:val="20"/>
          <w:szCs w:val="20"/>
        </w:rPr>
        <w:t xml:space="preserve">la Banca </w:t>
      </w:r>
      <w:r w:rsidR="00540579">
        <w:rPr>
          <w:rFonts w:ascii="Arial" w:eastAsia="Calibri" w:hAnsi="Arial" w:cs="Arial"/>
          <w:sz w:val="20"/>
          <w:szCs w:val="20"/>
        </w:rPr>
        <w:t xml:space="preserve">privada </w:t>
      </w:r>
      <w:r w:rsidR="008635AE">
        <w:rPr>
          <w:rFonts w:ascii="Arial" w:eastAsia="Calibri" w:hAnsi="Arial" w:cs="Arial"/>
          <w:sz w:val="20"/>
          <w:szCs w:val="20"/>
        </w:rPr>
        <w:t>y a esta Defensoría.</w:t>
      </w:r>
      <w:r w:rsidR="00374A3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Se dio inicio a la presentación </w:t>
      </w:r>
      <w:r w:rsidR="00AF333C">
        <w:rPr>
          <w:rFonts w:ascii="Arial" w:eastAsia="Calibri" w:hAnsi="Arial" w:cs="Arial"/>
          <w:sz w:val="20"/>
          <w:szCs w:val="20"/>
        </w:rPr>
        <w:t xml:space="preserve">sobre </w:t>
      </w:r>
      <w:r>
        <w:rPr>
          <w:rFonts w:ascii="Arial" w:eastAsia="Calibri" w:hAnsi="Arial" w:cs="Arial"/>
          <w:sz w:val="20"/>
          <w:szCs w:val="20"/>
        </w:rPr>
        <w:t xml:space="preserve">las reformas a la Ley </w:t>
      </w:r>
      <w:r w:rsidR="002313D2">
        <w:rPr>
          <w:rFonts w:ascii="Arial" w:eastAsia="Calibri" w:hAnsi="Arial" w:cs="Arial"/>
          <w:sz w:val="20"/>
          <w:szCs w:val="20"/>
        </w:rPr>
        <w:t xml:space="preserve">del </w:t>
      </w:r>
      <w:r>
        <w:rPr>
          <w:rFonts w:ascii="Arial" w:eastAsia="Calibri" w:hAnsi="Arial" w:cs="Arial"/>
          <w:sz w:val="20"/>
          <w:szCs w:val="20"/>
        </w:rPr>
        <w:t>Historial Crediticio, la cual estuvo a cargo de la Licenciada Claudia Góchez</w:t>
      </w:r>
      <w:r w:rsidRPr="00C0485F">
        <w:rPr>
          <w:rFonts w:ascii="Arial" w:eastAsia="Calibri" w:hAnsi="Arial" w:cs="Arial"/>
          <w:sz w:val="20"/>
          <w:szCs w:val="20"/>
        </w:rPr>
        <w:t xml:space="preserve">. Inicia la presentación </w:t>
      </w:r>
      <w:r w:rsidR="002313D2">
        <w:rPr>
          <w:rFonts w:ascii="Arial" w:eastAsia="Calibri" w:hAnsi="Arial" w:cs="Arial"/>
          <w:sz w:val="20"/>
          <w:szCs w:val="20"/>
        </w:rPr>
        <w:t>la Licenciada Góchez expresando que la Asamblea Legislativa aprobó durante el pasado mes de noviembre de dos mil quince un Decreto Legislativo que contenía una gama de reformas a la Ley del Historial Crediticio.</w:t>
      </w:r>
      <w:r w:rsidR="001B74F2">
        <w:rPr>
          <w:rFonts w:ascii="Arial" w:eastAsia="Calibri" w:hAnsi="Arial" w:cs="Arial"/>
          <w:sz w:val="20"/>
          <w:szCs w:val="20"/>
        </w:rPr>
        <w:t xml:space="preserve"> A continuación, empieza a detallar todos aquellos aspectos que han sido incorporados a dicha normativa </w:t>
      </w:r>
      <w:r w:rsidR="001B74F2">
        <w:rPr>
          <w:rFonts w:ascii="Arial" w:eastAsia="Calibri" w:hAnsi="Arial" w:cs="Arial"/>
          <w:sz w:val="20"/>
          <w:szCs w:val="20"/>
        </w:rPr>
        <w:lastRenderedPageBreak/>
        <w:t>mediante la reforma realizada,</w:t>
      </w:r>
      <w:r w:rsidR="007722A0">
        <w:rPr>
          <w:rFonts w:ascii="Arial" w:eastAsia="Calibri" w:hAnsi="Arial" w:cs="Arial"/>
          <w:sz w:val="20"/>
          <w:szCs w:val="20"/>
        </w:rPr>
        <w:t xml:space="preserve"> explicando puntualmente cada uno de ellos, entre los que puede mencionarse: definiciones, competencias atribuidas </w:t>
      </w:r>
      <w:r w:rsidR="00EA309D">
        <w:rPr>
          <w:rFonts w:ascii="Arial" w:eastAsia="Calibri" w:hAnsi="Arial" w:cs="Arial"/>
          <w:sz w:val="20"/>
          <w:szCs w:val="20"/>
        </w:rPr>
        <w:t xml:space="preserve">a </w:t>
      </w:r>
      <w:r w:rsidR="007722A0">
        <w:rPr>
          <w:rFonts w:ascii="Arial" w:eastAsia="Calibri" w:hAnsi="Arial" w:cs="Arial"/>
          <w:sz w:val="20"/>
          <w:szCs w:val="20"/>
        </w:rPr>
        <w:t xml:space="preserve">entes institucionales, requisitos de autorización de las agencias de información de datos; derechos de las personas consumidoras o clientes; deberes de la agencias de información de datos; deberes y obligaciones de los agentes económicos; requisitos que deben cumplir las quejas o denuncias; competencias atribuidas a la Defensoría del Consumidor en casos individuales  o ante intereses difusos y colectivos; y, finalmente </w:t>
      </w:r>
      <w:r w:rsidR="00EA309D">
        <w:rPr>
          <w:rFonts w:ascii="Arial" w:eastAsia="Calibri" w:hAnsi="Arial" w:cs="Arial"/>
          <w:sz w:val="20"/>
          <w:szCs w:val="20"/>
        </w:rPr>
        <w:t xml:space="preserve">sobre las </w:t>
      </w:r>
      <w:r w:rsidR="007722A0">
        <w:rPr>
          <w:rFonts w:ascii="Arial" w:eastAsia="Calibri" w:hAnsi="Arial" w:cs="Arial"/>
          <w:sz w:val="20"/>
          <w:szCs w:val="20"/>
        </w:rPr>
        <w:t xml:space="preserve">infracciones y sanciones. </w:t>
      </w:r>
      <w:r w:rsidR="00EA309D">
        <w:rPr>
          <w:rFonts w:ascii="Arial" w:eastAsia="Calibri" w:hAnsi="Arial" w:cs="Arial"/>
          <w:sz w:val="20"/>
          <w:szCs w:val="20"/>
        </w:rPr>
        <w:t>Posteriormente, expresa que el pasado catorce de enero del año en curso, la Sala de lo Constitucional de la Corte Suprema de Justicia emitió la sentencia de inconstitucionalidad referencia ciento nueve /dos mil trece mediante la cual declaró inconstitucional el artículo 30 de la Ley del Historial Crediticio</w:t>
      </w:r>
      <w:r w:rsidR="009C0FF3">
        <w:rPr>
          <w:rFonts w:ascii="Arial" w:eastAsia="Calibri" w:hAnsi="Arial" w:cs="Arial"/>
          <w:sz w:val="20"/>
          <w:szCs w:val="20"/>
        </w:rPr>
        <w:t xml:space="preserve">, en lo relativo a los montos mínimos de las multas fijadas en tal ley y en lo relacionado con la calificación de la reincidencia como infracción muy grave. A continuación, procede a explicar </w:t>
      </w:r>
      <w:r w:rsidR="00EA309D">
        <w:rPr>
          <w:rFonts w:ascii="Arial" w:eastAsia="Calibri" w:hAnsi="Arial" w:cs="Arial"/>
          <w:sz w:val="20"/>
          <w:szCs w:val="20"/>
        </w:rPr>
        <w:t xml:space="preserve">las razones expresadas por dicho tribunal para emitir </w:t>
      </w:r>
      <w:r w:rsidR="009C0FF3">
        <w:rPr>
          <w:rFonts w:ascii="Arial" w:eastAsia="Calibri" w:hAnsi="Arial" w:cs="Arial"/>
          <w:sz w:val="20"/>
          <w:szCs w:val="20"/>
        </w:rPr>
        <w:t>su decisión, así como a puntualizar los efectos que se le han dado a la sentencia en comento. Finalmente, concluye explicando que como consecuencia de la referida inconstitucionalidad es necesario que la Asamblea Legislativa proceda a efectuar la reforma correspondiente dentro del plazo establecido por la Sala de lo Constitucional en la sentencia mencionada, lo que definitivamente atañe a esta Defensoría en razón de la importancia de tal normativa para la defensa de los derechos de las personas consumidoras.</w:t>
      </w:r>
      <w:r w:rsidR="002C6372">
        <w:rPr>
          <w:rFonts w:ascii="Arial" w:eastAsia="Calibri" w:hAnsi="Arial" w:cs="Arial"/>
          <w:sz w:val="20"/>
          <w:szCs w:val="20"/>
        </w:rPr>
        <w:t xml:space="preserve"> El Presidente del Consejo Consultivo abre a ronda de preguntas y opiniones, por lo que se </w:t>
      </w:r>
      <w:r w:rsidRPr="00C0485F">
        <w:rPr>
          <w:rFonts w:ascii="Arial" w:eastAsia="Calibri" w:hAnsi="Arial" w:cs="Arial"/>
          <w:sz w:val="20"/>
          <w:szCs w:val="20"/>
        </w:rPr>
        <w:t xml:space="preserve">confiere la palabra a cada uno de los miembros del Consejo Consultivo, </w:t>
      </w:r>
      <w:r w:rsidRPr="00C0485F">
        <w:rPr>
          <w:rFonts w:ascii="Arial" w:hAnsi="Arial" w:cs="Arial"/>
          <w:sz w:val="20"/>
          <w:szCs w:val="20"/>
        </w:rPr>
        <w:t>quienes manifiestan su</w:t>
      </w:r>
      <w:r w:rsidR="002C6372">
        <w:rPr>
          <w:rFonts w:ascii="Arial" w:hAnsi="Arial" w:cs="Arial"/>
          <w:sz w:val="20"/>
          <w:szCs w:val="20"/>
        </w:rPr>
        <w:t>s preguntas y opiniones respecto del tema las cuales son oportunamente evacuadas</w:t>
      </w:r>
      <w:r w:rsidR="006868C0">
        <w:rPr>
          <w:rFonts w:ascii="Arial" w:hAnsi="Arial" w:cs="Arial"/>
          <w:sz w:val="20"/>
          <w:szCs w:val="20"/>
        </w:rPr>
        <w:t>.</w:t>
      </w:r>
      <w:r w:rsidRPr="00C0485F">
        <w:rPr>
          <w:rFonts w:ascii="Arial" w:hAnsi="Arial" w:cs="Arial"/>
          <w:sz w:val="20"/>
          <w:szCs w:val="20"/>
        </w:rPr>
        <w:t xml:space="preserve"> Finalmente, los miembros del Consejo Consultivo</w:t>
      </w:r>
      <w:r w:rsidRPr="00C0485F">
        <w:rPr>
          <w:rFonts w:ascii="Arial" w:eastAsia="Calibri" w:hAnsi="Arial" w:cs="Arial"/>
          <w:bCs/>
          <w:sz w:val="20"/>
          <w:szCs w:val="20"/>
        </w:rPr>
        <w:t xml:space="preserve"> agradecen </w:t>
      </w:r>
      <w:r w:rsidR="004F1C2C">
        <w:rPr>
          <w:rFonts w:ascii="Arial" w:eastAsia="Calibri" w:hAnsi="Arial" w:cs="Arial"/>
          <w:sz w:val="20"/>
          <w:szCs w:val="20"/>
        </w:rPr>
        <w:t>la presentación efectuada, pues es un tema de mucha relevancia en la protec</w:t>
      </w:r>
      <w:r w:rsidR="00A0725B">
        <w:rPr>
          <w:rFonts w:ascii="Arial" w:eastAsia="Calibri" w:hAnsi="Arial" w:cs="Arial"/>
          <w:sz w:val="20"/>
          <w:szCs w:val="20"/>
        </w:rPr>
        <w:t>ción de los derechos económicos</w:t>
      </w:r>
      <w:r w:rsidR="004F1C2C">
        <w:rPr>
          <w:rFonts w:ascii="Arial" w:eastAsia="Calibri" w:hAnsi="Arial" w:cs="Arial"/>
          <w:sz w:val="20"/>
          <w:szCs w:val="20"/>
        </w:rPr>
        <w:t xml:space="preserve"> de las personas consumidoras.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CINCO: VARIOS. </w:t>
      </w:r>
      <w:r w:rsidRPr="00C0485F">
        <w:rPr>
          <w:rFonts w:ascii="Arial" w:eastAsia="Calibri" w:hAnsi="Arial" w:cs="Arial"/>
          <w:sz w:val="20"/>
          <w:szCs w:val="20"/>
        </w:rPr>
        <w:t xml:space="preserve">El Presidente del Consejo Consultivo pregunta a los demás miembros si existe algún otro tema a tratar, a lo que los referidos miembros contestan que no hay temas pendientes a tratar.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SEIS: CIERRE. </w:t>
      </w:r>
      <w:r w:rsidRPr="00C0485F">
        <w:rPr>
          <w:rFonts w:ascii="Arial" w:eastAsia="Calibri" w:hAnsi="Arial" w:cs="Arial"/>
          <w:sz w:val="20"/>
          <w:szCs w:val="20"/>
        </w:rPr>
        <w:t>N</w:t>
      </w:r>
      <w:r w:rsidRPr="00C0485F">
        <w:rPr>
          <w:rFonts w:ascii="Arial" w:eastAsia="Calibri" w:hAnsi="Arial" w:cs="Arial"/>
          <w:sz w:val="20"/>
          <w:szCs w:val="20"/>
          <w:lang w:val="es-MX"/>
        </w:rPr>
        <w:t>o teniendo nada más que discutir ni hacer constar, se dio por finalizada la reunión a las once horas diez minutos de su fecha, dándole lectura a la presente acta, la cual, por estar redactada conforme a la voluntad de todos los miembros, ratificamos su contenido y firmamos.</w:t>
      </w: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6EA3" w:rsidRPr="00852224" w:rsidRDefault="00852224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852224">
        <w:rPr>
          <w:rFonts w:ascii="Arial" w:hAnsi="Arial" w:cs="Arial"/>
          <w:b/>
          <w:color w:val="000000"/>
          <w:sz w:val="20"/>
          <w:szCs w:val="20"/>
        </w:rPr>
        <w:t>RUBRICAS:</w:t>
      </w:r>
    </w:p>
    <w:bookmarkEnd w:id="0"/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6EA3" w:rsidRPr="00425861" w:rsidRDefault="00CE6EA3" w:rsidP="00CE6EA3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0485F">
        <w:rPr>
          <w:rFonts w:ascii="Arial" w:eastAsia="Calibri" w:hAnsi="Arial" w:cs="Arial"/>
          <w:sz w:val="20"/>
          <w:szCs w:val="20"/>
        </w:rPr>
        <w:t xml:space="preserve">Carlos Roberto Ochoa                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Pr="00C0485F">
        <w:rPr>
          <w:rFonts w:ascii="Arial" w:eastAsia="Calibri" w:hAnsi="Arial" w:cs="Arial"/>
          <w:sz w:val="20"/>
          <w:szCs w:val="20"/>
        </w:rPr>
        <w:t xml:space="preserve"> </w:t>
      </w:r>
      <w:r w:rsidRPr="00C0485F">
        <w:rPr>
          <w:rFonts w:ascii="Arial" w:hAnsi="Arial" w:cs="Arial"/>
          <w:color w:val="000000"/>
          <w:sz w:val="20"/>
          <w:szCs w:val="20"/>
        </w:rPr>
        <w:t xml:space="preserve">Miguel Ángel Rodríguez </w:t>
      </w:r>
      <w:r>
        <w:rPr>
          <w:rFonts w:ascii="Arial" w:hAnsi="Arial" w:cs="Arial"/>
          <w:color w:val="000000"/>
          <w:sz w:val="20"/>
          <w:szCs w:val="20"/>
        </w:rPr>
        <w:t xml:space="preserve">Arias          </w:t>
      </w:r>
      <w:r w:rsidRPr="00C0485F">
        <w:rPr>
          <w:rFonts w:ascii="Arial" w:hAnsi="Arial" w:cs="Arial"/>
          <w:color w:val="000000"/>
          <w:sz w:val="20"/>
          <w:szCs w:val="20"/>
        </w:rPr>
        <w:t xml:space="preserve"> Deysi Lorena Cruz de Amaya                                        </w:t>
      </w:r>
      <w:r w:rsidRPr="00C0485F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485F">
        <w:rPr>
          <w:rFonts w:ascii="Arial" w:eastAsia="Calibri" w:hAnsi="Arial" w:cs="Arial"/>
          <w:sz w:val="20"/>
          <w:szCs w:val="20"/>
        </w:rPr>
        <w:t>Irma Yolanda Núñez Mancía</w:t>
      </w:r>
      <w:r w:rsidRPr="00C0485F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85EFB">
        <w:rPr>
          <w:rFonts w:ascii="Arial" w:eastAsia="Calibri" w:hAnsi="Arial" w:cs="Arial"/>
          <w:sz w:val="20"/>
          <w:szCs w:val="20"/>
        </w:rPr>
        <w:t xml:space="preserve"> </w:t>
      </w:r>
      <w:r w:rsidR="00185EFB" w:rsidRPr="00C0485F">
        <w:rPr>
          <w:rFonts w:ascii="Arial" w:eastAsia="Calibri" w:hAnsi="Arial" w:cs="Arial"/>
          <w:sz w:val="20"/>
          <w:szCs w:val="20"/>
        </w:rPr>
        <w:t>Xiomara Beatriz Hernández Arévalo</w:t>
      </w:r>
      <w:r w:rsidR="00185EFB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C0485F">
        <w:rPr>
          <w:rFonts w:ascii="Arial" w:hAnsi="Arial" w:cs="Arial"/>
          <w:color w:val="000000"/>
          <w:sz w:val="20"/>
          <w:szCs w:val="20"/>
        </w:rPr>
        <w:t xml:space="preserve"> Oscar Alberto Alfaro Santos</w:t>
      </w: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6EA3" w:rsidRPr="00C0485F" w:rsidRDefault="00CE6EA3" w:rsidP="00CE6EA3">
      <w:pPr>
        <w:spacing w:line="360" w:lineRule="auto"/>
        <w:rPr>
          <w:rFonts w:ascii="Arial" w:hAnsi="Arial" w:cs="Arial"/>
          <w:sz w:val="20"/>
          <w:szCs w:val="20"/>
        </w:rPr>
      </w:pPr>
    </w:p>
    <w:p w:rsidR="00CE6EA3" w:rsidRPr="00C0485F" w:rsidRDefault="00CE6EA3" w:rsidP="00CE6EA3">
      <w:pPr>
        <w:rPr>
          <w:rFonts w:ascii="Arial" w:hAnsi="Arial" w:cs="Arial"/>
          <w:sz w:val="20"/>
          <w:szCs w:val="20"/>
        </w:rPr>
      </w:pPr>
    </w:p>
    <w:p w:rsidR="00546B7C" w:rsidRDefault="00852224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A3"/>
    <w:rsid w:val="000D4DF2"/>
    <w:rsid w:val="00185EFB"/>
    <w:rsid w:val="001B74F2"/>
    <w:rsid w:val="002313D2"/>
    <w:rsid w:val="002C6372"/>
    <w:rsid w:val="00374A3C"/>
    <w:rsid w:val="004F1C2C"/>
    <w:rsid w:val="00540579"/>
    <w:rsid w:val="006868C0"/>
    <w:rsid w:val="00761069"/>
    <w:rsid w:val="007722A0"/>
    <w:rsid w:val="00852224"/>
    <w:rsid w:val="008635AE"/>
    <w:rsid w:val="009C0FF3"/>
    <w:rsid w:val="00A0725B"/>
    <w:rsid w:val="00AA5A91"/>
    <w:rsid w:val="00AF2172"/>
    <w:rsid w:val="00AF333C"/>
    <w:rsid w:val="00CE6EA3"/>
    <w:rsid w:val="00D420A1"/>
    <w:rsid w:val="00D6536A"/>
    <w:rsid w:val="00E311D4"/>
    <w:rsid w:val="00EA309D"/>
    <w:rsid w:val="00F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3423F-D699-4152-8662-78352702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E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Fatima Beatriz Benitez</cp:lastModifiedBy>
  <cp:revision>3</cp:revision>
  <cp:lastPrinted>2016-03-10T16:20:00Z</cp:lastPrinted>
  <dcterms:created xsi:type="dcterms:W3CDTF">2016-05-16T19:59:00Z</dcterms:created>
  <dcterms:modified xsi:type="dcterms:W3CDTF">2016-05-16T20:25:00Z</dcterms:modified>
</cp:coreProperties>
</file>