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D13" w:rsidRPr="00001820" w:rsidRDefault="00BF0D13" w:rsidP="00E80F9E">
      <w:pPr>
        <w:spacing w:before="120" w:after="120" w:line="360" w:lineRule="auto"/>
        <w:jc w:val="center"/>
        <w:rPr>
          <w:rFonts w:ascii="Arial" w:hAnsi="Arial" w:cs="Arial"/>
          <w:b/>
          <w:sz w:val="20"/>
          <w:szCs w:val="20"/>
          <w:lang w:val="es-MX"/>
        </w:rPr>
      </w:pPr>
      <w:r>
        <w:rPr>
          <w:rFonts w:ascii="Arial" w:hAnsi="Arial" w:cs="Arial"/>
          <w:b/>
          <w:sz w:val="20"/>
          <w:szCs w:val="20"/>
          <w:lang w:val="es-MX"/>
        </w:rPr>
        <w:t>ACTA N° 10</w:t>
      </w:r>
      <w:r w:rsidRPr="00001820">
        <w:rPr>
          <w:rFonts w:ascii="Arial" w:hAnsi="Arial" w:cs="Arial"/>
          <w:b/>
          <w:sz w:val="20"/>
          <w:szCs w:val="20"/>
          <w:lang w:val="es-MX"/>
        </w:rPr>
        <w:t>/2015</w:t>
      </w:r>
    </w:p>
    <w:p w:rsidR="00BF0D13" w:rsidRPr="00001820" w:rsidRDefault="00BF0D13" w:rsidP="00E80F9E">
      <w:pPr>
        <w:spacing w:before="120" w:after="120" w:line="360" w:lineRule="auto"/>
        <w:jc w:val="center"/>
        <w:rPr>
          <w:rFonts w:ascii="Arial" w:hAnsi="Arial" w:cs="Arial"/>
          <w:b/>
          <w:sz w:val="20"/>
          <w:szCs w:val="20"/>
          <w:lang w:val="es-MX"/>
        </w:rPr>
      </w:pPr>
      <w:r w:rsidRPr="00001820">
        <w:rPr>
          <w:rFonts w:ascii="Arial" w:hAnsi="Arial" w:cs="Arial"/>
          <w:b/>
          <w:sz w:val="20"/>
          <w:szCs w:val="20"/>
          <w:lang w:val="es-MX"/>
        </w:rPr>
        <w:t>CONSEJO CONSULTIVO</w:t>
      </w:r>
    </w:p>
    <w:p w:rsidR="00BF0D13" w:rsidRPr="00001820" w:rsidRDefault="00BF0D13" w:rsidP="00E80F9E">
      <w:pPr>
        <w:spacing w:before="120" w:after="120" w:line="360" w:lineRule="auto"/>
        <w:jc w:val="center"/>
        <w:rPr>
          <w:rFonts w:ascii="Arial" w:hAnsi="Arial" w:cs="Arial"/>
          <w:b/>
          <w:sz w:val="20"/>
          <w:szCs w:val="20"/>
          <w:lang w:val="es-MX"/>
        </w:rPr>
      </w:pPr>
      <w:r w:rsidRPr="00001820">
        <w:rPr>
          <w:rFonts w:ascii="Arial" w:hAnsi="Arial" w:cs="Arial"/>
          <w:b/>
          <w:sz w:val="20"/>
          <w:szCs w:val="20"/>
          <w:lang w:val="es-MX"/>
        </w:rPr>
        <w:t>DEFENSORÍA DEL CONSUMIDOR</w:t>
      </w:r>
    </w:p>
    <w:p w:rsidR="00BF0D13" w:rsidRPr="00B16639" w:rsidRDefault="00BF0D13" w:rsidP="001C4128">
      <w:pPr>
        <w:spacing w:line="360" w:lineRule="auto"/>
        <w:jc w:val="both"/>
        <w:rPr>
          <w:rFonts w:ascii="Arial" w:hAnsi="Arial" w:cs="Arial"/>
          <w:sz w:val="20"/>
          <w:szCs w:val="20"/>
        </w:rPr>
      </w:pPr>
      <w:r w:rsidRPr="00FF1C2A">
        <w:rPr>
          <w:rFonts w:ascii="Arial" w:hAnsi="Arial" w:cs="Arial"/>
          <w:b/>
          <w:sz w:val="20"/>
          <w:szCs w:val="20"/>
        </w:rPr>
        <w:t xml:space="preserve">ACTA NÚMERO </w:t>
      </w:r>
      <w:r w:rsidR="003A3911">
        <w:rPr>
          <w:rFonts w:ascii="Arial" w:hAnsi="Arial" w:cs="Arial"/>
          <w:b/>
          <w:sz w:val="20"/>
          <w:szCs w:val="20"/>
        </w:rPr>
        <w:t>DIEZ</w:t>
      </w:r>
      <w:r w:rsidRPr="00FF1C2A">
        <w:rPr>
          <w:rFonts w:ascii="Arial" w:hAnsi="Arial" w:cs="Arial"/>
          <w:b/>
          <w:sz w:val="20"/>
          <w:szCs w:val="20"/>
        </w:rPr>
        <w:t>/ DOS MIL QUINCE.</w:t>
      </w:r>
      <w:r w:rsidRPr="00FF1C2A">
        <w:rPr>
          <w:rFonts w:ascii="Arial" w:hAnsi="Arial" w:cs="Arial"/>
          <w:sz w:val="20"/>
          <w:szCs w:val="20"/>
        </w:rPr>
        <w:t xml:space="preserve"> En las oficinas de la Defensoría del Consumidor, Antiguo Cuscatlán, a las </w:t>
      </w:r>
      <w:r>
        <w:rPr>
          <w:rFonts w:ascii="Arial" w:hAnsi="Arial" w:cs="Arial"/>
          <w:sz w:val="20"/>
          <w:szCs w:val="20"/>
        </w:rPr>
        <w:t xml:space="preserve">diez </w:t>
      </w:r>
      <w:r w:rsidRPr="00FF1C2A">
        <w:rPr>
          <w:rFonts w:ascii="Arial" w:hAnsi="Arial" w:cs="Arial"/>
          <w:sz w:val="20"/>
          <w:szCs w:val="20"/>
        </w:rPr>
        <w:t xml:space="preserve">horas del día </w:t>
      </w:r>
      <w:r>
        <w:rPr>
          <w:rFonts w:ascii="Arial" w:hAnsi="Arial" w:cs="Arial"/>
          <w:sz w:val="20"/>
          <w:szCs w:val="20"/>
        </w:rPr>
        <w:t xml:space="preserve">once de junio </w:t>
      </w:r>
      <w:r w:rsidRPr="00FF1C2A">
        <w:rPr>
          <w:rFonts w:ascii="Arial" w:hAnsi="Arial" w:cs="Arial"/>
          <w:sz w:val="20"/>
          <w:szCs w:val="20"/>
        </w:rPr>
        <w:t>de dos mil quince. Presentes los miembros del Consejo Consultivo de la Defensoría del Consumidor:</w:t>
      </w:r>
      <w:r w:rsidRPr="00630DCB">
        <w:rPr>
          <w:rFonts w:ascii="Arial" w:hAnsi="Arial" w:cs="Arial"/>
          <w:sz w:val="20"/>
          <w:szCs w:val="20"/>
        </w:rPr>
        <w:t xml:space="preserve"> Carlos Roberto Och</w:t>
      </w:r>
      <w:r>
        <w:rPr>
          <w:rFonts w:ascii="Arial" w:hAnsi="Arial" w:cs="Arial"/>
          <w:sz w:val="20"/>
          <w:szCs w:val="20"/>
        </w:rPr>
        <w:t>oa, Miguel Á</w:t>
      </w:r>
      <w:r w:rsidRPr="00630DCB">
        <w:rPr>
          <w:rFonts w:ascii="Arial" w:hAnsi="Arial" w:cs="Arial"/>
          <w:sz w:val="20"/>
          <w:szCs w:val="20"/>
        </w:rPr>
        <w:t>ngel Rodríguez Arias</w:t>
      </w:r>
      <w:r>
        <w:rPr>
          <w:rFonts w:ascii="Arial" w:hAnsi="Arial" w:cs="Arial"/>
          <w:sz w:val="20"/>
          <w:szCs w:val="20"/>
        </w:rPr>
        <w:t>, Mónica María Galdámez y Francisco Díaz. No estuvieron presentes los señores</w:t>
      </w:r>
      <w:r w:rsidRPr="00BF0D13">
        <w:rPr>
          <w:rFonts w:ascii="Arial" w:hAnsi="Arial" w:cs="Arial"/>
          <w:sz w:val="20"/>
          <w:szCs w:val="20"/>
        </w:rPr>
        <w:t xml:space="preserve"> </w:t>
      </w:r>
      <w:r>
        <w:rPr>
          <w:rFonts w:ascii="Arial" w:hAnsi="Arial" w:cs="Arial"/>
          <w:sz w:val="20"/>
          <w:szCs w:val="20"/>
        </w:rPr>
        <w:t xml:space="preserve">Irma Yolanda Núñez Mancía, </w:t>
      </w:r>
      <w:r w:rsidRPr="00FF1C2A">
        <w:rPr>
          <w:rFonts w:ascii="Arial" w:hAnsi="Arial" w:cs="Arial"/>
          <w:sz w:val="20"/>
          <w:szCs w:val="20"/>
        </w:rPr>
        <w:t>Deysi Lorena Cruz de Amaya</w:t>
      </w:r>
      <w:r>
        <w:rPr>
          <w:rFonts w:ascii="Arial" w:hAnsi="Arial" w:cs="Arial"/>
          <w:sz w:val="20"/>
          <w:szCs w:val="20"/>
        </w:rPr>
        <w:t xml:space="preserve">, </w:t>
      </w:r>
      <w:r w:rsidRPr="00630DCB">
        <w:rPr>
          <w:rFonts w:ascii="Arial" w:hAnsi="Arial" w:cs="Arial"/>
          <w:sz w:val="20"/>
          <w:szCs w:val="20"/>
        </w:rPr>
        <w:t>Xiomara Beatriz Hernández Arévalo,</w:t>
      </w:r>
      <w:r>
        <w:rPr>
          <w:rFonts w:ascii="Arial" w:hAnsi="Arial" w:cs="Arial"/>
          <w:sz w:val="20"/>
          <w:szCs w:val="20"/>
        </w:rPr>
        <w:t xml:space="preserve"> y Oscar Alberto Alfaro Santos</w:t>
      </w:r>
      <w:r w:rsidRPr="00703B50">
        <w:rPr>
          <w:rFonts w:ascii="Arial" w:hAnsi="Arial" w:cs="Arial"/>
          <w:sz w:val="20"/>
          <w:szCs w:val="20"/>
        </w:rPr>
        <w:t xml:space="preserve"> quien</w:t>
      </w:r>
      <w:r>
        <w:rPr>
          <w:rFonts w:ascii="Arial" w:hAnsi="Arial" w:cs="Arial"/>
          <w:sz w:val="20"/>
          <w:szCs w:val="20"/>
        </w:rPr>
        <w:t>es presentaron</w:t>
      </w:r>
      <w:r w:rsidRPr="00703B50">
        <w:rPr>
          <w:rFonts w:ascii="Arial" w:hAnsi="Arial" w:cs="Arial"/>
          <w:sz w:val="20"/>
          <w:szCs w:val="20"/>
        </w:rPr>
        <w:t xml:space="preserve"> su respectiva excusa</w:t>
      </w:r>
      <w:r w:rsidRPr="00FF1C2A">
        <w:rPr>
          <w:rFonts w:ascii="Arial" w:hAnsi="Arial" w:cs="Arial"/>
          <w:sz w:val="20"/>
          <w:szCs w:val="20"/>
        </w:rPr>
        <w:t xml:space="preserve">. </w:t>
      </w:r>
      <w:r>
        <w:rPr>
          <w:rFonts w:ascii="Arial" w:hAnsi="Arial" w:cs="Arial"/>
          <w:sz w:val="20"/>
          <w:szCs w:val="20"/>
          <w:lang w:val="es-ES" w:eastAsia="es-ES"/>
        </w:rPr>
        <w:t xml:space="preserve">Tampoco </w:t>
      </w:r>
      <w:r w:rsidRPr="00FF1C2A">
        <w:rPr>
          <w:rFonts w:ascii="Arial" w:hAnsi="Arial" w:cs="Arial"/>
          <w:sz w:val="20"/>
          <w:szCs w:val="20"/>
          <w:lang w:val="es-ES" w:eastAsia="es-ES"/>
        </w:rPr>
        <w:t xml:space="preserve"> estuvo presente la Presidenta de la Defensoría del Cons</w:t>
      </w:r>
      <w:r>
        <w:rPr>
          <w:rFonts w:ascii="Arial" w:hAnsi="Arial" w:cs="Arial"/>
          <w:sz w:val="20"/>
          <w:szCs w:val="20"/>
          <w:lang w:val="es-ES" w:eastAsia="es-ES"/>
        </w:rPr>
        <w:t>umidor, Licenciada Yanci Urbina, por tener que atender otros compromisos laborales coincidentes con la hora y fecha programadas para esta sesión</w:t>
      </w:r>
      <w:r w:rsidRPr="00FF54F2">
        <w:rPr>
          <w:rFonts w:ascii="Arial" w:hAnsi="Arial" w:cs="Arial"/>
          <w:sz w:val="20"/>
          <w:szCs w:val="20"/>
          <w:lang w:val="es-ES" w:eastAsia="es-ES"/>
        </w:rPr>
        <w:t>.</w:t>
      </w:r>
      <w:r w:rsidRPr="009624CC">
        <w:rPr>
          <w:rFonts w:ascii="Arial" w:hAnsi="Arial" w:cs="Arial"/>
          <w:sz w:val="20"/>
          <w:szCs w:val="20"/>
          <w:lang w:val="es-ES" w:eastAsia="es-ES"/>
        </w:rPr>
        <w:t xml:space="preserve"> </w:t>
      </w:r>
      <w:r>
        <w:rPr>
          <w:rFonts w:ascii="Arial" w:hAnsi="Arial" w:cs="Arial"/>
          <w:sz w:val="20"/>
          <w:szCs w:val="20"/>
          <w:lang w:val="es-ES" w:eastAsia="es-ES"/>
        </w:rPr>
        <w:t xml:space="preserve">Dada la ausencia de la Secretaria </w:t>
      </w:r>
      <w:r w:rsidRPr="00FF1C2A">
        <w:rPr>
          <w:rFonts w:ascii="Arial" w:hAnsi="Arial" w:cs="Arial"/>
          <w:sz w:val="20"/>
          <w:szCs w:val="20"/>
          <w:lang w:val="es-ES" w:eastAsia="es-ES"/>
        </w:rPr>
        <w:t>del Consejo Consultivo, de conformidad con lo estipulado en el artículo 76 de la Ley de Protección al Consumidor, se procedió a elegir entre los asistentes al miembro que desempeñará las funciones de</w:t>
      </w:r>
      <w:r>
        <w:rPr>
          <w:rFonts w:ascii="Arial" w:hAnsi="Arial" w:cs="Arial"/>
          <w:sz w:val="20"/>
          <w:szCs w:val="20"/>
          <w:lang w:val="es-ES" w:eastAsia="es-ES"/>
        </w:rPr>
        <w:t xml:space="preserve"> Secretaria </w:t>
      </w:r>
      <w:r w:rsidRPr="00FF1C2A">
        <w:rPr>
          <w:rFonts w:ascii="Arial" w:hAnsi="Arial" w:cs="Arial"/>
          <w:sz w:val="20"/>
          <w:szCs w:val="20"/>
          <w:lang w:val="es-ES" w:eastAsia="es-ES"/>
        </w:rPr>
        <w:t>para la presente reunión, recayendo tal designación</w:t>
      </w:r>
      <w:r>
        <w:rPr>
          <w:rFonts w:ascii="Arial" w:hAnsi="Arial" w:cs="Arial"/>
          <w:sz w:val="20"/>
          <w:szCs w:val="20"/>
          <w:lang w:val="es-ES" w:eastAsia="es-ES"/>
        </w:rPr>
        <w:t xml:space="preserve"> en Mónica María Galdámez.  </w:t>
      </w:r>
      <w:r w:rsidRPr="000E0B47">
        <w:rPr>
          <w:rFonts w:ascii="Arial" w:hAnsi="Arial" w:cs="Arial"/>
          <w:sz w:val="20"/>
          <w:szCs w:val="20"/>
        </w:rPr>
        <w:t>El Presidente del Consejo Consultivo</w:t>
      </w:r>
      <w:r>
        <w:rPr>
          <w:rFonts w:ascii="Arial" w:hAnsi="Arial" w:cs="Arial"/>
          <w:sz w:val="20"/>
          <w:szCs w:val="20"/>
        </w:rPr>
        <w:t xml:space="preserve"> </w:t>
      </w:r>
      <w:r w:rsidRPr="000E0B47">
        <w:rPr>
          <w:rFonts w:ascii="Arial" w:hAnsi="Arial" w:cs="Arial"/>
          <w:sz w:val="20"/>
          <w:szCs w:val="20"/>
        </w:rPr>
        <w:t>procedió a dar inicio a la reunión y se desarrolló la agenda siguiente</w:t>
      </w:r>
      <w:r>
        <w:rPr>
          <w:rFonts w:ascii="Arial" w:hAnsi="Arial" w:cs="Arial"/>
          <w:sz w:val="20"/>
          <w:szCs w:val="20"/>
          <w:lang w:val="es-ES" w:eastAsia="es-ES"/>
        </w:rPr>
        <w:t>:</w:t>
      </w:r>
      <w:r w:rsidRPr="00001820">
        <w:rPr>
          <w:rFonts w:ascii="Arial" w:hAnsi="Arial" w:cs="Arial"/>
          <w:sz w:val="20"/>
          <w:szCs w:val="20"/>
        </w:rPr>
        <w:t xml:space="preserve"> 1) Verificación del quórum; 2) Presentación y aprobación de la agenda; 3) Lectura y aprobación de</w:t>
      </w:r>
      <w:r>
        <w:rPr>
          <w:rFonts w:ascii="Arial" w:hAnsi="Arial" w:cs="Arial"/>
          <w:sz w:val="20"/>
          <w:szCs w:val="20"/>
        </w:rPr>
        <w:t xml:space="preserve">l </w:t>
      </w:r>
      <w:r w:rsidRPr="00001820">
        <w:rPr>
          <w:rFonts w:ascii="Arial" w:hAnsi="Arial" w:cs="Arial"/>
          <w:sz w:val="20"/>
          <w:szCs w:val="20"/>
        </w:rPr>
        <w:t>acta anterior; 4)</w:t>
      </w:r>
      <w:r>
        <w:rPr>
          <w:rFonts w:ascii="Arial" w:hAnsi="Arial" w:cs="Arial"/>
          <w:sz w:val="20"/>
          <w:szCs w:val="20"/>
        </w:rPr>
        <w:t xml:space="preserve"> Presentación del  Tema “Política de Ahorro y Austeridad del Sector Público 2015”; 5) Varios; y, 6) Cierre. </w:t>
      </w:r>
      <w:r w:rsidRPr="00001820">
        <w:rPr>
          <w:rFonts w:ascii="Arial" w:hAnsi="Arial" w:cs="Arial"/>
          <w:b/>
          <w:sz w:val="20"/>
          <w:szCs w:val="20"/>
        </w:rPr>
        <w:t>DESARROLLO DE LA AGENDA</w:t>
      </w:r>
      <w:r w:rsidRPr="00001820">
        <w:rPr>
          <w:rFonts w:ascii="Arial" w:hAnsi="Arial" w:cs="Arial"/>
          <w:sz w:val="20"/>
          <w:szCs w:val="20"/>
        </w:rPr>
        <w:t>.</w:t>
      </w:r>
      <w:r w:rsidRPr="00001820">
        <w:rPr>
          <w:rFonts w:ascii="Arial" w:hAnsi="Arial" w:cs="Arial"/>
          <w:b/>
          <w:sz w:val="20"/>
          <w:szCs w:val="20"/>
        </w:rPr>
        <w:t xml:space="preserve"> PUNTO UNO: VERIFICACIÓN DEL QUORUM</w:t>
      </w:r>
      <w:r w:rsidRPr="00001820">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001820">
        <w:rPr>
          <w:rFonts w:ascii="Arial" w:hAnsi="Arial" w:cs="Arial"/>
          <w:b/>
          <w:sz w:val="20"/>
          <w:szCs w:val="20"/>
        </w:rPr>
        <w:t xml:space="preserve">PUNTO DOS: PRESENTACIÓN Y APROBACIÓN DE LA AGENDA. </w:t>
      </w:r>
      <w:r w:rsidRPr="00001820">
        <w:rPr>
          <w:rFonts w:ascii="Arial" w:hAnsi="Arial" w:cs="Arial"/>
          <w:sz w:val="20"/>
          <w:szCs w:val="20"/>
        </w:rPr>
        <w:t>Los miembros del Consejo Consultivo acordaron aprobar, por unanimidad, la agenda sometida a su consideración.</w:t>
      </w:r>
      <w:r w:rsidRPr="00001820">
        <w:rPr>
          <w:rFonts w:ascii="Arial" w:hAnsi="Arial" w:cs="Arial"/>
          <w:b/>
          <w:sz w:val="20"/>
          <w:szCs w:val="20"/>
        </w:rPr>
        <w:t xml:space="preserve"> PUNTO TRES: LECTURA </w:t>
      </w:r>
      <w:r>
        <w:rPr>
          <w:rFonts w:ascii="Arial" w:hAnsi="Arial" w:cs="Arial"/>
          <w:b/>
          <w:sz w:val="20"/>
          <w:szCs w:val="20"/>
        </w:rPr>
        <w:t xml:space="preserve">DEL </w:t>
      </w:r>
      <w:r w:rsidRPr="00001820">
        <w:rPr>
          <w:rFonts w:ascii="Arial" w:hAnsi="Arial" w:cs="Arial"/>
          <w:b/>
          <w:sz w:val="20"/>
          <w:szCs w:val="20"/>
        </w:rPr>
        <w:t>ACTA</w:t>
      </w:r>
      <w:r>
        <w:rPr>
          <w:rFonts w:ascii="Arial" w:hAnsi="Arial" w:cs="Arial"/>
          <w:b/>
          <w:sz w:val="20"/>
          <w:szCs w:val="20"/>
        </w:rPr>
        <w:t xml:space="preserve"> DE SESIÓN ANTERIOR</w:t>
      </w:r>
      <w:r w:rsidRPr="00001820">
        <w:rPr>
          <w:rFonts w:ascii="Arial" w:hAnsi="Arial" w:cs="Arial"/>
          <w:b/>
          <w:sz w:val="20"/>
          <w:szCs w:val="20"/>
        </w:rPr>
        <w:t>.</w:t>
      </w:r>
      <w:r w:rsidRPr="00001820">
        <w:rPr>
          <w:rFonts w:ascii="Arial" w:hAnsi="Arial" w:cs="Arial"/>
          <w:sz w:val="20"/>
          <w:szCs w:val="20"/>
        </w:rPr>
        <w:t xml:space="preserve"> Se procedió a dar lectura a</w:t>
      </w:r>
      <w:r>
        <w:rPr>
          <w:rFonts w:ascii="Arial" w:hAnsi="Arial" w:cs="Arial"/>
          <w:sz w:val="20"/>
          <w:szCs w:val="20"/>
        </w:rPr>
        <w:t>l</w:t>
      </w:r>
      <w:r w:rsidRPr="00001820">
        <w:rPr>
          <w:rFonts w:ascii="Arial" w:hAnsi="Arial" w:cs="Arial"/>
          <w:sz w:val="20"/>
          <w:szCs w:val="20"/>
        </w:rPr>
        <w:t xml:space="preserve"> acta número </w:t>
      </w:r>
      <w:r>
        <w:rPr>
          <w:rFonts w:ascii="Arial" w:hAnsi="Arial" w:cs="Arial"/>
          <w:sz w:val="20"/>
          <w:szCs w:val="20"/>
        </w:rPr>
        <w:t xml:space="preserve">nueve / dos mil quince </w:t>
      </w:r>
      <w:r w:rsidRPr="00001820">
        <w:rPr>
          <w:rFonts w:ascii="Arial" w:hAnsi="Arial" w:cs="Arial"/>
          <w:sz w:val="20"/>
          <w:szCs w:val="20"/>
        </w:rPr>
        <w:t>del Consejo Consultivo correspondiente a</w:t>
      </w:r>
      <w:r>
        <w:rPr>
          <w:rFonts w:ascii="Arial" w:hAnsi="Arial" w:cs="Arial"/>
          <w:sz w:val="20"/>
          <w:szCs w:val="20"/>
        </w:rPr>
        <w:t xml:space="preserve">l día veintiocho de mayo </w:t>
      </w:r>
      <w:r w:rsidRPr="00001820">
        <w:rPr>
          <w:rFonts w:ascii="Arial" w:hAnsi="Arial" w:cs="Arial"/>
          <w:sz w:val="20"/>
          <w:szCs w:val="20"/>
        </w:rPr>
        <w:t xml:space="preserve">de dos mil </w:t>
      </w:r>
      <w:r>
        <w:rPr>
          <w:rFonts w:ascii="Arial" w:hAnsi="Arial" w:cs="Arial"/>
          <w:sz w:val="20"/>
          <w:szCs w:val="20"/>
        </w:rPr>
        <w:t>quince</w:t>
      </w:r>
      <w:r w:rsidRPr="00001820">
        <w:rPr>
          <w:rFonts w:ascii="Arial" w:hAnsi="Arial" w:cs="Arial"/>
          <w:sz w:val="20"/>
          <w:szCs w:val="20"/>
        </w:rPr>
        <w:t>, y concluida la lectura de la misma</w:t>
      </w:r>
      <w:r>
        <w:rPr>
          <w:rFonts w:ascii="Arial" w:hAnsi="Arial" w:cs="Arial"/>
          <w:sz w:val="20"/>
          <w:szCs w:val="20"/>
        </w:rPr>
        <w:t xml:space="preserve">, quedó aprobada por unanimidad. </w:t>
      </w:r>
      <w:r w:rsidRPr="000724E7">
        <w:rPr>
          <w:rFonts w:ascii="Arial" w:hAnsi="Arial" w:cs="Arial"/>
          <w:b/>
          <w:sz w:val="20"/>
          <w:szCs w:val="20"/>
        </w:rPr>
        <w:t>PUNTO CUATRO: PRESENTACIÓN DE</w:t>
      </w:r>
      <w:r>
        <w:rPr>
          <w:rFonts w:ascii="Arial" w:hAnsi="Arial" w:cs="Arial"/>
          <w:b/>
          <w:sz w:val="20"/>
          <w:szCs w:val="20"/>
        </w:rPr>
        <w:t xml:space="preserve">L TEMA “POLITICA DE AHORRO Y AUSTERIDAD DEL SECTOR PUBLICO 2015”. </w:t>
      </w:r>
      <w:r w:rsidRPr="007342EA">
        <w:rPr>
          <w:rFonts w:ascii="Arial" w:hAnsi="Arial" w:cs="Arial"/>
          <w:sz w:val="20"/>
          <w:szCs w:val="20"/>
        </w:rPr>
        <w:t xml:space="preserve">La </w:t>
      </w:r>
      <w:r>
        <w:rPr>
          <w:rFonts w:ascii="Arial" w:hAnsi="Arial" w:cs="Arial"/>
          <w:sz w:val="20"/>
          <w:szCs w:val="20"/>
        </w:rPr>
        <w:t xml:space="preserve">presentación </w:t>
      </w:r>
      <w:r w:rsidRPr="000E0B47">
        <w:rPr>
          <w:rFonts w:ascii="Arial" w:hAnsi="Arial" w:cs="Arial"/>
          <w:sz w:val="20"/>
          <w:szCs w:val="20"/>
        </w:rPr>
        <w:t xml:space="preserve">estuvo a cargo del Licenciado </w:t>
      </w:r>
      <w:r>
        <w:rPr>
          <w:rFonts w:ascii="Arial" w:hAnsi="Arial" w:cs="Arial"/>
          <w:sz w:val="20"/>
          <w:szCs w:val="20"/>
        </w:rPr>
        <w:t>Luis Fernández, Técnico Legal de la Dirección Jurídica de esta Defensoría. El Licenciado</w:t>
      </w:r>
      <w:r w:rsidR="00E70D31">
        <w:rPr>
          <w:rFonts w:ascii="Arial" w:hAnsi="Arial" w:cs="Arial"/>
          <w:sz w:val="20"/>
          <w:szCs w:val="20"/>
        </w:rPr>
        <w:t xml:space="preserve"> Fernández  </w:t>
      </w:r>
      <w:r>
        <w:rPr>
          <w:rFonts w:ascii="Arial" w:hAnsi="Arial" w:cs="Arial"/>
          <w:sz w:val="20"/>
          <w:szCs w:val="20"/>
        </w:rPr>
        <w:t>inicia explicando</w:t>
      </w:r>
      <w:r w:rsidR="008F46B6">
        <w:rPr>
          <w:rFonts w:ascii="Arial" w:hAnsi="Arial" w:cs="Arial"/>
          <w:sz w:val="20"/>
          <w:szCs w:val="20"/>
        </w:rPr>
        <w:t xml:space="preserve"> que el objetivo general de dicha Política</w:t>
      </w:r>
      <w:r>
        <w:rPr>
          <w:rFonts w:ascii="Arial" w:hAnsi="Arial" w:cs="Arial"/>
          <w:sz w:val="20"/>
          <w:szCs w:val="20"/>
        </w:rPr>
        <w:t xml:space="preserve"> </w:t>
      </w:r>
      <w:r w:rsidR="008F46B6">
        <w:rPr>
          <w:rFonts w:ascii="Arial" w:hAnsi="Arial" w:cs="Arial"/>
          <w:sz w:val="20"/>
          <w:szCs w:val="20"/>
        </w:rPr>
        <w:t>consiste en ejecutar el gasto público con criterios de austeridad y racionalidad a fin de generar ahorros y contribuir a la sostenibilidad fiscal del País, pero sin afectar las erogaciones de aquellos recursos destinados a dar cumplimiento a los propósitos y metas establecidas en cada institución, así como a las finalidades u objetivos comprendidos dentro de los convenios de cooperación.</w:t>
      </w:r>
      <w:r w:rsidR="00D9636A">
        <w:rPr>
          <w:rFonts w:ascii="Arial" w:hAnsi="Arial" w:cs="Arial"/>
          <w:sz w:val="20"/>
          <w:szCs w:val="20"/>
        </w:rPr>
        <w:t xml:space="preserve"> Añade</w:t>
      </w:r>
      <w:r w:rsidR="00E80F9E">
        <w:rPr>
          <w:rFonts w:ascii="Arial" w:hAnsi="Arial" w:cs="Arial"/>
          <w:sz w:val="20"/>
          <w:szCs w:val="20"/>
        </w:rPr>
        <w:t xml:space="preserve"> que entre las principales medidas que se contemplan en la Política para reducir los gastos se encuentran: e</w:t>
      </w:r>
      <w:r w:rsidR="003D2668" w:rsidRPr="00E80F9E">
        <w:rPr>
          <w:rFonts w:ascii="Arial" w:hAnsi="Arial" w:cs="Arial"/>
          <w:sz w:val="20"/>
          <w:szCs w:val="20"/>
        </w:rPr>
        <w:t>vitar modificaciones en los planes de trabajo institucionales que requieran recursos adicionales a los ya progr</w:t>
      </w:r>
      <w:r w:rsidR="00E80F9E">
        <w:rPr>
          <w:rFonts w:ascii="Arial" w:hAnsi="Arial" w:cs="Arial"/>
          <w:sz w:val="20"/>
          <w:szCs w:val="20"/>
        </w:rPr>
        <w:t>amados en la Ley de Presupuesto; p</w:t>
      </w:r>
      <w:r w:rsidR="003D2668" w:rsidRPr="00E80F9E">
        <w:rPr>
          <w:rFonts w:ascii="Arial" w:hAnsi="Arial" w:cs="Arial"/>
          <w:sz w:val="20"/>
          <w:szCs w:val="20"/>
        </w:rPr>
        <w:t xml:space="preserve">romover compras conjuntas de bienes y servicios </w:t>
      </w:r>
      <w:r w:rsidR="00E80F9E">
        <w:rPr>
          <w:rFonts w:ascii="Arial" w:hAnsi="Arial" w:cs="Arial"/>
          <w:sz w:val="20"/>
          <w:szCs w:val="20"/>
        </w:rPr>
        <w:t>en co</w:t>
      </w:r>
      <w:r w:rsidR="00D9636A">
        <w:rPr>
          <w:rFonts w:ascii="Arial" w:hAnsi="Arial" w:cs="Arial"/>
          <w:sz w:val="20"/>
          <w:szCs w:val="20"/>
        </w:rPr>
        <w:t xml:space="preserve">ordinación interinstitucional </w:t>
      </w:r>
      <w:r w:rsidR="00E80F9E">
        <w:rPr>
          <w:rFonts w:ascii="Arial" w:hAnsi="Arial" w:cs="Arial"/>
          <w:sz w:val="20"/>
          <w:szCs w:val="20"/>
        </w:rPr>
        <w:t xml:space="preserve">así como </w:t>
      </w:r>
      <w:r w:rsidR="003D2668" w:rsidRPr="00E80F9E">
        <w:rPr>
          <w:rFonts w:ascii="Arial" w:hAnsi="Arial" w:cs="Arial"/>
          <w:sz w:val="20"/>
          <w:szCs w:val="20"/>
        </w:rPr>
        <w:t xml:space="preserve">el uso de tecnologías de la información y comunicación </w:t>
      </w:r>
      <w:r w:rsidR="003D2668" w:rsidRPr="00E80F9E">
        <w:rPr>
          <w:rFonts w:ascii="Arial" w:hAnsi="Arial" w:cs="Arial"/>
          <w:sz w:val="20"/>
          <w:szCs w:val="20"/>
        </w:rPr>
        <w:lastRenderedPageBreak/>
        <w:t>virtual, escaneos y archivo electrónico de documentos, con el fin de reducir el gasto de papelería, materiales de oficina u otros de uso diario.</w:t>
      </w:r>
      <w:r w:rsidR="00E80F9E">
        <w:rPr>
          <w:rFonts w:ascii="Arial" w:hAnsi="Arial" w:cs="Arial"/>
          <w:sz w:val="20"/>
          <w:szCs w:val="20"/>
        </w:rPr>
        <w:t xml:space="preserve"> En este punto, </w:t>
      </w:r>
      <w:r w:rsidR="00BA0D31">
        <w:rPr>
          <w:rFonts w:ascii="Arial" w:hAnsi="Arial" w:cs="Arial"/>
          <w:sz w:val="20"/>
          <w:szCs w:val="20"/>
        </w:rPr>
        <w:t xml:space="preserve">el Licenciado Díaz pregunta si ya ha habido experiencias de compras conjuntas interinstitucionales, a lo que se le responde que a la fecha no ha habido compras de ese tipo. </w:t>
      </w:r>
      <w:r w:rsidR="00386A5F">
        <w:rPr>
          <w:rFonts w:ascii="Arial" w:hAnsi="Arial" w:cs="Arial"/>
          <w:sz w:val="20"/>
          <w:szCs w:val="20"/>
        </w:rPr>
        <w:t>Continúo</w:t>
      </w:r>
      <w:r w:rsidR="003C3413">
        <w:rPr>
          <w:rFonts w:ascii="Arial" w:hAnsi="Arial" w:cs="Arial"/>
          <w:sz w:val="20"/>
          <w:szCs w:val="20"/>
        </w:rPr>
        <w:t xml:space="preserve"> el Licenciado Fernández expresando que con la Política se han suspendido los incrementos salariales para cual</w:t>
      </w:r>
      <w:r w:rsidR="00386A5F">
        <w:rPr>
          <w:rFonts w:ascii="Arial" w:hAnsi="Arial" w:cs="Arial"/>
          <w:sz w:val="20"/>
          <w:szCs w:val="20"/>
        </w:rPr>
        <w:t>quier sistema de pago y fuente de financiamiento y en general la creación de plazas y la contratación de personal en plazas que se encuentren vacantes</w:t>
      </w:r>
      <w:r w:rsidR="00FB2116">
        <w:rPr>
          <w:rFonts w:ascii="Arial" w:hAnsi="Arial" w:cs="Arial"/>
          <w:sz w:val="20"/>
          <w:szCs w:val="20"/>
        </w:rPr>
        <w:t xml:space="preserve">, exceptuándose las plazas médicas y paramédicas, de personal de carrera docente, de defensa nacional, seguridad pública entre otras. </w:t>
      </w:r>
      <w:r w:rsidR="00846978">
        <w:rPr>
          <w:rFonts w:ascii="Arial" w:hAnsi="Arial" w:cs="Arial"/>
          <w:sz w:val="20"/>
          <w:szCs w:val="20"/>
        </w:rPr>
        <w:t xml:space="preserve">El Licenciado Díaz pregunta si es posible efectuar nuevas contrataciones en caso que </w:t>
      </w:r>
      <w:r w:rsidR="001B4ACA">
        <w:rPr>
          <w:rFonts w:ascii="Arial" w:hAnsi="Arial" w:cs="Arial"/>
          <w:sz w:val="20"/>
          <w:szCs w:val="20"/>
        </w:rPr>
        <w:t>un Director de la Institución renuncie del cargo, a lo que se le comenta que las plazas de carácter directriz también forman parte de la excepción, pudiendo efectuarse la contratación pero es necesario presentar la justificación respectiva y contar con la autorización del Ministerio de Hacienda, tal como se dispone en los artículo</w:t>
      </w:r>
      <w:r w:rsidR="00D9636A">
        <w:rPr>
          <w:rFonts w:ascii="Arial" w:hAnsi="Arial" w:cs="Arial"/>
          <w:sz w:val="20"/>
          <w:szCs w:val="20"/>
        </w:rPr>
        <w:t>s</w:t>
      </w:r>
      <w:r w:rsidR="001B4ACA">
        <w:rPr>
          <w:rFonts w:ascii="Arial" w:hAnsi="Arial" w:cs="Arial"/>
          <w:sz w:val="20"/>
          <w:szCs w:val="20"/>
        </w:rPr>
        <w:t xml:space="preserve"> </w:t>
      </w:r>
      <w:r w:rsidR="000B7028">
        <w:rPr>
          <w:rFonts w:ascii="Arial" w:hAnsi="Arial" w:cs="Arial"/>
          <w:sz w:val="20"/>
          <w:szCs w:val="20"/>
        </w:rPr>
        <w:t>dos</w:t>
      </w:r>
      <w:r w:rsidR="001B4ACA">
        <w:rPr>
          <w:rFonts w:ascii="Arial" w:hAnsi="Arial" w:cs="Arial"/>
          <w:sz w:val="20"/>
          <w:szCs w:val="20"/>
        </w:rPr>
        <w:t xml:space="preserve"> de la Ley de Salarios y </w:t>
      </w:r>
      <w:r w:rsidR="000B7028">
        <w:rPr>
          <w:rFonts w:ascii="Arial" w:hAnsi="Arial" w:cs="Arial"/>
          <w:sz w:val="20"/>
          <w:szCs w:val="20"/>
        </w:rPr>
        <w:t xml:space="preserve">ochenta y tres </w:t>
      </w:r>
      <w:r w:rsidR="001B4ACA">
        <w:rPr>
          <w:rFonts w:ascii="Arial" w:hAnsi="Arial" w:cs="Arial"/>
          <w:sz w:val="20"/>
          <w:szCs w:val="20"/>
        </w:rPr>
        <w:t xml:space="preserve"> de</w:t>
      </w:r>
      <w:r w:rsidR="00D9636A">
        <w:rPr>
          <w:rFonts w:ascii="Arial" w:hAnsi="Arial" w:cs="Arial"/>
          <w:sz w:val="20"/>
          <w:szCs w:val="20"/>
        </w:rPr>
        <w:t xml:space="preserve"> </w:t>
      </w:r>
      <w:r w:rsidR="001B4ACA">
        <w:rPr>
          <w:rFonts w:ascii="Arial" w:hAnsi="Arial" w:cs="Arial"/>
          <w:sz w:val="20"/>
          <w:szCs w:val="20"/>
        </w:rPr>
        <w:t>l</w:t>
      </w:r>
      <w:r w:rsidR="00D9636A">
        <w:rPr>
          <w:rFonts w:ascii="Arial" w:hAnsi="Arial" w:cs="Arial"/>
          <w:sz w:val="20"/>
          <w:szCs w:val="20"/>
        </w:rPr>
        <w:t>as</w:t>
      </w:r>
      <w:r w:rsidR="001B4ACA">
        <w:rPr>
          <w:rFonts w:ascii="Arial" w:hAnsi="Arial" w:cs="Arial"/>
          <w:sz w:val="20"/>
          <w:szCs w:val="20"/>
        </w:rPr>
        <w:t xml:space="preserve"> Disposiciones Generales de Presupuestos.</w:t>
      </w:r>
      <w:r w:rsidR="004B42F4">
        <w:rPr>
          <w:rFonts w:ascii="Arial" w:hAnsi="Arial" w:cs="Arial"/>
          <w:sz w:val="20"/>
          <w:szCs w:val="20"/>
        </w:rPr>
        <w:t xml:space="preserve"> Expresa el Licenciado Fernández, que dentro del rubro de adquisición de bienes y servicios existen ciertas prohibiciones, tales como </w:t>
      </w:r>
      <w:r w:rsidR="002A3218">
        <w:rPr>
          <w:rFonts w:ascii="Arial" w:hAnsi="Arial" w:cs="Arial"/>
          <w:sz w:val="20"/>
          <w:szCs w:val="20"/>
        </w:rPr>
        <w:t xml:space="preserve">la utilización de fondos públicos para proporcionar alimentos, bebidas y refrigerios en general a los funcionarios y empleados de una Institución, exceptuándose el café, azúcar y agua purificada; </w:t>
      </w:r>
      <w:r w:rsidR="004840D8">
        <w:rPr>
          <w:rFonts w:ascii="Arial" w:hAnsi="Arial" w:cs="Arial"/>
          <w:sz w:val="20"/>
          <w:szCs w:val="20"/>
        </w:rPr>
        <w:t xml:space="preserve">así también se prohíbe el uso de fondos públicos para la adquisición de uniformes deportivos y otras prendas promocionales publicitarias, exceptuándose los de carácter turístico, cultural u otros relacionados directamente con  la gestión institucional, y en el caso de las </w:t>
      </w:r>
      <w:r w:rsidR="004840D8" w:rsidRPr="004840D8">
        <w:rPr>
          <w:rFonts w:ascii="Arial" w:hAnsi="Arial" w:cs="Arial"/>
          <w:sz w:val="20"/>
          <w:szCs w:val="20"/>
        </w:rPr>
        <w:t xml:space="preserve">instituciones que tienen programados en el Presupuesto vigente recursos para la compra de uniformes, podrán otorgar un máximo de </w:t>
      </w:r>
      <w:r w:rsidR="000B7028">
        <w:rPr>
          <w:rFonts w:ascii="Arial" w:hAnsi="Arial" w:cs="Arial"/>
          <w:sz w:val="20"/>
          <w:szCs w:val="20"/>
        </w:rPr>
        <w:t>tres</w:t>
      </w:r>
      <w:r w:rsidR="004840D8" w:rsidRPr="004840D8">
        <w:rPr>
          <w:rFonts w:ascii="Arial" w:hAnsi="Arial" w:cs="Arial"/>
          <w:sz w:val="20"/>
          <w:szCs w:val="20"/>
        </w:rPr>
        <w:t xml:space="preserve"> por empleado, exceptuando los dispuesto en cont</w:t>
      </w:r>
      <w:r w:rsidR="004840D8">
        <w:rPr>
          <w:rFonts w:ascii="Arial" w:hAnsi="Arial" w:cs="Arial"/>
          <w:sz w:val="20"/>
          <w:szCs w:val="20"/>
        </w:rPr>
        <w:t xml:space="preserve">ratos colectivos de trabajo. </w:t>
      </w:r>
      <w:r w:rsidR="000B7028">
        <w:rPr>
          <w:rFonts w:ascii="Arial" w:hAnsi="Arial" w:cs="Arial"/>
          <w:sz w:val="20"/>
          <w:szCs w:val="20"/>
        </w:rPr>
        <w:t>Explica que se suspenden los viajes al exterior, excepto aquellos donde se deban firmar convenios u otros documentos que conlleven beneficio al País, siendo necesaria la autorización del Presidente de la República cuando el gasto es costeado con fondos propios y de la autoridad superior de cada institución cuando el gasto es financiado por Organismos Internacionales. En este punto intervino el Presidente del Consejo Consultivo, expresando que recientemente ha habido una modificación a lo referente a la autorización que emite el Presidente de la República en el caso de los viajes al exterior, pues ahora tal autorización la otorgará el Ministerio de Hacienda, salvo el caso de los Ministros  en cuyo caso siempre la proporcionará el Presidente de la República.</w:t>
      </w:r>
      <w:r w:rsidR="005C27CE">
        <w:rPr>
          <w:rFonts w:ascii="Arial" w:hAnsi="Arial" w:cs="Arial"/>
          <w:sz w:val="20"/>
          <w:szCs w:val="20"/>
        </w:rPr>
        <w:t xml:space="preserve"> Expresa el Licenciado Fernández que en lo relacionado con las inversiones en activos, se suspende la adquisición de equipo automotriz, exceptuándose el equipo hospitalario, de seguridad pública </w:t>
      </w:r>
      <w:r w:rsidR="0078709D">
        <w:rPr>
          <w:rFonts w:ascii="Arial" w:hAnsi="Arial" w:cs="Arial"/>
          <w:sz w:val="20"/>
          <w:szCs w:val="20"/>
        </w:rPr>
        <w:t>y defensa nacional, entre otros. En lo referente a disposiciones de carácter especial, señala el Licenciado Fernández que se exceptúan de dicha Política aquellas instituciones que ejecuten proyectos financiados con fondos externos, además los funcionarios nombrados para representar a las entidades que conforman la Administración pública en más de una junta directiva o cualquier otro ente colegiado, no podrán cobrar dietas en más de una institución  y deberán seleccionar a la institución que les proporcione el seguro de vida y el médico hospitalario. En rel</w:t>
      </w:r>
      <w:r w:rsidR="0060305D">
        <w:rPr>
          <w:rFonts w:ascii="Arial" w:hAnsi="Arial" w:cs="Arial"/>
          <w:sz w:val="20"/>
          <w:szCs w:val="20"/>
        </w:rPr>
        <w:t>ación con los ahorros generados, estos serán congelados pudiendo utiliza</w:t>
      </w:r>
      <w:r w:rsidR="0018144D">
        <w:rPr>
          <w:rFonts w:ascii="Arial" w:hAnsi="Arial" w:cs="Arial"/>
          <w:sz w:val="20"/>
          <w:szCs w:val="20"/>
        </w:rPr>
        <w:t>r</w:t>
      </w:r>
      <w:r w:rsidR="0060305D">
        <w:rPr>
          <w:rFonts w:ascii="Arial" w:hAnsi="Arial" w:cs="Arial"/>
          <w:sz w:val="20"/>
          <w:szCs w:val="20"/>
        </w:rPr>
        <w:t xml:space="preserve">se de forma excepcional y previa autorización del  Ministerio de Hacienda, así como también, tal cartera de Estado congelará el cinco por ciento </w:t>
      </w:r>
      <w:r w:rsidR="0060305D">
        <w:rPr>
          <w:rFonts w:ascii="Arial" w:hAnsi="Arial" w:cs="Arial"/>
          <w:sz w:val="20"/>
          <w:szCs w:val="20"/>
        </w:rPr>
        <w:lastRenderedPageBreak/>
        <w:t>de las asignaciones presupuestarias de las instituciones del Gobierno Central e instituciones descentralizadas, correspondientes al rubro destinado para Gastos corrientes y financiados con recursos del Fondo General. Finalmente, expresa el Licenciado Fernández que los responsables son los titulares de cada institución, y además los responsables de las Unidades Financieras Institucionales están obligados a presentar informe a los titulares del Ramo o Institución en el que se cuantifiquen los ahorros obtenidos por la aplicación de las medidas establecidas en la Política.</w:t>
      </w:r>
      <w:r w:rsidR="001C4128">
        <w:rPr>
          <w:rFonts w:ascii="Arial" w:hAnsi="Arial" w:cs="Arial"/>
          <w:sz w:val="20"/>
          <w:szCs w:val="20"/>
        </w:rPr>
        <w:t xml:space="preserve"> </w:t>
      </w:r>
      <w:r w:rsidRPr="003E582B">
        <w:rPr>
          <w:rFonts w:ascii="Arial" w:hAnsi="Arial" w:cs="Arial"/>
          <w:sz w:val="20"/>
          <w:szCs w:val="20"/>
        </w:rPr>
        <w:t>Los Miembros del Consejo Consultivo agradecen la presentación</w:t>
      </w:r>
      <w:r>
        <w:rPr>
          <w:rFonts w:ascii="Arial" w:hAnsi="Arial" w:cs="Arial"/>
          <w:sz w:val="20"/>
          <w:szCs w:val="20"/>
        </w:rPr>
        <w:t xml:space="preserve">. </w:t>
      </w:r>
      <w:r w:rsidRPr="00630DCB">
        <w:rPr>
          <w:rFonts w:ascii="Arial" w:hAnsi="Arial" w:cs="Arial"/>
          <w:b/>
          <w:sz w:val="20"/>
          <w:szCs w:val="20"/>
        </w:rPr>
        <w:t xml:space="preserve">PUNTO </w:t>
      </w:r>
      <w:r>
        <w:rPr>
          <w:rFonts w:ascii="Arial" w:hAnsi="Arial" w:cs="Arial"/>
          <w:b/>
          <w:sz w:val="20"/>
          <w:szCs w:val="20"/>
        </w:rPr>
        <w:t>CINCO</w:t>
      </w:r>
      <w:r w:rsidRPr="00630DCB">
        <w:rPr>
          <w:rFonts w:ascii="Arial" w:hAnsi="Arial" w:cs="Arial"/>
          <w:b/>
          <w:sz w:val="20"/>
          <w:szCs w:val="20"/>
        </w:rPr>
        <w:t>: V</w:t>
      </w:r>
      <w:r>
        <w:rPr>
          <w:rFonts w:ascii="Arial" w:hAnsi="Arial" w:cs="Arial"/>
          <w:b/>
          <w:sz w:val="20"/>
          <w:szCs w:val="20"/>
        </w:rPr>
        <w:t xml:space="preserve">ARIOS. </w:t>
      </w:r>
      <w:r w:rsidRPr="00B16639">
        <w:rPr>
          <w:rFonts w:ascii="Arial" w:hAnsi="Arial" w:cs="Arial"/>
          <w:sz w:val="20"/>
          <w:szCs w:val="20"/>
        </w:rPr>
        <w:t xml:space="preserve">El Presidente </w:t>
      </w:r>
      <w:r w:rsidRPr="000E0B47">
        <w:rPr>
          <w:rFonts w:ascii="Arial" w:hAnsi="Arial" w:cs="Arial"/>
          <w:sz w:val="20"/>
          <w:szCs w:val="20"/>
        </w:rPr>
        <w:t>del Consejo Consultivo</w:t>
      </w:r>
      <w:r>
        <w:rPr>
          <w:rFonts w:ascii="Arial" w:hAnsi="Arial" w:cs="Arial"/>
          <w:sz w:val="20"/>
          <w:szCs w:val="20"/>
        </w:rPr>
        <w:t xml:space="preserve"> </w:t>
      </w:r>
      <w:r w:rsidR="00D9636A">
        <w:rPr>
          <w:rFonts w:ascii="Arial" w:hAnsi="Arial" w:cs="Arial"/>
          <w:sz w:val="20"/>
          <w:szCs w:val="20"/>
        </w:rPr>
        <w:t>pregunta cómo</w:t>
      </w:r>
      <w:r w:rsidR="001C4128">
        <w:rPr>
          <w:rFonts w:ascii="Arial" w:hAnsi="Arial" w:cs="Arial"/>
          <w:sz w:val="20"/>
          <w:szCs w:val="20"/>
        </w:rPr>
        <w:t xml:space="preserve"> se va desarrollando el proceso de rendición de cuentas de la Institución, a lo que el Licenciado Pablo Zelaya, asesor jurídico de la Presidencia expresa que a fin de efectu</w:t>
      </w:r>
      <w:r w:rsidR="00B20855">
        <w:rPr>
          <w:rFonts w:ascii="Arial" w:hAnsi="Arial" w:cs="Arial"/>
          <w:sz w:val="20"/>
          <w:szCs w:val="20"/>
        </w:rPr>
        <w:t>ar la rendición de cuentas a la</w:t>
      </w:r>
      <w:r w:rsidR="001C4128">
        <w:rPr>
          <w:rFonts w:ascii="Arial" w:hAnsi="Arial" w:cs="Arial"/>
          <w:sz w:val="20"/>
          <w:szCs w:val="20"/>
        </w:rPr>
        <w:t xml:space="preserve"> ciudadanía respecto de la labor realizada de junio dos mil catorce a mayo dos mil quince, se realizará</w:t>
      </w:r>
      <w:r w:rsidR="00D359B1">
        <w:rPr>
          <w:rFonts w:ascii="Arial" w:hAnsi="Arial" w:cs="Arial"/>
          <w:sz w:val="20"/>
          <w:szCs w:val="20"/>
        </w:rPr>
        <w:t>n cuatro eventos todos</w:t>
      </w:r>
      <w:r w:rsidR="00D9636A">
        <w:rPr>
          <w:rFonts w:ascii="Arial" w:hAnsi="Arial" w:cs="Arial"/>
          <w:sz w:val="20"/>
          <w:szCs w:val="20"/>
        </w:rPr>
        <w:t xml:space="preserve"> programados</w:t>
      </w:r>
      <w:r w:rsidR="00D359B1">
        <w:rPr>
          <w:rFonts w:ascii="Arial" w:hAnsi="Arial" w:cs="Arial"/>
          <w:sz w:val="20"/>
          <w:szCs w:val="20"/>
        </w:rPr>
        <w:t xml:space="preserve"> a las diez de la mañana de la fecha establecida, de la siguiente forma: el próximo jueves 25 de junio de  los corrientes en San Salvador, el veintinueve de junio del mismo año con las Asociaciones de Consumidores también en San Salvador, el treinta de junio en la Ciudad de San Miguel y finalmente el tres de julio en la Ciudad de Santa Ana. En razón de lo anterior, los miembros </w:t>
      </w:r>
      <w:r w:rsidR="003D2668">
        <w:rPr>
          <w:rFonts w:ascii="Arial" w:hAnsi="Arial" w:cs="Arial"/>
          <w:sz w:val="20"/>
          <w:szCs w:val="20"/>
        </w:rPr>
        <w:t>del Consejo Consultivo acuerdan que debido a que coincide la fecha y hora establecida para la siguiente sesión ordinaria de Consejo Consultivo con la establecida para el evento de rendición de cuentas de la Defensoría del Consumidor en San Salvador, acudirán a tan importante evento</w:t>
      </w:r>
      <w:r w:rsidR="00D9636A">
        <w:rPr>
          <w:rFonts w:ascii="Arial" w:hAnsi="Arial" w:cs="Arial"/>
          <w:sz w:val="20"/>
          <w:szCs w:val="20"/>
        </w:rPr>
        <w:t xml:space="preserve"> pues en el mismo se expondrá información trascendente sobre el desempeño de la institución en el último año, lo que es de muy especial interés para la labor que ellos dese</w:t>
      </w:r>
      <w:r w:rsidR="006E1931">
        <w:rPr>
          <w:rFonts w:ascii="Arial" w:hAnsi="Arial" w:cs="Arial"/>
          <w:sz w:val="20"/>
          <w:szCs w:val="20"/>
        </w:rPr>
        <w:t>mpeñan en el Consejo Consultivo</w:t>
      </w:r>
      <w:r>
        <w:rPr>
          <w:rFonts w:ascii="Arial" w:hAnsi="Arial" w:cs="Arial"/>
          <w:bCs/>
          <w:sz w:val="20"/>
          <w:szCs w:val="20"/>
        </w:rPr>
        <w:t>.</w:t>
      </w:r>
      <w:r w:rsidR="006E1931">
        <w:rPr>
          <w:rFonts w:ascii="Arial" w:hAnsi="Arial" w:cs="Arial"/>
          <w:bCs/>
          <w:sz w:val="20"/>
          <w:szCs w:val="20"/>
        </w:rPr>
        <w:t xml:space="preserve"> Por lo que a continuación de la presentación se desarrollará la reunión ordinaria para analizar el informe.</w:t>
      </w:r>
      <w:r w:rsidRPr="00997759">
        <w:rPr>
          <w:rFonts w:ascii="Arial" w:hAnsi="Arial" w:cs="Arial"/>
          <w:sz w:val="20"/>
          <w:szCs w:val="20"/>
        </w:rPr>
        <w:t xml:space="preserve"> </w:t>
      </w:r>
      <w:r>
        <w:rPr>
          <w:rFonts w:ascii="Arial" w:hAnsi="Arial" w:cs="Arial"/>
          <w:b/>
          <w:sz w:val="20"/>
          <w:szCs w:val="20"/>
        </w:rPr>
        <w:t xml:space="preserve">PUNTO SEIS: CIERRE. </w:t>
      </w:r>
      <w:r w:rsidRPr="000E0B47">
        <w:rPr>
          <w:rFonts w:ascii="Arial" w:hAnsi="Arial" w:cs="Arial"/>
          <w:sz w:val="20"/>
          <w:szCs w:val="20"/>
        </w:rPr>
        <w:t>N</w:t>
      </w:r>
      <w:r w:rsidRPr="000E0B47">
        <w:rPr>
          <w:rFonts w:ascii="Arial" w:hAnsi="Arial" w:cs="Arial"/>
          <w:sz w:val="20"/>
          <w:szCs w:val="20"/>
          <w:lang w:val="es-MX"/>
        </w:rPr>
        <w:t xml:space="preserve">o teniendo nada más que discutir ni hacer constar, se dio por finalizada la reunión a las </w:t>
      </w:r>
      <w:r>
        <w:rPr>
          <w:rFonts w:ascii="Arial" w:hAnsi="Arial" w:cs="Arial"/>
          <w:sz w:val="20"/>
          <w:szCs w:val="20"/>
          <w:lang w:val="es-MX"/>
        </w:rPr>
        <w:t xml:space="preserve">once </w:t>
      </w:r>
      <w:r w:rsidRPr="000E0B47">
        <w:rPr>
          <w:rFonts w:ascii="Arial" w:hAnsi="Arial" w:cs="Arial"/>
          <w:sz w:val="20"/>
          <w:szCs w:val="20"/>
          <w:lang w:val="es-MX"/>
        </w:rPr>
        <w:t xml:space="preserve">horas y </w:t>
      </w:r>
      <w:r>
        <w:rPr>
          <w:rFonts w:ascii="Arial" w:hAnsi="Arial" w:cs="Arial"/>
          <w:sz w:val="20"/>
          <w:szCs w:val="20"/>
          <w:lang w:val="es-MX"/>
        </w:rPr>
        <w:t>treinta</w:t>
      </w:r>
      <w:r w:rsidRPr="000E0B47">
        <w:rPr>
          <w:rFonts w:ascii="Arial" w:hAnsi="Arial" w:cs="Arial"/>
          <w:sz w:val="20"/>
          <w:szCs w:val="20"/>
          <w:lang w:val="es-MX"/>
        </w:rPr>
        <w:t xml:space="preserve"> minutos de su fecha, dándole lectura a la presente acta, la cual, por estar redactada conforme a la voluntad de todos los miembros, ratificamos su contenido y firmamos.</w:t>
      </w:r>
    </w:p>
    <w:p w:rsidR="00BF0D13" w:rsidRDefault="00BF0D13" w:rsidP="00E80F9E">
      <w:pPr>
        <w:spacing w:before="120" w:after="120" w:line="360" w:lineRule="auto"/>
        <w:jc w:val="both"/>
        <w:rPr>
          <w:rFonts w:ascii="Arial" w:hAnsi="Arial" w:cs="Arial"/>
          <w:sz w:val="20"/>
          <w:szCs w:val="20"/>
        </w:rPr>
      </w:pPr>
      <w:r>
        <w:rPr>
          <w:rFonts w:ascii="Arial" w:hAnsi="Arial" w:cs="Arial"/>
          <w:sz w:val="20"/>
          <w:szCs w:val="20"/>
        </w:rPr>
        <w:t xml:space="preserve">  </w:t>
      </w:r>
    </w:p>
    <w:p w:rsidR="00272F41" w:rsidRDefault="00272F41" w:rsidP="00E80F9E">
      <w:pPr>
        <w:spacing w:before="120" w:after="120" w:line="360" w:lineRule="auto"/>
        <w:jc w:val="both"/>
        <w:rPr>
          <w:rFonts w:ascii="Arial" w:hAnsi="Arial" w:cs="Arial"/>
          <w:sz w:val="20"/>
          <w:szCs w:val="20"/>
        </w:rPr>
      </w:pPr>
    </w:p>
    <w:p w:rsidR="00BF0D13" w:rsidRDefault="00BF0D13" w:rsidP="00E80F9E">
      <w:pPr>
        <w:spacing w:before="120" w:after="120" w:line="360" w:lineRule="auto"/>
        <w:jc w:val="both"/>
        <w:rPr>
          <w:rFonts w:ascii="Arial" w:hAnsi="Arial" w:cs="Arial"/>
          <w:sz w:val="20"/>
          <w:szCs w:val="20"/>
        </w:rPr>
      </w:pPr>
    </w:p>
    <w:p w:rsidR="00BF0D13" w:rsidRDefault="00BF0D13" w:rsidP="00E80F9E">
      <w:pPr>
        <w:spacing w:before="120" w:after="120" w:line="360" w:lineRule="auto"/>
        <w:jc w:val="both"/>
        <w:rPr>
          <w:rFonts w:ascii="Arial" w:hAnsi="Arial" w:cs="Arial"/>
          <w:sz w:val="20"/>
          <w:szCs w:val="20"/>
        </w:rPr>
      </w:pPr>
      <w:r>
        <w:rPr>
          <w:rFonts w:ascii="Arial" w:hAnsi="Arial" w:cs="Arial"/>
          <w:sz w:val="20"/>
          <w:szCs w:val="20"/>
        </w:rPr>
        <w:t>C</w:t>
      </w:r>
      <w:r w:rsidRPr="00630DCB">
        <w:rPr>
          <w:rFonts w:ascii="Arial" w:hAnsi="Arial" w:cs="Arial"/>
          <w:sz w:val="20"/>
          <w:szCs w:val="20"/>
        </w:rPr>
        <w:t>arlos Roberto Och</w:t>
      </w:r>
      <w:r>
        <w:rPr>
          <w:rFonts w:ascii="Arial" w:hAnsi="Arial" w:cs="Arial"/>
          <w:sz w:val="20"/>
          <w:szCs w:val="20"/>
        </w:rPr>
        <w:t xml:space="preserve">oa                                                           </w:t>
      </w:r>
      <w:r w:rsidR="00272F41">
        <w:rPr>
          <w:rFonts w:ascii="Arial" w:hAnsi="Arial" w:cs="Arial"/>
          <w:sz w:val="20"/>
          <w:szCs w:val="20"/>
        </w:rPr>
        <w:t xml:space="preserve">             </w:t>
      </w:r>
      <w:r>
        <w:rPr>
          <w:rFonts w:ascii="Arial" w:hAnsi="Arial" w:cs="Arial"/>
          <w:sz w:val="20"/>
          <w:szCs w:val="20"/>
        </w:rPr>
        <w:t>Miguel Á</w:t>
      </w:r>
      <w:r w:rsidRPr="00630DCB">
        <w:rPr>
          <w:rFonts w:ascii="Arial" w:hAnsi="Arial" w:cs="Arial"/>
          <w:sz w:val="20"/>
          <w:szCs w:val="20"/>
        </w:rPr>
        <w:t>ngel Rodríguez Arias</w:t>
      </w:r>
      <w:r>
        <w:rPr>
          <w:rFonts w:ascii="Arial" w:hAnsi="Arial" w:cs="Arial"/>
          <w:sz w:val="20"/>
          <w:szCs w:val="20"/>
        </w:rPr>
        <w:t xml:space="preserve"> </w:t>
      </w:r>
    </w:p>
    <w:p w:rsidR="00BF0D13" w:rsidRDefault="00BF0D13" w:rsidP="00E80F9E">
      <w:pPr>
        <w:spacing w:before="120" w:after="120" w:line="360" w:lineRule="auto"/>
        <w:jc w:val="both"/>
        <w:rPr>
          <w:rFonts w:ascii="Arial" w:hAnsi="Arial" w:cs="Arial"/>
          <w:sz w:val="20"/>
          <w:szCs w:val="20"/>
        </w:rPr>
      </w:pPr>
    </w:p>
    <w:p w:rsidR="00BF0D13" w:rsidRDefault="00BF0D13" w:rsidP="00E80F9E">
      <w:pPr>
        <w:spacing w:before="120" w:after="120" w:line="360" w:lineRule="auto"/>
        <w:jc w:val="both"/>
        <w:rPr>
          <w:rFonts w:ascii="Arial" w:hAnsi="Arial" w:cs="Arial"/>
          <w:sz w:val="20"/>
          <w:szCs w:val="20"/>
        </w:rPr>
      </w:pPr>
    </w:p>
    <w:p w:rsidR="00272F41" w:rsidRDefault="00272F41" w:rsidP="00E80F9E">
      <w:pPr>
        <w:spacing w:before="120" w:after="120" w:line="360" w:lineRule="auto"/>
        <w:jc w:val="both"/>
        <w:rPr>
          <w:rFonts w:ascii="Arial" w:hAnsi="Arial" w:cs="Arial"/>
          <w:sz w:val="20"/>
          <w:szCs w:val="20"/>
        </w:rPr>
      </w:pPr>
      <w:bookmarkStart w:id="0" w:name="_GoBack"/>
      <w:bookmarkEnd w:id="0"/>
    </w:p>
    <w:p w:rsidR="00BF0D13" w:rsidRDefault="00BF0D13" w:rsidP="00E80F9E">
      <w:pPr>
        <w:spacing w:before="120" w:after="120" w:line="360" w:lineRule="auto"/>
        <w:jc w:val="both"/>
        <w:rPr>
          <w:rFonts w:ascii="Arial" w:hAnsi="Arial" w:cs="Arial"/>
          <w:sz w:val="20"/>
          <w:szCs w:val="20"/>
        </w:rPr>
      </w:pPr>
    </w:p>
    <w:p w:rsidR="00546B7C" w:rsidRDefault="00BF0D13" w:rsidP="00272F41">
      <w:pPr>
        <w:spacing w:before="120" w:after="120" w:line="360" w:lineRule="auto"/>
        <w:jc w:val="both"/>
      </w:pPr>
      <w:r>
        <w:rPr>
          <w:rFonts w:ascii="Arial" w:hAnsi="Arial" w:cs="Arial"/>
          <w:sz w:val="20"/>
          <w:szCs w:val="20"/>
        </w:rPr>
        <w:t xml:space="preserve">Mónica María Galdámez                                                                      Francisco </w:t>
      </w:r>
      <w:r w:rsidR="00272F41">
        <w:rPr>
          <w:rFonts w:ascii="Arial" w:hAnsi="Arial" w:cs="Arial"/>
          <w:sz w:val="20"/>
          <w:szCs w:val="20"/>
        </w:rPr>
        <w:t>Díaz</w:t>
      </w:r>
    </w:p>
    <w:sectPr w:rsidR="00546B7C" w:rsidSect="00272F41">
      <w:pgSz w:w="12240" w:h="15840"/>
      <w:pgMar w:top="1417"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703D4"/>
    <w:multiLevelType w:val="hybridMultilevel"/>
    <w:tmpl w:val="2BB29F10"/>
    <w:lvl w:ilvl="0" w:tplc="AA867A72">
      <w:start w:val="1"/>
      <w:numFmt w:val="decimal"/>
      <w:lvlText w:val="%1."/>
      <w:lvlJc w:val="left"/>
      <w:pPr>
        <w:tabs>
          <w:tab w:val="num" w:pos="720"/>
        </w:tabs>
        <w:ind w:left="720" w:hanging="360"/>
      </w:pPr>
    </w:lvl>
    <w:lvl w:ilvl="1" w:tplc="CAA255FC" w:tentative="1">
      <w:start w:val="1"/>
      <w:numFmt w:val="decimal"/>
      <w:lvlText w:val="%2."/>
      <w:lvlJc w:val="left"/>
      <w:pPr>
        <w:tabs>
          <w:tab w:val="num" w:pos="1440"/>
        </w:tabs>
        <w:ind w:left="1440" w:hanging="360"/>
      </w:pPr>
    </w:lvl>
    <w:lvl w:ilvl="2" w:tplc="0F5EF20C" w:tentative="1">
      <w:start w:val="1"/>
      <w:numFmt w:val="decimal"/>
      <w:lvlText w:val="%3."/>
      <w:lvlJc w:val="left"/>
      <w:pPr>
        <w:tabs>
          <w:tab w:val="num" w:pos="2160"/>
        </w:tabs>
        <w:ind w:left="2160" w:hanging="360"/>
      </w:pPr>
    </w:lvl>
    <w:lvl w:ilvl="3" w:tplc="6592FF20" w:tentative="1">
      <w:start w:val="1"/>
      <w:numFmt w:val="decimal"/>
      <w:lvlText w:val="%4."/>
      <w:lvlJc w:val="left"/>
      <w:pPr>
        <w:tabs>
          <w:tab w:val="num" w:pos="2880"/>
        </w:tabs>
        <w:ind w:left="2880" w:hanging="360"/>
      </w:pPr>
    </w:lvl>
    <w:lvl w:ilvl="4" w:tplc="344CBD3C" w:tentative="1">
      <w:start w:val="1"/>
      <w:numFmt w:val="decimal"/>
      <w:lvlText w:val="%5."/>
      <w:lvlJc w:val="left"/>
      <w:pPr>
        <w:tabs>
          <w:tab w:val="num" w:pos="3600"/>
        </w:tabs>
        <w:ind w:left="3600" w:hanging="360"/>
      </w:pPr>
    </w:lvl>
    <w:lvl w:ilvl="5" w:tplc="38743BD4" w:tentative="1">
      <w:start w:val="1"/>
      <w:numFmt w:val="decimal"/>
      <w:lvlText w:val="%6."/>
      <w:lvlJc w:val="left"/>
      <w:pPr>
        <w:tabs>
          <w:tab w:val="num" w:pos="4320"/>
        </w:tabs>
        <w:ind w:left="4320" w:hanging="360"/>
      </w:pPr>
    </w:lvl>
    <w:lvl w:ilvl="6" w:tplc="BE60E8D4" w:tentative="1">
      <w:start w:val="1"/>
      <w:numFmt w:val="decimal"/>
      <w:lvlText w:val="%7."/>
      <w:lvlJc w:val="left"/>
      <w:pPr>
        <w:tabs>
          <w:tab w:val="num" w:pos="5040"/>
        </w:tabs>
        <w:ind w:left="5040" w:hanging="360"/>
      </w:pPr>
    </w:lvl>
    <w:lvl w:ilvl="7" w:tplc="8D4C27E4" w:tentative="1">
      <w:start w:val="1"/>
      <w:numFmt w:val="decimal"/>
      <w:lvlText w:val="%8."/>
      <w:lvlJc w:val="left"/>
      <w:pPr>
        <w:tabs>
          <w:tab w:val="num" w:pos="5760"/>
        </w:tabs>
        <w:ind w:left="5760" w:hanging="360"/>
      </w:pPr>
    </w:lvl>
    <w:lvl w:ilvl="8" w:tplc="D864ECDA"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D13"/>
    <w:rsid w:val="000B7028"/>
    <w:rsid w:val="000F4F45"/>
    <w:rsid w:val="0018144D"/>
    <w:rsid w:val="001B4ACA"/>
    <w:rsid w:val="001C4128"/>
    <w:rsid w:val="00272F41"/>
    <w:rsid w:val="002A3218"/>
    <w:rsid w:val="002F01E5"/>
    <w:rsid w:val="00386A5F"/>
    <w:rsid w:val="003A3911"/>
    <w:rsid w:val="003C3413"/>
    <w:rsid w:val="003D2668"/>
    <w:rsid w:val="004840D8"/>
    <w:rsid w:val="004B42F4"/>
    <w:rsid w:val="005C27CE"/>
    <w:rsid w:val="0060305D"/>
    <w:rsid w:val="006E1931"/>
    <w:rsid w:val="00761069"/>
    <w:rsid w:val="0078709D"/>
    <w:rsid w:val="00846978"/>
    <w:rsid w:val="008F46B6"/>
    <w:rsid w:val="00AA5A91"/>
    <w:rsid w:val="00B20855"/>
    <w:rsid w:val="00BA0D31"/>
    <w:rsid w:val="00BF0D13"/>
    <w:rsid w:val="00D359B1"/>
    <w:rsid w:val="00D9636A"/>
    <w:rsid w:val="00E70D31"/>
    <w:rsid w:val="00E80F9E"/>
    <w:rsid w:val="00FB211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C038F1-32BA-42E5-831E-C78E683D5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D13"/>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80F9E"/>
    <w:pPr>
      <w:spacing w:after="0" w:line="240" w:lineRule="auto"/>
      <w:ind w:left="720"/>
      <w:contextualSpacing/>
    </w:pPr>
    <w:rPr>
      <w:rFonts w:ascii="Times New Roman" w:eastAsia="Times New Roman" w:hAnsi="Times New Roman"/>
      <w:sz w:val="24"/>
      <w:szCs w:val="24"/>
      <w:lang w:eastAsia="es-SV"/>
    </w:rPr>
  </w:style>
  <w:style w:type="paragraph" w:styleId="Textodeglobo">
    <w:name w:val="Balloon Text"/>
    <w:basedOn w:val="Normal"/>
    <w:link w:val="TextodegloboCar"/>
    <w:uiPriority w:val="99"/>
    <w:semiHidden/>
    <w:unhideWhenUsed/>
    <w:rsid w:val="00272F4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2F4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810139">
      <w:bodyDiv w:val="1"/>
      <w:marLeft w:val="0"/>
      <w:marRight w:val="0"/>
      <w:marTop w:val="0"/>
      <w:marBottom w:val="0"/>
      <w:divBdr>
        <w:top w:val="none" w:sz="0" w:space="0" w:color="auto"/>
        <w:left w:val="none" w:sz="0" w:space="0" w:color="auto"/>
        <w:bottom w:val="none" w:sz="0" w:space="0" w:color="auto"/>
        <w:right w:val="none" w:sz="0" w:space="0" w:color="auto"/>
      </w:divBdr>
    </w:div>
    <w:div w:id="2049329949">
      <w:bodyDiv w:val="1"/>
      <w:marLeft w:val="0"/>
      <w:marRight w:val="0"/>
      <w:marTop w:val="0"/>
      <w:marBottom w:val="0"/>
      <w:divBdr>
        <w:top w:val="none" w:sz="0" w:space="0" w:color="auto"/>
        <w:left w:val="none" w:sz="0" w:space="0" w:color="auto"/>
        <w:bottom w:val="none" w:sz="0" w:space="0" w:color="auto"/>
        <w:right w:val="none" w:sz="0" w:space="0" w:color="auto"/>
      </w:divBdr>
      <w:divsChild>
        <w:div w:id="1911113734">
          <w:marLeft w:val="720"/>
          <w:marRight w:val="0"/>
          <w:marTop w:val="0"/>
          <w:marBottom w:val="0"/>
          <w:divBdr>
            <w:top w:val="none" w:sz="0" w:space="0" w:color="auto"/>
            <w:left w:val="none" w:sz="0" w:space="0" w:color="auto"/>
            <w:bottom w:val="none" w:sz="0" w:space="0" w:color="auto"/>
            <w:right w:val="none" w:sz="0" w:space="0" w:color="auto"/>
          </w:divBdr>
        </w:div>
        <w:div w:id="1373262709">
          <w:marLeft w:val="720"/>
          <w:marRight w:val="0"/>
          <w:marTop w:val="0"/>
          <w:marBottom w:val="0"/>
          <w:divBdr>
            <w:top w:val="none" w:sz="0" w:space="0" w:color="auto"/>
            <w:left w:val="none" w:sz="0" w:space="0" w:color="auto"/>
            <w:bottom w:val="none" w:sz="0" w:space="0" w:color="auto"/>
            <w:right w:val="none" w:sz="0" w:space="0" w:color="auto"/>
          </w:divBdr>
        </w:div>
        <w:div w:id="517810913">
          <w:marLeft w:val="720"/>
          <w:marRight w:val="0"/>
          <w:marTop w:val="0"/>
          <w:marBottom w:val="0"/>
          <w:divBdr>
            <w:top w:val="none" w:sz="0" w:space="0" w:color="auto"/>
            <w:left w:val="none" w:sz="0" w:space="0" w:color="auto"/>
            <w:bottom w:val="none" w:sz="0" w:space="0" w:color="auto"/>
            <w:right w:val="none" w:sz="0" w:space="0" w:color="auto"/>
          </w:divBdr>
        </w:div>
        <w:div w:id="181633838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1479</Words>
  <Characters>8137</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 DE VASQUEZ</cp:lastModifiedBy>
  <cp:revision>2</cp:revision>
  <cp:lastPrinted>2015-07-09T16:12:00Z</cp:lastPrinted>
  <dcterms:created xsi:type="dcterms:W3CDTF">2015-07-09T16:22:00Z</dcterms:created>
  <dcterms:modified xsi:type="dcterms:W3CDTF">2015-07-09T16:22:00Z</dcterms:modified>
</cp:coreProperties>
</file>