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39BB" w14:textId="77777777" w:rsidR="002769C6" w:rsidRDefault="002769C6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F052412" w14:textId="77777777" w:rsidR="006F4D1D" w:rsidRDefault="006F4D1D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31427A9" w14:textId="77777777" w:rsidR="0003773F" w:rsidRDefault="0003773F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F0881AE" w14:textId="77777777" w:rsidR="002769C6" w:rsidRDefault="004A09E4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="00741E18">
        <w:rPr>
          <w:rFonts w:ascii="Arial" w:hAnsi="Arial" w:cs="Arial"/>
          <w:b/>
          <w:sz w:val="28"/>
          <w:szCs w:val="28"/>
          <w:lang w:val="es-SV"/>
        </w:rPr>
        <w:t xml:space="preserve">SOBRE </w:t>
      </w:r>
    </w:p>
    <w:p w14:paraId="3851AD31" w14:textId="4E08E4E9" w:rsidR="004A09E4" w:rsidRDefault="001A4DB8" w:rsidP="0003773F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SOLICITUD NÚMERO 060</w:t>
      </w:r>
      <w:r w:rsidR="004A09E4" w:rsidRPr="003228D8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306E03D3" w14:textId="77777777" w:rsidR="004A09E4" w:rsidRPr="003228D8" w:rsidRDefault="004A09E4" w:rsidP="0003773F">
      <w:pPr>
        <w:contextualSpacing/>
        <w:jc w:val="center"/>
        <w:rPr>
          <w:rFonts w:ascii="Arial" w:hAnsi="Arial" w:cs="Arial"/>
          <w:lang w:val="es-SV"/>
        </w:rPr>
      </w:pPr>
    </w:p>
    <w:p w14:paraId="07957306" w14:textId="77777777" w:rsidR="004A09E4" w:rsidRDefault="004A09E4" w:rsidP="0003773F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06F2AC13" w14:textId="67708757" w:rsidR="001A4DB8" w:rsidRDefault="004A09E4" w:rsidP="0003773F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3228D8">
        <w:rPr>
          <w:rFonts w:ascii="Arial" w:hAnsi="Arial" w:cs="Arial"/>
        </w:rPr>
        <w:t>En las oficinas de la Defen</w:t>
      </w:r>
      <w:r>
        <w:rPr>
          <w:rFonts w:ascii="Arial" w:hAnsi="Arial" w:cs="Arial"/>
        </w:rPr>
        <w:t xml:space="preserve">soría del Consumidor, a las </w:t>
      </w:r>
      <w:r w:rsidR="00773390">
        <w:rPr>
          <w:rFonts w:ascii="Arial" w:hAnsi="Arial" w:cs="Arial"/>
        </w:rPr>
        <w:t xml:space="preserve">nueve </w:t>
      </w:r>
      <w:r w:rsidRPr="003228D8">
        <w:rPr>
          <w:rFonts w:ascii="Arial" w:hAnsi="Arial" w:cs="Arial"/>
        </w:rPr>
        <w:t>horas</w:t>
      </w:r>
      <w:r w:rsidR="00457196">
        <w:rPr>
          <w:rFonts w:ascii="Arial" w:hAnsi="Arial" w:cs="Arial"/>
        </w:rPr>
        <w:t xml:space="preserve"> y </w:t>
      </w:r>
      <w:r w:rsidR="00773390">
        <w:rPr>
          <w:rFonts w:ascii="Arial" w:hAnsi="Arial" w:cs="Arial"/>
        </w:rPr>
        <w:t>cuarenta</w:t>
      </w:r>
      <w:r w:rsidR="00457196">
        <w:rPr>
          <w:rFonts w:ascii="Arial" w:hAnsi="Arial" w:cs="Arial"/>
        </w:rPr>
        <w:t xml:space="preserve"> minutos</w:t>
      </w:r>
      <w:r w:rsidR="00775A51">
        <w:rPr>
          <w:rFonts w:ascii="Arial" w:hAnsi="Arial" w:cs="Arial"/>
        </w:rPr>
        <w:t xml:space="preserve"> del día diez</w:t>
      </w:r>
      <w:r w:rsidRPr="003228D8">
        <w:rPr>
          <w:rFonts w:ascii="Arial" w:hAnsi="Arial" w:cs="Arial"/>
        </w:rPr>
        <w:t xml:space="preserve"> de </w:t>
      </w:r>
      <w:r w:rsidR="00773390">
        <w:rPr>
          <w:rFonts w:ascii="Arial" w:hAnsi="Arial" w:cs="Arial"/>
        </w:rPr>
        <w:t>agosto</w:t>
      </w:r>
      <w:r w:rsidRPr="003228D8">
        <w:rPr>
          <w:rFonts w:ascii="Arial" w:hAnsi="Arial" w:cs="Arial"/>
        </w:rPr>
        <w:t xml:space="preserve"> del año dos mil quince, luego de haber recibido y admitido la solicitud de información número </w:t>
      </w:r>
      <w:r w:rsidR="001A4DB8">
        <w:rPr>
          <w:rFonts w:ascii="Arial" w:hAnsi="Arial" w:cs="Arial"/>
          <w:b/>
        </w:rPr>
        <w:t>060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de</w:t>
      </w:r>
      <w:r>
        <w:rPr>
          <w:rFonts w:ascii="Arial" w:hAnsi="Arial" w:cs="Arial"/>
        </w:rPr>
        <w:t xml:space="preserve"> </w:t>
      </w:r>
      <w:r w:rsidR="00741E18" w:rsidRPr="009E1A70">
        <w:rPr>
          <w:rFonts w:ascii="Arial" w:hAnsi="Arial" w:cs="Arial"/>
          <w:lang w:val="es-SV"/>
        </w:rPr>
        <w:t xml:space="preserve">la señorita </w:t>
      </w:r>
      <w:proofErr w:type="spellStart"/>
      <w:r w:rsidR="00917CF6" w:rsidRPr="00917CF6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1A4DB8" w:rsidRPr="002130F2">
        <w:rPr>
          <w:rFonts w:ascii="Arial" w:hAnsi="Arial" w:cs="Arial"/>
          <w:b/>
          <w:lang w:val="es-SV"/>
        </w:rPr>
        <w:t xml:space="preserve"> </w:t>
      </w:r>
      <w:proofErr w:type="spellStart"/>
      <w:r w:rsidR="00917CF6" w:rsidRPr="00917CF6">
        <w:rPr>
          <w:rFonts w:ascii="Arial" w:hAnsi="Arial" w:cs="Arial"/>
          <w:b/>
          <w:highlight w:val="black"/>
          <w:lang w:val="es-SV"/>
        </w:rPr>
        <w:t>xxxxxxxxxxxxxxxxxxxxx</w:t>
      </w:r>
      <w:proofErr w:type="spellEnd"/>
      <w:r w:rsidR="001A4DB8" w:rsidRPr="009E1A70">
        <w:rPr>
          <w:rFonts w:ascii="Arial" w:hAnsi="Arial" w:cs="Arial"/>
        </w:rPr>
        <w:t>, portador</w:t>
      </w:r>
      <w:r w:rsidR="001A4DB8">
        <w:rPr>
          <w:rFonts w:ascii="Arial" w:hAnsi="Arial" w:cs="Arial"/>
        </w:rPr>
        <w:t>a</w:t>
      </w:r>
      <w:r w:rsidR="001A4DB8" w:rsidRPr="009E1A70">
        <w:rPr>
          <w:rFonts w:ascii="Arial" w:hAnsi="Arial" w:cs="Arial"/>
        </w:rPr>
        <w:t xml:space="preserve"> de su Docu</w:t>
      </w:r>
      <w:r w:rsidR="001A4DB8">
        <w:rPr>
          <w:rFonts w:ascii="Arial" w:hAnsi="Arial" w:cs="Arial"/>
        </w:rPr>
        <w:t xml:space="preserve">mento Único de Identidad número </w:t>
      </w:r>
      <w:proofErr w:type="spellStart"/>
      <w:r w:rsidR="00917CF6" w:rsidRPr="00917CF6">
        <w:rPr>
          <w:rFonts w:ascii="Arial" w:hAnsi="Arial" w:cs="Arial"/>
          <w:highlight w:val="black"/>
        </w:rPr>
        <w:t>xxxx</w:t>
      </w:r>
      <w:proofErr w:type="spellEnd"/>
      <w:r w:rsidR="001A4DB8">
        <w:rPr>
          <w:rFonts w:ascii="Arial" w:hAnsi="Arial" w:cs="Arial"/>
        </w:rPr>
        <w:t xml:space="preserve"> </w:t>
      </w:r>
      <w:proofErr w:type="spellStart"/>
      <w:r w:rsidR="00917CF6" w:rsidRPr="00917CF6">
        <w:rPr>
          <w:rFonts w:ascii="Arial" w:hAnsi="Arial" w:cs="Arial"/>
          <w:highlight w:val="black"/>
        </w:rPr>
        <w:t>xxxxxxxxxxxxxxxxxxxxxxxxxxxxxxxxxxxxxxxx</w:t>
      </w:r>
      <w:bookmarkStart w:id="0" w:name="_GoBack"/>
      <w:bookmarkEnd w:id="0"/>
      <w:proofErr w:type="spellEnd"/>
      <w:r w:rsidR="001A4DB8" w:rsidRPr="009E1A70">
        <w:rPr>
          <w:rFonts w:ascii="Arial" w:hAnsi="Arial" w:cs="Arial"/>
          <w:lang w:val="es-SV"/>
        </w:rPr>
        <w:t>,</w:t>
      </w:r>
      <w:r w:rsidR="001A4DB8">
        <w:rPr>
          <w:rFonts w:ascii="Arial" w:hAnsi="Arial" w:cs="Arial"/>
          <w:lang w:val="es-SV"/>
        </w:rPr>
        <w:t xml:space="preserve"> quien requi</w:t>
      </w:r>
      <w:r w:rsidRPr="003228D8">
        <w:rPr>
          <w:rFonts w:ascii="Arial" w:hAnsi="Arial" w:cs="Arial"/>
          <w:lang w:val="es-SV"/>
        </w:rPr>
        <w:t>r</w:t>
      </w:r>
      <w:r w:rsidR="001A4DB8">
        <w:rPr>
          <w:rFonts w:ascii="Arial" w:hAnsi="Arial" w:cs="Arial"/>
          <w:lang w:val="es-SV"/>
        </w:rPr>
        <w:t>ió</w:t>
      </w:r>
      <w:r w:rsidRPr="003228D8">
        <w:rPr>
          <w:rFonts w:ascii="Arial" w:hAnsi="Arial" w:cs="Arial"/>
          <w:lang w:val="es-SV"/>
        </w:rPr>
        <w:t xml:space="preserve">: </w:t>
      </w:r>
    </w:p>
    <w:p w14:paraId="2E705589" w14:textId="77777777" w:rsidR="001A4DB8" w:rsidRDefault="001A4DB8" w:rsidP="0003773F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5D2F13BD" w14:textId="26BFFD9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</w:rPr>
      </w:pPr>
      <w:r w:rsidRPr="002130F2">
        <w:rPr>
          <w:rFonts w:ascii="Arial" w:eastAsia="Times New Roman" w:hAnsi="Arial" w:cs="Arial"/>
          <w:b/>
        </w:rPr>
        <w:t>“Soy estudiante de Ciencias Jurídicas, actualmente estoy realizando la tesis referida a los derechos de los consumidores de telefonía móvil, motivo por el cual a ustedes solicito me puedan proporcionar resoluciones que tienen relación al tema de investigación. Las busque en la página del tribunal sancionador pero no me fue posible encontrarlas.</w:t>
      </w:r>
    </w:p>
    <w:p w14:paraId="6BFE4E79" w14:textId="7B3A4EEC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</w:rPr>
      </w:pPr>
      <w:r w:rsidRPr="002130F2">
        <w:rPr>
          <w:rFonts w:ascii="Arial" w:eastAsia="Times New Roman" w:hAnsi="Arial" w:cs="Arial"/>
          <w:b/>
        </w:rPr>
        <w:t>Aquí detallo las referencias, para que me las envíen, por favor.</w:t>
      </w:r>
    </w:p>
    <w:p w14:paraId="16156368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30/11/2009 Exp. 558/2009</w:t>
      </w:r>
    </w:p>
    <w:p w14:paraId="4D93528A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08/02/2008 Exp. 240/2011</w:t>
      </w:r>
    </w:p>
    <w:p w14:paraId="27D25618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26/05/2007 Exp. 245/2007</w:t>
      </w:r>
    </w:p>
    <w:p w14:paraId="4B3DA804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26/05/2007 Exp. 245/2007</w:t>
      </w:r>
    </w:p>
    <w:p w14:paraId="17637E5E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05/07/2010 Exp. 271/2010</w:t>
      </w:r>
    </w:p>
    <w:p w14:paraId="5EF3989D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29/10/2010 Exp. 31/2007</w:t>
      </w:r>
    </w:p>
    <w:p w14:paraId="4232AF47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30/05/2010 Exp. 606/2009</w:t>
      </w:r>
    </w:p>
    <w:p w14:paraId="2D7B1461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24/11/2009 Exp. 467/2009</w:t>
      </w:r>
    </w:p>
    <w:p w14:paraId="65C9A20E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19/03/2010 Exp. 60/2010</w:t>
      </w:r>
    </w:p>
    <w:p w14:paraId="035AE49B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30/06/2010 Exp. 320/2010</w:t>
      </w:r>
    </w:p>
    <w:p w14:paraId="5100C8E7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RTS. 16/01/2009 Ex</w:t>
      </w:r>
      <w:r w:rsidRPr="002130F2">
        <w:rPr>
          <w:rFonts w:ascii="Arial" w:eastAsia="Times New Roman" w:hAnsi="Arial" w:cs="Arial"/>
          <w:b/>
          <w:lang w:val="en-US"/>
        </w:rPr>
        <w:t>p. 817/2007</w:t>
      </w:r>
    </w:p>
    <w:p w14:paraId="26282168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  <w:lang w:val="en-US"/>
        </w:rPr>
      </w:pPr>
      <w:r w:rsidRPr="002130F2">
        <w:rPr>
          <w:rFonts w:ascii="Arial" w:eastAsia="Times New Roman" w:hAnsi="Arial" w:cs="Arial"/>
          <w:b/>
          <w:lang w:val="en-US"/>
        </w:rPr>
        <w:t>RTS. 30/06/2010 Exp. 94/2010</w:t>
      </w:r>
    </w:p>
    <w:p w14:paraId="6092CFC9" w14:textId="77777777" w:rsidR="001A4DB8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</w:rPr>
      </w:pPr>
      <w:r w:rsidRPr="002130F2">
        <w:rPr>
          <w:rFonts w:ascii="Arial" w:eastAsia="Times New Roman" w:hAnsi="Arial" w:cs="Arial"/>
          <w:b/>
        </w:rPr>
        <w:t>Así mismo, si es posible resoluciones que se hayan emitido contra las compañías telefónicas en el periodo de enero 2013 a diciembre de 2014.”</w:t>
      </w:r>
    </w:p>
    <w:p w14:paraId="3123FF95" w14:textId="77777777" w:rsidR="001A4DB8" w:rsidRPr="002130F2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</w:rPr>
      </w:pPr>
    </w:p>
    <w:p w14:paraId="0B6A5798" w14:textId="16256EB0" w:rsidR="004A09E4" w:rsidRPr="00741E18" w:rsidRDefault="001A4DB8" w:rsidP="0003773F">
      <w:pPr>
        <w:shd w:val="clear" w:color="auto" w:fill="FFFFFF" w:themeFill="background1"/>
        <w:contextualSpacing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S</w:t>
      </w:r>
      <w:r w:rsidR="004A09E4" w:rsidRPr="00A6729F">
        <w:rPr>
          <w:rFonts w:ascii="Arial" w:hAnsi="Arial" w:cs="Arial"/>
          <w:lang w:val="es-SV"/>
        </w:rPr>
        <w:t xml:space="preserve">e ha analizado el fondo de lo solicitado y considerando que la solicitud cumple con todos los requisitos establecidos en el artículo 66 de la Ley de Acceso a la Información Pública –LAIP- y, que la información requerida, no se encuentra entre las excepciones enumeradas en el artículo 19 </w:t>
      </w:r>
      <w:r w:rsidR="006F4D1D">
        <w:rPr>
          <w:rFonts w:ascii="Arial" w:hAnsi="Arial" w:cs="Arial"/>
          <w:lang w:val="es-SV"/>
        </w:rPr>
        <w:t xml:space="preserve">de la </w:t>
      </w:r>
      <w:r w:rsidR="004A09E4" w:rsidRPr="00A6729F">
        <w:rPr>
          <w:rFonts w:ascii="Arial" w:hAnsi="Arial" w:cs="Arial"/>
          <w:lang w:val="es-SV"/>
        </w:rPr>
        <w:t>LAIP, se resuelve:</w:t>
      </w:r>
    </w:p>
    <w:p w14:paraId="09AF0E5B" w14:textId="77777777" w:rsidR="004A09E4" w:rsidRDefault="004A09E4" w:rsidP="0003773F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321E149" w14:textId="77777777" w:rsidR="0003773F" w:rsidRDefault="0003773F" w:rsidP="0003773F">
      <w:pPr>
        <w:jc w:val="center"/>
        <w:rPr>
          <w:rFonts w:ascii="Arial" w:hAnsi="Arial" w:cs="Arial"/>
          <w:b/>
          <w:sz w:val="28"/>
          <w:lang w:val="es-SV"/>
        </w:rPr>
      </w:pPr>
    </w:p>
    <w:p w14:paraId="1BC66C03" w14:textId="541F9759" w:rsidR="004A09E4" w:rsidRDefault="0003773F" w:rsidP="0003773F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PRO</w:t>
      </w:r>
      <w:r w:rsidR="004A09E4" w:rsidRPr="0005446B">
        <w:rPr>
          <w:rFonts w:ascii="Arial" w:hAnsi="Arial" w:cs="Arial"/>
          <w:b/>
          <w:sz w:val="28"/>
          <w:lang w:val="es-SV"/>
        </w:rPr>
        <w:t>PO</w:t>
      </w:r>
      <w:r w:rsidR="00741E18">
        <w:rPr>
          <w:rFonts w:ascii="Arial" w:hAnsi="Arial" w:cs="Arial"/>
          <w:b/>
          <w:sz w:val="28"/>
          <w:lang w:val="es-SV"/>
        </w:rPr>
        <w:t>RCIONAR LA INFORMACIÓN PÚBLICA SOLICITADA</w:t>
      </w:r>
    </w:p>
    <w:p w14:paraId="5AFE0BC5" w14:textId="77777777" w:rsidR="0003773F" w:rsidRDefault="0003773F" w:rsidP="0003773F">
      <w:pPr>
        <w:jc w:val="center"/>
        <w:rPr>
          <w:rFonts w:ascii="Arial" w:hAnsi="Arial" w:cs="Arial"/>
          <w:b/>
          <w:sz w:val="28"/>
          <w:lang w:val="es-SV"/>
        </w:rPr>
      </w:pPr>
    </w:p>
    <w:p w14:paraId="5F16679F" w14:textId="77777777" w:rsidR="0003773F" w:rsidRDefault="0003773F" w:rsidP="0003773F">
      <w:pPr>
        <w:jc w:val="center"/>
        <w:rPr>
          <w:rFonts w:ascii="Arial" w:hAnsi="Arial" w:cs="Arial"/>
          <w:b/>
          <w:sz w:val="28"/>
          <w:lang w:val="es-SV"/>
        </w:rPr>
      </w:pPr>
    </w:p>
    <w:p w14:paraId="3514091D" w14:textId="77777777" w:rsidR="001A4DB8" w:rsidRDefault="001A4DB8" w:rsidP="0003773F">
      <w:pPr>
        <w:jc w:val="center"/>
        <w:rPr>
          <w:rFonts w:ascii="Arial" w:hAnsi="Arial" w:cs="Arial"/>
          <w:b/>
          <w:sz w:val="28"/>
          <w:lang w:val="es-SV"/>
        </w:rPr>
      </w:pPr>
    </w:p>
    <w:p w14:paraId="5DE00F20" w14:textId="77777777" w:rsidR="0003773F" w:rsidRDefault="0003773F" w:rsidP="0003773F">
      <w:pPr>
        <w:jc w:val="both"/>
        <w:rPr>
          <w:rFonts w:ascii="Arial" w:hAnsi="Arial" w:cs="Arial"/>
          <w:b/>
          <w:sz w:val="28"/>
          <w:lang w:val="es-SV"/>
        </w:rPr>
      </w:pPr>
    </w:p>
    <w:p w14:paraId="79921D8B" w14:textId="77777777" w:rsidR="0003773F" w:rsidRDefault="0003773F" w:rsidP="0003773F">
      <w:pPr>
        <w:jc w:val="both"/>
        <w:rPr>
          <w:rFonts w:ascii="Arial" w:hAnsi="Arial" w:cs="Arial"/>
          <w:b/>
          <w:sz w:val="28"/>
          <w:lang w:val="es-SV"/>
        </w:rPr>
      </w:pPr>
    </w:p>
    <w:p w14:paraId="05CC917A" w14:textId="77777777" w:rsidR="0003773F" w:rsidRDefault="0003773F" w:rsidP="0003773F">
      <w:pPr>
        <w:jc w:val="both"/>
        <w:rPr>
          <w:rFonts w:ascii="Arial" w:hAnsi="Arial" w:cs="Arial"/>
          <w:b/>
          <w:sz w:val="28"/>
          <w:lang w:val="es-SV"/>
        </w:rPr>
      </w:pPr>
    </w:p>
    <w:p w14:paraId="5810DCDF" w14:textId="7B30D684" w:rsidR="001A4DB8" w:rsidRDefault="001A4DB8" w:rsidP="0003773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lang w:val="es-SV"/>
        </w:rPr>
      </w:pPr>
      <w:r w:rsidRPr="001A4DB8">
        <w:rPr>
          <w:rFonts w:ascii="Arial" w:hAnsi="Arial" w:cs="Arial"/>
          <w:b/>
          <w:lang w:val="es-SV"/>
        </w:rPr>
        <w:t>Sobre las 12 referencias brindadas por la solicitante</w:t>
      </w:r>
      <w:r w:rsidR="00036D9D">
        <w:rPr>
          <w:rFonts w:ascii="Arial" w:hAnsi="Arial" w:cs="Arial"/>
          <w:b/>
          <w:lang w:val="es-SV"/>
        </w:rPr>
        <w:t>:</w:t>
      </w:r>
    </w:p>
    <w:p w14:paraId="75845514" w14:textId="77777777" w:rsidR="0003773F" w:rsidRDefault="0003773F" w:rsidP="0003773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42C39E4" w14:textId="77777777" w:rsidR="001A4DB8" w:rsidRPr="001A4DB8" w:rsidRDefault="001A4DB8" w:rsidP="0003773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62A7659" w14:textId="1D2844ED" w:rsidR="004A09E4" w:rsidRPr="001A4DB8" w:rsidRDefault="00036D9D" w:rsidP="0003773F">
      <w:pPr>
        <w:pStyle w:val="Prrafodelista"/>
        <w:numPr>
          <w:ilvl w:val="0"/>
          <w:numId w:val="7"/>
        </w:numPr>
        <w:ind w:left="72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De las siguientes resoluciones, se orienta</w:t>
      </w:r>
      <w:r w:rsidR="001654C5">
        <w:rPr>
          <w:rFonts w:ascii="Arial" w:hAnsi="Arial" w:cs="Arial"/>
          <w:b/>
          <w:lang w:val="es-SV"/>
        </w:rPr>
        <w:t xml:space="preserve"> sobre su</w:t>
      </w:r>
      <w:r w:rsidR="001A4DB8" w:rsidRPr="001A4DB8">
        <w:rPr>
          <w:rFonts w:ascii="Arial" w:hAnsi="Arial" w:cs="Arial"/>
          <w:b/>
          <w:lang w:val="es-SV"/>
        </w:rPr>
        <w:t xml:space="preserve"> ubicación en </w:t>
      </w:r>
      <w:hyperlink r:id="rId8" w:history="1">
        <w:r w:rsidR="001A4DB8" w:rsidRPr="001A4DB8">
          <w:rPr>
            <w:rStyle w:val="Hipervnculo"/>
            <w:rFonts w:ascii="Arial" w:hAnsi="Arial" w:cs="Arial"/>
            <w:b/>
            <w:color w:val="auto"/>
            <w:u w:val="none"/>
            <w:lang w:val="es-SV"/>
          </w:rPr>
          <w:t>www.defensoria.gob.sv</w:t>
        </w:r>
      </w:hyperlink>
      <w:r w:rsidR="001A4DB8" w:rsidRPr="001A4DB8">
        <w:rPr>
          <w:rFonts w:ascii="Arial" w:hAnsi="Arial" w:cs="Arial"/>
          <w:b/>
          <w:lang w:val="es-SV"/>
        </w:rPr>
        <w:t xml:space="preserve">, sección “Temas”, ítem </w:t>
      </w:r>
      <w:r>
        <w:rPr>
          <w:rFonts w:ascii="Arial" w:hAnsi="Arial" w:cs="Arial"/>
          <w:b/>
          <w:lang w:val="es-SV"/>
        </w:rPr>
        <w:t xml:space="preserve">“Tribunal Sancionador - </w:t>
      </w:r>
      <w:r w:rsidR="001A4DB8" w:rsidRPr="001A4DB8">
        <w:rPr>
          <w:rFonts w:ascii="Arial" w:hAnsi="Arial" w:cs="Arial"/>
          <w:b/>
          <w:lang w:val="es-SV"/>
        </w:rPr>
        <w:t>Resoluciones”:</w:t>
      </w:r>
    </w:p>
    <w:p w14:paraId="42ABD63E" w14:textId="77777777" w:rsidR="001A4DB8" w:rsidRPr="001A4DB8" w:rsidRDefault="001A4DB8" w:rsidP="0003773F">
      <w:pPr>
        <w:ind w:left="360"/>
        <w:jc w:val="both"/>
        <w:rPr>
          <w:rFonts w:ascii="Arial" w:hAnsi="Arial" w:cs="Arial"/>
        </w:rPr>
      </w:pPr>
    </w:p>
    <w:p w14:paraId="6B60C522" w14:textId="336AC177" w:rsidR="001654C5" w:rsidRPr="00036D9D" w:rsidRDefault="001654C5" w:rsidP="0003773F">
      <w:pPr>
        <w:ind w:left="720"/>
        <w:jc w:val="both"/>
        <w:rPr>
          <w:rFonts w:ascii="Arial" w:hAnsi="Arial" w:cs="Arial"/>
          <w:b/>
        </w:rPr>
      </w:pPr>
      <w:r w:rsidRPr="00036D9D">
        <w:rPr>
          <w:rFonts w:ascii="Arial" w:hAnsi="Arial" w:cs="Arial"/>
          <w:b/>
        </w:rPr>
        <w:t xml:space="preserve">1) </w:t>
      </w:r>
      <w:r w:rsidR="001A4DB8" w:rsidRPr="00036D9D">
        <w:rPr>
          <w:rFonts w:ascii="Arial" w:hAnsi="Arial" w:cs="Arial"/>
          <w:b/>
        </w:rPr>
        <w:t xml:space="preserve">RTS. 30/11/2009 </w:t>
      </w:r>
      <w:proofErr w:type="spellStart"/>
      <w:r w:rsidR="001A4DB8" w:rsidRPr="00036D9D">
        <w:rPr>
          <w:rFonts w:ascii="Arial" w:hAnsi="Arial" w:cs="Arial"/>
          <w:b/>
        </w:rPr>
        <w:t>Exp</w:t>
      </w:r>
      <w:proofErr w:type="spellEnd"/>
      <w:r w:rsidR="001A4DB8" w:rsidRPr="00036D9D">
        <w:rPr>
          <w:rFonts w:ascii="Arial" w:hAnsi="Arial" w:cs="Arial"/>
          <w:b/>
        </w:rPr>
        <w:t xml:space="preserve">. 558/2009  </w:t>
      </w:r>
    </w:p>
    <w:p w14:paraId="5546D0AE" w14:textId="57764783" w:rsidR="001A4DB8" w:rsidRDefault="001A4DB8" w:rsidP="0003773F">
      <w:pPr>
        <w:ind w:left="720"/>
        <w:jc w:val="both"/>
        <w:rPr>
          <w:rFonts w:ascii="Arial" w:hAnsi="Arial" w:cs="Arial"/>
        </w:rPr>
      </w:pPr>
      <w:r w:rsidRPr="001A4DB8">
        <w:rPr>
          <w:rFonts w:ascii="Arial" w:hAnsi="Arial" w:cs="Arial"/>
        </w:rPr>
        <w:t>Publicada en Otras r</w:t>
      </w:r>
      <w:r w:rsidR="001654C5">
        <w:rPr>
          <w:rFonts w:ascii="Arial" w:hAnsi="Arial" w:cs="Arial"/>
        </w:rPr>
        <w:t>esoluciones de Diciembre 2009:</w:t>
      </w:r>
      <w:r w:rsidRPr="001A4DB8">
        <w:rPr>
          <w:rFonts w:ascii="Arial" w:hAnsi="Arial" w:cs="Arial"/>
        </w:rPr>
        <w:t xml:space="preserve"> Incompetencia</w:t>
      </w:r>
    </w:p>
    <w:p w14:paraId="02622992" w14:textId="77777777" w:rsidR="00036D9D" w:rsidRPr="001A4DB8" w:rsidRDefault="00036D9D" w:rsidP="0003773F">
      <w:pPr>
        <w:ind w:left="720"/>
        <w:jc w:val="both"/>
        <w:rPr>
          <w:rFonts w:ascii="Arial" w:hAnsi="Arial" w:cs="Arial"/>
        </w:rPr>
      </w:pPr>
    </w:p>
    <w:p w14:paraId="59D9138A" w14:textId="238EF634" w:rsidR="001654C5" w:rsidRPr="00036D9D" w:rsidRDefault="001654C5" w:rsidP="0003773F">
      <w:pPr>
        <w:ind w:left="720"/>
        <w:jc w:val="both"/>
        <w:rPr>
          <w:rFonts w:ascii="Arial" w:hAnsi="Arial" w:cs="Arial"/>
          <w:b/>
        </w:rPr>
      </w:pPr>
      <w:r w:rsidRPr="00036D9D">
        <w:rPr>
          <w:rFonts w:ascii="Arial" w:hAnsi="Arial" w:cs="Arial"/>
          <w:b/>
        </w:rPr>
        <w:t xml:space="preserve">2) </w:t>
      </w:r>
      <w:r w:rsidR="001A4DB8" w:rsidRPr="00036D9D">
        <w:rPr>
          <w:rFonts w:ascii="Arial" w:hAnsi="Arial" w:cs="Arial"/>
          <w:b/>
        </w:rPr>
        <w:t xml:space="preserve">RTS. 08/02/2008 </w:t>
      </w:r>
      <w:proofErr w:type="spellStart"/>
      <w:r w:rsidR="001A4DB8" w:rsidRPr="00036D9D">
        <w:rPr>
          <w:rFonts w:ascii="Arial" w:hAnsi="Arial" w:cs="Arial"/>
          <w:b/>
        </w:rPr>
        <w:t>Exp</w:t>
      </w:r>
      <w:proofErr w:type="spellEnd"/>
      <w:r w:rsidR="001A4DB8" w:rsidRPr="00036D9D">
        <w:rPr>
          <w:rFonts w:ascii="Arial" w:hAnsi="Arial" w:cs="Arial"/>
          <w:b/>
        </w:rPr>
        <w:t xml:space="preserve">. 240/2011  </w:t>
      </w:r>
    </w:p>
    <w:p w14:paraId="18C079FB" w14:textId="77CF8D3D" w:rsidR="001A4DB8" w:rsidRDefault="001A4DB8" w:rsidP="0003773F">
      <w:pPr>
        <w:ind w:left="720"/>
        <w:jc w:val="both"/>
        <w:rPr>
          <w:rFonts w:ascii="Arial" w:hAnsi="Arial" w:cs="Arial"/>
        </w:rPr>
      </w:pPr>
      <w:r w:rsidRPr="001A4DB8">
        <w:rPr>
          <w:rFonts w:ascii="Arial" w:hAnsi="Arial" w:cs="Arial"/>
        </w:rPr>
        <w:t>Publicada en Proveedores sancionados de Septiembre 2013</w:t>
      </w:r>
    </w:p>
    <w:p w14:paraId="0AE188A7" w14:textId="77777777" w:rsidR="00036D9D" w:rsidRPr="001A4DB8" w:rsidRDefault="00036D9D" w:rsidP="0003773F">
      <w:pPr>
        <w:ind w:left="720"/>
        <w:jc w:val="both"/>
        <w:rPr>
          <w:rFonts w:ascii="Arial" w:hAnsi="Arial" w:cs="Arial"/>
        </w:rPr>
      </w:pPr>
    </w:p>
    <w:p w14:paraId="706A63E1" w14:textId="3E87E12A" w:rsidR="001654C5" w:rsidRPr="00036D9D" w:rsidRDefault="001654C5" w:rsidP="0003773F">
      <w:pPr>
        <w:ind w:left="720"/>
        <w:jc w:val="both"/>
        <w:rPr>
          <w:rFonts w:ascii="Arial" w:hAnsi="Arial" w:cs="Arial"/>
          <w:b/>
        </w:rPr>
      </w:pPr>
      <w:r w:rsidRPr="00036D9D">
        <w:rPr>
          <w:rFonts w:ascii="Arial" w:hAnsi="Arial" w:cs="Arial"/>
          <w:b/>
        </w:rPr>
        <w:t xml:space="preserve">3) </w:t>
      </w:r>
      <w:r w:rsidR="001A4DB8" w:rsidRPr="00036D9D">
        <w:rPr>
          <w:rFonts w:ascii="Arial" w:hAnsi="Arial" w:cs="Arial"/>
          <w:b/>
        </w:rPr>
        <w:t xml:space="preserve">RTS. 30/05/2010 </w:t>
      </w:r>
      <w:proofErr w:type="spellStart"/>
      <w:r w:rsidR="001A4DB8" w:rsidRPr="00036D9D">
        <w:rPr>
          <w:rFonts w:ascii="Arial" w:hAnsi="Arial" w:cs="Arial"/>
          <w:b/>
        </w:rPr>
        <w:t>Exp</w:t>
      </w:r>
      <w:proofErr w:type="spellEnd"/>
      <w:r w:rsidR="001A4DB8" w:rsidRPr="00036D9D">
        <w:rPr>
          <w:rFonts w:ascii="Arial" w:hAnsi="Arial" w:cs="Arial"/>
          <w:b/>
        </w:rPr>
        <w:t xml:space="preserve">. 606/2009  </w:t>
      </w:r>
    </w:p>
    <w:p w14:paraId="56DA8EE0" w14:textId="3C869F5B" w:rsidR="001A4DB8" w:rsidRDefault="001A4DB8" w:rsidP="0003773F">
      <w:pPr>
        <w:ind w:left="720"/>
        <w:jc w:val="both"/>
        <w:rPr>
          <w:rFonts w:ascii="Arial" w:hAnsi="Arial" w:cs="Arial"/>
        </w:rPr>
      </w:pPr>
      <w:r w:rsidRPr="001A4DB8">
        <w:rPr>
          <w:rFonts w:ascii="Arial" w:hAnsi="Arial" w:cs="Arial"/>
        </w:rPr>
        <w:t>Publicada en Proveedores sancionados del año 2009 página 35</w:t>
      </w:r>
    </w:p>
    <w:p w14:paraId="09443482" w14:textId="77777777" w:rsidR="00036D9D" w:rsidRPr="001A4DB8" w:rsidRDefault="00036D9D" w:rsidP="0003773F">
      <w:pPr>
        <w:ind w:left="720"/>
        <w:jc w:val="both"/>
        <w:rPr>
          <w:rFonts w:ascii="Arial" w:hAnsi="Arial" w:cs="Arial"/>
        </w:rPr>
      </w:pPr>
    </w:p>
    <w:p w14:paraId="139C4033" w14:textId="7DD5CB8A" w:rsidR="001654C5" w:rsidRPr="00036D9D" w:rsidRDefault="001654C5" w:rsidP="0003773F">
      <w:pPr>
        <w:ind w:left="720"/>
        <w:jc w:val="both"/>
        <w:rPr>
          <w:rFonts w:ascii="Arial" w:hAnsi="Arial" w:cs="Arial"/>
          <w:b/>
        </w:rPr>
      </w:pPr>
      <w:r w:rsidRPr="00036D9D">
        <w:rPr>
          <w:rFonts w:ascii="Arial" w:hAnsi="Arial" w:cs="Arial"/>
          <w:b/>
        </w:rPr>
        <w:t xml:space="preserve">4) </w:t>
      </w:r>
      <w:r w:rsidR="001A4DB8" w:rsidRPr="00036D9D">
        <w:rPr>
          <w:rFonts w:ascii="Arial" w:hAnsi="Arial" w:cs="Arial"/>
          <w:b/>
        </w:rPr>
        <w:t xml:space="preserve">RTS. 24/11/2009 </w:t>
      </w:r>
      <w:proofErr w:type="spellStart"/>
      <w:r w:rsidR="001A4DB8" w:rsidRPr="00036D9D">
        <w:rPr>
          <w:rFonts w:ascii="Arial" w:hAnsi="Arial" w:cs="Arial"/>
          <w:b/>
        </w:rPr>
        <w:t>Exp</w:t>
      </w:r>
      <w:proofErr w:type="spellEnd"/>
      <w:r w:rsidR="001A4DB8" w:rsidRPr="00036D9D">
        <w:rPr>
          <w:rFonts w:ascii="Arial" w:hAnsi="Arial" w:cs="Arial"/>
          <w:b/>
        </w:rPr>
        <w:t xml:space="preserve">. 467/2009  </w:t>
      </w:r>
    </w:p>
    <w:p w14:paraId="19A8082F" w14:textId="1A3FD4B6" w:rsidR="001A4DB8" w:rsidRDefault="001A4DB8" w:rsidP="0003773F">
      <w:pPr>
        <w:ind w:left="720"/>
        <w:jc w:val="both"/>
        <w:rPr>
          <w:rFonts w:ascii="Arial" w:hAnsi="Arial" w:cs="Arial"/>
        </w:rPr>
      </w:pPr>
      <w:r w:rsidRPr="001A4DB8">
        <w:rPr>
          <w:rFonts w:ascii="Arial" w:hAnsi="Arial" w:cs="Arial"/>
        </w:rPr>
        <w:t>Publ</w:t>
      </w:r>
      <w:r w:rsidR="001654C5">
        <w:rPr>
          <w:rFonts w:ascii="Arial" w:hAnsi="Arial" w:cs="Arial"/>
        </w:rPr>
        <w:t xml:space="preserve">icada en Otras resoluciones de Enero 2010: </w:t>
      </w:r>
      <w:r w:rsidRPr="001A4DB8">
        <w:rPr>
          <w:rFonts w:ascii="Arial" w:hAnsi="Arial" w:cs="Arial"/>
        </w:rPr>
        <w:t>Absueltos</w:t>
      </w:r>
    </w:p>
    <w:p w14:paraId="189F0E6D" w14:textId="77777777" w:rsidR="00036D9D" w:rsidRPr="001A4DB8" w:rsidRDefault="00036D9D" w:rsidP="0003773F">
      <w:pPr>
        <w:ind w:left="720"/>
        <w:jc w:val="both"/>
        <w:rPr>
          <w:rFonts w:ascii="Arial" w:hAnsi="Arial" w:cs="Arial"/>
        </w:rPr>
      </w:pPr>
    </w:p>
    <w:p w14:paraId="7A632E05" w14:textId="0F8C067E" w:rsidR="001654C5" w:rsidRPr="00036D9D" w:rsidRDefault="001654C5" w:rsidP="0003773F">
      <w:pPr>
        <w:ind w:left="720"/>
        <w:jc w:val="both"/>
        <w:rPr>
          <w:rFonts w:ascii="Arial" w:hAnsi="Arial" w:cs="Arial"/>
          <w:b/>
        </w:rPr>
      </w:pPr>
      <w:r w:rsidRPr="00036D9D">
        <w:rPr>
          <w:rFonts w:ascii="Arial" w:hAnsi="Arial" w:cs="Arial"/>
          <w:b/>
        </w:rPr>
        <w:t xml:space="preserve">5) </w:t>
      </w:r>
      <w:r w:rsidR="001A4DB8" w:rsidRPr="00036D9D">
        <w:rPr>
          <w:rFonts w:ascii="Arial" w:hAnsi="Arial" w:cs="Arial"/>
          <w:b/>
        </w:rPr>
        <w:t xml:space="preserve">RTS. 30/06/2010 </w:t>
      </w:r>
      <w:proofErr w:type="spellStart"/>
      <w:r w:rsidR="001A4DB8" w:rsidRPr="00036D9D">
        <w:rPr>
          <w:rFonts w:ascii="Arial" w:hAnsi="Arial" w:cs="Arial"/>
          <w:b/>
        </w:rPr>
        <w:t>Exp</w:t>
      </w:r>
      <w:proofErr w:type="spellEnd"/>
      <w:r w:rsidR="001A4DB8" w:rsidRPr="00036D9D">
        <w:rPr>
          <w:rFonts w:ascii="Arial" w:hAnsi="Arial" w:cs="Arial"/>
          <w:b/>
        </w:rPr>
        <w:t xml:space="preserve">. 320/2010  </w:t>
      </w:r>
    </w:p>
    <w:p w14:paraId="0E4093E4" w14:textId="49E96BFA" w:rsidR="001A4DB8" w:rsidRDefault="001A4DB8" w:rsidP="0003773F">
      <w:pPr>
        <w:ind w:left="720"/>
        <w:jc w:val="both"/>
        <w:rPr>
          <w:rFonts w:ascii="Arial" w:hAnsi="Arial" w:cs="Arial"/>
        </w:rPr>
      </w:pPr>
      <w:r w:rsidRPr="001A4DB8">
        <w:rPr>
          <w:rFonts w:ascii="Arial" w:hAnsi="Arial" w:cs="Arial"/>
        </w:rPr>
        <w:t>Publicada en Proveedores sancionados de Julio 2010 página 37</w:t>
      </w:r>
    </w:p>
    <w:p w14:paraId="28F92074" w14:textId="77777777" w:rsidR="00036D9D" w:rsidRPr="001A4DB8" w:rsidRDefault="00036D9D" w:rsidP="0003773F">
      <w:pPr>
        <w:ind w:left="720"/>
        <w:jc w:val="both"/>
        <w:rPr>
          <w:rFonts w:ascii="Arial" w:hAnsi="Arial" w:cs="Arial"/>
        </w:rPr>
      </w:pPr>
    </w:p>
    <w:p w14:paraId="1AE040E5" w14:textId="09E1C0EE" w:rsidR="001654C5" w:rsidRPr="00036D9D" w:rsidRDefault="001654C5" w:rsidP="0003773F">
      <w:pPr>
        <w:ind w:left="720"/>
        <w:jc w:val="both"/>
        <w:rPr>
          <w:rFonts w:ascii="Arial" w:hAnsi="Arial" w:cs="Arial"/>
          <w:b/>
        </w:rPr>
      </w:pPr>
      <w:r w:rsidRPr="00036D9D">
        <w:rPr>
          <w:rFonts w:ascii="Arial" w:hAnsi="Arial" w:cs="Arial"/>
          <w:b/>
        </w:rPr>
        <w:t xml:space="preserve">6) </w:t>
      </w:r>
      <w:r w:rsidR="001A4DB8" w:rsidRPr="00036D9D">
        <w:rPr>
          <w:rFonts w:ascii="Arial" w:hAnsi="Arial" w:cs="Arial"/>
          <w:b/>
        </w:rPr>
        <w:t xml:space="preserve">RTS. 30/06/2010 </w:t>
      </w:r>
      <w:proofErr w:type="spellStart"/>
      <w:r w:rsidR="001A4DB8" w:rsidRPr="00036D9D">
        <w:rPr>
          <w:rFonts w:ascii="Arial" w:hAnsi="Arial" w:cs="Arial"/>
          <w:b/>
        </w:rPr>
        <w:t>Exp</w:t>
      </w:r>
      <w:proofErr w:type="spellEnd"/>
      <w:r w:rsidR="001A4DB8" w:rsidRPr="00036D9D">
        <w:rPr>
          <w:rFonts w:ascii="Arial" w:hAnsi="Arial" w:cs="Arial"/>
          <w:b/>
        </w:rPr>
        <w:t xml:space="preserve">. 94/2010    </w:t>
      </w:r>
    </w:p>
    <w:p w14:paraId="04C7A130" w14:textId="4FCA7BAF" w:rsidR="004A09E4" w:rsidRDefault="001A4DB8" w:rsidP="0003773F">
      <w:pPr>
        <w:ind w:left="720"/>
        <w:jc w:val="both"/>
        <w:rPr>
          <w:rFonts w:ascii="Arial" w:hAnsi="Arial" w:cs="Arial"/>
        </w:rPr>
      </w:pPr>
      <w:r w:rsidRPr="001A4DB8">
        <w:rPr>
          <w:rFonts w:ascii="Arial" w:hAnsi="Arial" w:cs="Arial"/>
        </w:rPr>
        <w:t>Publicada en Proveedores sancionado</w:t>
      </w:r>
      <w:r w:rsidR="001654C5">
        <w:rPr>
          <w:rFonts w:ascii="Arial" w:hAnsi="Arial" w:cs="Arial"/>
        </w:rPr>
        <w:t>s</w:t>
      </w:r>
      <w:r w:rsidRPr="001A4DB8">
        <w:rPr>
          <w:rFonts w:ascii="Arial" w:hAnsi="Arial" w:cs="Arial"/>
        </w:rPr>
        <w:t xml:space="preserve"> de Julio 2010 página 36</w:t>
      </w:r>
    </w:p>
    <w:p w14:paraId="70C0DC92" w14:textId="77777777" w:rsidR="0003773F" w:rsidRDefault="0003773F" w:rsidP="0003773F">
      <w:pPr>
        <w:ind w:left="720"/>
        <w:jc w:val="both"/>
        <w:rPr>
          <w:rFonts w:ascii="Arial" w:hAnsi="Arial" w:cs="Arial"/>
        </w:rPr>
      </w:pPr>
    </w:p>
    <w:p w14:paraId="1651C739" w14:textId="77777777" w:rsidR="001A4DB8" w:rsidRDefault="001A4DB8" w:rsidP="0003773F">
      <w:pPr>
        <w:ind w:left="360"/>
        <w:jc w:val="both"/>
        <w:rPr>
          <w:rFonts w:ascii="Arial" w:hAnsi="Arial" w:cs="Arial"/>
        </w:rPr>
      </w:pPr>
    </w:p>
    <w:p w14:paraId="59484332" w14:textId="1466366A" w:rsidR="001654C5" w:rsidRPr="001654C5" w:rsidRDefault="00036D9D" w:rsidP="0003773F">
      <w:pPr>
        <w:pStyle w:val="Prrafodelista"/>
        <w:numPr>
          <w:ilvl w:val="0"/>
          <w:numId w:val="7"/>
        </w:num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 resoluciones con referencia restantes, s</w:t>
      </w:r>
      <w:r w:rsidR="001654C5" w:rsidRPr="001654C5">
        <w:rPr>
          <w:rFonts w:ascii="Arial" w:hAnsi="Arial" w:cs="Arial"/>
          <w:b/>
        </w:rPr>
        <w:t>e adjuntan en formato pdf, sobre las cuales se han elaborado versiones públicas, que protegen los datos confidenciales de las partes</w:t>
      </w:r>
      <w:r>
        <w:rPr>
          <w:rFonts w:ascii="Arial" w:hAnsi="Arial" w:cs="Arial"/>
          <w:b/>
        </w:rPr>
        <w:t xml:space="preserve"> de conformidad</w:t>
      </w:r>
      <w:r w:rsidR="001654C5" w:rsidRPr="001654C5">
        <w:rPr>
          <w:rFonts w:ascii="Arial" w:hAnsi="Arial" w:cs="Arial"/>
          <w:b/>
        </w:rPr>
        <w:t xml:space="preserve"> al Artículo 30 de la LAIP:</w:t>
      </w:r>
    </w:p>
    <w:p w14:paraId="65BC41E5" w14:textId="77777777" w:rsidR="001A4DB8" w:rsidRDefault="001A4DB8" w:rsidP="0003773F">
      <w:pPr>
        <w:ind w:left="360"/>
        <w:jc w:val="both"/>
        <w:rPr>
          <w:rFonts w:ascii="Arial" w:hAnsi="Arial" w:cs="Arial"/>
        </w:rPr>
      </w:pPr>
    </w:p>
    <w:p w14:paraId="31DAB411" w14:textId="77777777" w:rsidR="0003773F" w:rsidRDefault="0003773F" w:rsidP="0003773F">
      <w:pPr>
        <w:ind w:left="360"/>
        <w:jc w:val="both"/>
        <w:rPr>
          <w:rFonts w:ascii="Arial" w:hAnsi="Arial" w:cs="Arial"/>
        </w:rPr>
      </w:pPr>
    </w:p>
    <w:p w14:paraId="3081B5E5" w14:textId="6DF4A526" w:rsidR="00036D9D" w:rsidRPr="00036D9D" w:rsidRDefault="00036D9D" w:rsidP="0003773F">
      <w:pPr>
        <w:ind w:left="720"/>
        <w:jc w:val="both"/>
        <w:rPr>
          <w:rFonts w:ascii="Arial" w:hAnsi="Arial" w:cs="Arial"/>
          <w:b/>
          <w:lang w:val="en-US"/>
        </w:rPr>
      </w:pPr>
      <w:r w:rsidRPr="00036D9D">
        <w:rPr>
          <w:rFonts w:ascii="Arial" w:hAnsi="Arial" w:cs="Arial"/>
          <w:b/>
          <w:lang w:val="en-US"/>
        </w:rPr>
        <w:t>7) RTS. 26/05/2007 Exp. 245/2007 (</w:t>
      </w:r>
      <w:proofErr w:type="spellStart"/>
      <w:r w:rsidRPr="00036D9D">
        <w:rPr>
          <w:rFonts w:ascii="Arial" w:hAnsi="Arial" w:cs="Arial"/>
          <w:b/>
          <w:lang w:val="en-US"/>
        </w:rPr>
        <w:t>repetida</w:t>
      </w:r>
      <w:proofErr w:type="spellEnd"/>
      <w:r w:rsidRPr="00036D9D">
        <w:rPr>
          <w:rFonts w:ascii="Arial" w:hAnsi="Arial" w:cs="Arial"/>
          <w:b/>
          <w:lang w:val="en-US"/>
        </w:rPr>
        <w:t>)</w:t>
      </w:r>
    </w:p>
    <w:p w14:paraId="5AC660DF" w14:textId="1A9771A6" w:rsidR="00036D9D" w:rsidRPr="00036D9D" w:rsidRDefault="00036D9D" w:rsidP="0003773F">
      <w:pPr>
        <w:ind w:left="720"/>
        <w:jc w:val="both"/>
        <w:rPr>
          <w:rFonts w:ascii="Arial" w:hAnsi="Arial" w:cs="Arial"/>
          <w:b/>
          <w:lang w:val="en-US"/>
        </w:rPr>
      </w:pPr>
      <w:r w:rsidRPr="00036D9D">
        <w:rPr>
          <w:rFonts w:ascii="Arial" w:hAnsi="Arial" w:cs="Arial"/>
          <w:b/>
          <w:lang w:val="en-US"/>
        </w:rPr>
        <w:t xml:space="preserve">8) RTS. 26/05/2007 Exp. 245/2007  </w:t>
      </w:r>
    </w:p>
    <w:p w14:paraId="7B2BDD7E" w14:textId="3EEFA8CC" w:rsidR="00036D9D" w:rsidRPr="00036D9D" w:rsidRDefault="00036D9D" w:rsidP="0003773F">
      <w:pPr>
        <w:ind w:left="720"/>
        <w:jc w:val="both"/>
        <w:rPr>
          <w:rFonts w:ascii="Arial" w:hAnsi="Arial" w:cs="Arial"/>
          <w:b/>
          <w:lang w:val="en-US"/>
        </w:rPr>
      </w:pPr>
      <w:r w:rsidRPr="00036D9D">
        <w:rPr>
          <w:rFonts w:ascii="Arial" w:hAnsi="Arial" w:cs="Arial"/>
          <w:b/>
          <w:lang w:val="en-US"/>
        </w:rPr>
        <w:t xml:space="preserve">9) RTS. 05/07/2010 Exp. 271/2010  </w:t>
      </w:r>
    </w:p>
    <w:p w14:paraId="5CDD19AA" w14:textId="0B2B7C7E" w:rsidR="00036D9D" w:rsidRPr="00036D9D" w:rsidRDefault="00036D9D" w:rsidP="0003773F">
      <w:pPr>
        <w:ind w:left="720"/>
        <w:jc w:val="both"/>
        <w:rPr>
          <w:rFonts w:ascii="Arial" w:hAnsi="Arial" w:cs="Arial"/>
          <w:b/>
          <w:lang w:val="en-US"/>
        </w:rPr>
      </w:pPr>
      <w:r w:rsidRPr="00036D9D">
        <w:rPr>
          <w:rFonts w:ascii="Arial" w:hAnsi="Arial" w:cs="Arial"/>
          <w:b/>
          <w:lang w:val="en-US"/>
        </w:rPr>
        <w:t xml:space="preserve">10) RTS. 29/10/2010 Exp. 31/2007    </w:t>
      </w:r>
    </w:p>
    <w:p w14:paraId="292E885E" w14:textId="1E53B435" w:rsidR="00036D9D" w:rsidRPr="00036D9D" w:rsidRDefault="00036D9D" w:rsidP="0003773F">
      <w:pPr>
        <w:ind w:left="720"/>
        <w:jc w:val="both"/>
        <w:rPr>
          <w:rFonts w:ascii="Arial" w:hAnsi="Arial" w:cs="Arial"/>
          <w:b/>
        </w:rPr>
      </w:pPr>
      <w:r w:rsidRPr="00036D9D">
        <w:rPr>
          <w:rFonts w:ascii="Arial" w:hAnsi="Arial" w:cs="Arial"/>
          <w:b/>
        </w:rPr>
        <w:t xml:space="preserve">11) RTS. 19/03/2010 </w:t>
      </w:r>
      <w:proofErr w:type="spellStart"/>
      <w:r w:rsidRPr="00036D9D">
        <w:rPr>
          <w:rFonts w:ascii="Arial" w:hAnsi="Arial" w:cs="Arial"/>
          <w:b/>
        </w:rPr>
        <w:t>Exp</w:t>
      </w:r>
      <w:proofErr w:type="spellEnd"/>
      <w:r w:rsidRPr="00036D9D">
        <w:rPr>
          <w:rFonts w:ascii="Arial" w:hAnsi="Arial" w:cs="Arial"/>
          <w:b/>
        </w:rPr>
        <w:t xml:space="preserve">. 60/2010    </w:t>
      </w:r>
    </w:p>
    <w:p w14:paraId="7932506B" w14:textId="4398F447" w:rsidR="00036D9D" w:rsidRPr="00036D9D" w:rsidRDefault="00036D9D" w:rsidP="0003773F">
      <w:pPr>
        <w:ind w:left="720"/>
        <w:jc w:val="both"/>
        <w:rPr>
          <w:rFonts w:ascii="Arial" w:hAnsi="Arial" w:cs="Arial"/>
          <w:b/>
        </w:rPr>
      </w:pPr>
      <w:r w:rsidRPr="00036D9D">
        <w:rPr>
          <w:rFonts w:ascii="Arial" w:hAnsi="Arial" w:cs="Arial"/>
          <w:b/>
        </w:rPr>
        <w:t xml:space="preserve">12) RTS. 16/01/2009 </w:t>
      </w:r>
      <w:proofErr w:type="spellStart"/>
      <w:r w:rsidRPr="00036D9D">
        <w:rPr>
          <w:rFonts w:ascii="Arial" w:hAnsi="Arial" w:cs="Arial"/>
          <w:b/>
        </w:rPr>
        <w:t>E</w:t>
      </w:r>
      <w:r w:rsidR="0003773F">
        <w:rPr>
          <w:rFonts w:ascii="Arial" w:hAnsi="Arial" w:cs="Arial"/>
          <w:b/>
        </w:rPr>
        <w:t>x</w:t>
      </w:r>
      <w:r w:rsidRPr="00036D9D">
        <w:rPr>
          <w:rFonts w:ascii="Arial" w:hAnsi="Arial" w:cs="Arial"/>
          <w:b/>
        </w:rPr>
        <w:t>p</w:t>
      </w:r>
      <w:proofErr w:type="spellEnd"/>
      <w:r w:rsidRPr="00036D9D">
        <w:rPr>
          <w:rFonts w:ascii="Arial" w:hAnsi="Arial" w:cs="Arial"/>
          <w:b/>
        </w:rPr>
        <w:t xml:space="preserve">. 817/2007  </w:t>
      </w:r>
    </w:p>
    <w:p w14:paraId="770F0E21" w14:textId="77777777" w:rsidR="00036D9D" w:rsidRDefault="00036D9D" w:rsidP="0003773F">
      <w:pPr>
        <w:jc w:val="both"/>
        <w:rPr>
          <w:rFonts w:ascii="Arial" w:hAnsi="Arial" w:cs="Arial"/>
        </w:rPr>
      </w:pPr>
    </w:p>
    <w:p w14:paraId="77B11577" w14:textId="77777777" w:rsidR="0003773F" w:rsidRDefault="0003773F" w:rsidP="0003773F">
      <w:pPr>
        <w:jc w:val="both"/>
        <w:rPr>
          <w:rFonts w:ascii="Arial" w:hAnsi="Arial" w:cs="Arial"/>
        </w:rPr>
      </w:pPr>
    </w:p>
    <w:p w14:paraId="67B911D4" w14:textId="77777777" w:rsidR="0003773F" w:rsidRDefault="0003773F" w:rsidP="0003773F">
      <w:pPr>
        <w:jc w:val="both"/>
        <w:rPr>
          <w:rFonts w:ascii="Arial" w:hAnsi="Arial" w:cs="Arial"/>
        </w:rPr>
      </w:pPr>
    </w:p>
    <w:p w14:paraId="41EDE58E" w14:textId="77777777" w:rsidR="0003773F" w:rsidRDefault="0003773F" w:rsidP="0003773F">
      <w:pPr>
        <w:jc w:val="both"/>
        <w:rPr>
          <w:rFonts w:ascii="Arial" w:hAnsi="Arial" w:cs="Arial"/>
        </w:rPr>
      </w:pPr>
    </w:p>
    <w:p w14:paraId="5E8C55DF" w14:textId="77777777" w:rsidR="0003773F" w:rsidRDefault="0003773F" w:rsidP="0003773F">
      <w:pPr>
        <w:jc w:val="both"/>
        <w:rPr>
          <w:rFonts w:ascii="Arial" w:hAnsi="Arial" w:cs="Arial"/>
        </w:rPr>
      </w:pPr>
    </w:p>
    <w:p w14:paraId="48C72B52" w14:textId="77777777" w:rsidR="0003773F" w:rsidRDefault="0003773F" w:rsidP="0003773F">
      <w:pPr>
        <w:jc w:val="both"/>
        <w:rPr>
          <w:rFonts w:ascii="Arial" w:hAnsi="Arial" w:cs="Arial"/>
        </w:rPr>
      </w:pPr>
    </w:p>
    <w:p w14:paraId="72DD690E" w14:textId="77777777" w:rsidR="0003773F" w:rsidRDefault="0003773F" w:rsidP="0003773F">
      <w:pPr>
        <w:jc w:val="both"/>
        <w:rPr>
          <w:rFonts w:ascii="Arial" w:hAnsi="Arial" w:cs="Arial"/>
        </w:rPr>
      </w:pPr>
    </w:p>
    <w:p w14:paraId="5D708C61" w14:textId="1CAD15F1" w:rsidR="00036D9D" w:rsidRPr="00036D9D" w:rsidRDefault="00036D9D" w:rsidP="0003773F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36D9D">
        <w:rPr>
          <w:rFonts w:ascii="Arial" w:hAnsi="Arial" w:cs="Arial"/>
          <w:b/>
        </w:rPr>
        <w:t xml:space="preserve">Sobre las </w:t>
      </w:r>
      <w:r w:rsidRPr="00036D9D">
        <w:rPr>
          <w:rFonts w:ascii="Arial" w:eastAsia="Times New Roman" w:hAnsi="Arial" w:cs="Arial"/>
          <w:b/>
        </w:rPr>
        <w:t>resoluciones</w:t>
      </w:r>
      <w:r>
        <w:rPr>
          <w:rFonts w:ascii="Arial" w:eastAsia="Times New Roman" w:hAnsi="Arial" w:cs="Arial"/>
          <w:b/>
        </w:rPr>
        <w:t>,</w:t>
      </w:r>
      <w:r w:rsidRPr="00036D9D">
        <w:rPr>
          <w:rFonts w:ascii="Arial" w:eastAsia="Times New Roman" w:hAnsi="Arial" w:cs="Arial"/>
          <w:b/>
        </w:rPr>
        <w:t xml:space="preserve"> que se hayan emitido contra las compañías telefónicas</w:t>
      </w:r>
      <w:r w:rsidRPr="002130F2">
        <w:rPr>
          <w:rFonts w:ascii="Arial" w:eastAsia="Times New Roman" w:hAnsi="Arial" w:cs="Arial"/>
          <w:b/>
        </w:rPr>
        <w:t xml:space="preserve"> en el periodo de enero 2013 a diciembre de 2014</w:t>
      </w:r>
      <w:r>
        <w:rPr>
          <w:rFonts w:ascii="Arial" w:eastAsia="Times New Roman" w:hAnsi="Arial" w:cs="Arial"/>
          <w:b/>
        </w:rPr>
        <w:t xml:space="preserve">, se le orienta para su ubicación en </w:t>
      </w:r>
      <w:hyperlink r:id="rId9" w:history="1">
        <w:r w:rsidRPr="001A4DB8">
          <w:rPr>
            <w:rStyle w:val="Hipervnculo"/>
            <w:rFonts w:ascii="Arial" w:hAnsi="Arial" w:cs="Arial"/>
            <w:b/>
            <w:color w:val="auto"/>
            <w:u w:val="none"/>
            <w:lang w:val="es-SV"/>
          </w:rPr>
          <w:t>www.defensoria.gob.sv</w:t>
        </w:r>
      </w:hyperlink>
      <w:r w:rsidRPr="001A4DB8">
        <w:rPr>
          <w:rFonts w:ascii="Arial" w:hAnsi="Arial" w:cs="Arial"/>
          <w:b/>
          <w:lang w:val="es-SV"/>
        </w:rPr>
        <w:t xml:space="preserve">, sección “Temas”, ítem </w:t>
      </w:r>
      <w:r>
        <w:rPr>
          <w:rFonts w:ascii="Arial" w:hAnsi="Arial" w:cs="Arial"/>
          <w:b/>
          <w:lang w:val="es-SV"/>
        </w:rPr>
        <w:t xml:space="preserve">“Tribunal Sancionador - </w:t>
      </w:r>
      <w:r w:rsidRPr="001A4DB8">
        <w:rPr>
          <w:rFonts w:ascii="Arial" w:hAnsi="Arial" w:cs="Arial"/>
          <w:b/>
          <w:lang w:val="es-SV"/>
        </w:rPr>
        <w:t>Resoluciones”:</w:t>
      </w:r>
      <w:r>
        <w:rPr>
          <w:rFonts w:ascii="Arial" w:eastAsia="Times New Roman" w:hAnsi="Arial" w:cs="Arial"/>
          <w:b/>
        </w:rPr>
        <w:t xml:space="preserve"> </w:t>
      </w:r>
    </w:p>
    <w:p w14:paraId="0238D4B3" w14:textId="77777777" w:rsidR="001A4DB8" w:rsidRDefault="001A4DB8" w:rsidP="0003773F">
      <w:pPr>
        <w:jc w:val="both"/>
        <w:rPr>
          <w:rFonts w:ascii="Arial" w:hAnsi="Arial" w:cs="Arial"/>
        </w:rPr>
      </w:pPr>
    </w:p>
    <w:p w14:paraId="7A0000AD" w14:textId="01EBBC96" w:rsidR="00EE78A9" w:rsidRPr="00EE78A9" w:rsidRDefault="001A4DB8" w:rsidP="0003773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EE78A9">
        <w:rPr>
          <w:rFonts w:ascii="Arial" w:hAnsi="Arial" w:cs="Arial"/>
          <w:b/>
        </w:rPr>
        <w:t xml:space="preserve">Año 2013 </w:t>
      </w:r>
    </w:p>
    <w:p w14:paraId="0A7D70BF" w14:textId="77777777" w:rsidR="00EE78A9" w:rsidRDefault="00EE78A9" w:rsidP="0003773F">
      <w:pPr>
        <w:jc w:val="both"/>
        <w:rPr>
          <w:rFonts w:ascii="Arial" w:hAnsi="Arial" w:cs="Arial"/>
        </w:rPr>
      </w:pPr>
    </w:p>
    <w:p w14:paraId="3E0374FD" w14:textId="1C89EBFC" w:rsidR="001A4DB8" w:rsidRPr="00EE78A9" w:rsidRDefault="00EE78A9" w:rsidP="0003773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E78A9">
        <w:rPr>
          <w:rFonts w:ascii="Arial" w:hAnsi="Arial" w:cs="Arial"/>
        </w:rPr>
        <w:t>Sancionados</w:t>
      </w:r>
      <w:r w:rsidR="001A4DB8" w:rsidRPr="00EE78A9">
        <w:rPr>
          <w:rFonts w:ascii="Arial" w:hAnsi="Arial" w:cs="Arial"/>
        </w:rPr>
        <w:t xml:space="preserve">: </w:t>
      </w:r>
      <w:r w:rsidR="001A4DB8" w:rsidRPr="00567154">
        <w:rPr>
          <w:rFonts w:ascii="Arial" w:hAnsi="Arial" w:cs="Arial"/>
          <w:b/>
        </w:rPr>
        <w:t xml:space="preserve">209-12 (abril); </w:t>
      </w:r>
      <w:r w:rsidRPr="00567154">
        <w:rPr>
          <w:rFonts w:ascii="Arial" w:hAnsi="Arial" w:cs="Arial"/>
          <w:b/>
        </w:rPr>
        <w:t>273-12, 325-12 y 1048-12 (mayo)</w:t>
      </w:r>
    </w:p>
    <w:p w14:paraId="0057564C" w14:textId="722EF437" w:rsidR="00EE78A9" w:rsidRPr="00EE78A9" w:rsidRDefault="00EE78A9" w:rsidP="0003773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E78A9">
        <w:rPr>
          <w:rFonts w:ascii="Arial" w:hAnsi="Arial" w:cs="Arial"/>
        </w:rPr>
        <w:t xml:space="preserve">Absueltos: </w:t>
      </w:r>
      <w:r w:rsidRPr="00567154">
        <w:rPr>
          <w:rFonts w:ascii="Arial" w:hAnsi="Arial" w:cs="Arial"/>
          <w:b/>
        </w:rPr>
        <w:t>1366-12 (mayo)</w:t>
      </w:r>
    </w:p>
    <w:p w14:paraId="70DEC116" w14:textId="32BDB022" w:rsidR="00EE78A9" w:rsidRPr="00EE78A9" w:rsidRDefault="00EE78A9" w:rsidP="0003773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E78A9">
        <w:rPr>
          <w:rFonts w:ascii="Arial" w:hAnsi="Arial" w:cs="Arial"/>
        </w:rPr>
        <w:t xml:space="preserve">Improcedente: </w:t>
      </w:r>
      <w:r w:rsidRPr="00567154">
        <w:rPr>
          <w:rFonts w:ascii="Arial" w:hAnsi="Arial" w:cs="Arial"/>
          <w:b/>
        </w:rPr>
        <w:t>1412-13 (septiembre)</w:t>
      </w:r>
    </w:p>
    <w:p w14:paraId="68E338A2" w14:textId="77777777" w:rsidR="00EE78A9" w:rsidRDefault="00EE78A9" w:rsidP="0003773F">
      <w:pPr>
        <w:jc w:val="both"/>
        <w:rPr>
          <w:rFonts w:ascii="Arial" w:hAnsi="Arial" w:cs="Arial"/>
        </w:rPr>
      </w:pPr>
    </w:p>
    <w:p w14:paraId="5DE623FE" w14:textId="77777777" w:rsidR="00EE78A9" w:rsidRDefault="001A4DB8" w:rsidP="0003773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EE78A9">
        <w:rPr>
          <w:rFonts w:ascii="Arial" w:hAnsi="Arial" w:cs="Arial"/>
          <w:b/>
        </w:rPr>
        <w:t xml:space="preserve">Año 2014 </w:t>
      </w:r>
    </w:p>
    <w:p w14:paraId="482F8F3C" w14:textId="77777777" w:rsidR="00EE78A9" w:rsidRPr="00EE78A9" w:rsidRDefault="00EE78A9" w:rsidP="0003773F">
      <w:pPr>
        <w:pStyle w:val="Prrafodelista"/>
        <w:jc w:val="both"/>
        <w:rPr>
          <w:rFonts w:ascii="Arial" w:hAnsi="Arial" w:cs="Arial"/>
          <w:b/>
        </w:rPr>
      </w:pPr>
    </w:p>
    <w:p w14:paraId="25ABD0C0" w14:textId="7B74BACF" w:rsidR="001A4DB8" w:rsidRPr="00EE78A9" w:rsidRDefault="001A4DB8" w:rsidP="0003773F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E78A9">
        <w:rPr>
          <w:rFonts w:ascii="Arial" w:hAnsi="Arial" w:cs="Arial"/>
        </w:rPr>
        <w:t xml:space="preserve">Absueltos: </w:t>
      </w:r>
      <w:r w:rsidRPr="00567154">
        <w:rPr>
          <w:rFonts w:ascii="Arial" w:hAnsi="Arial" w:cs="Arial"/>
          <w:b/>
        </w:rPr>
        <w:t>1727-12 (marzo)</w:t>
      </w:r>
    </w:p>
    <w:p w14:paraId="16E710E5" w14:textId="397FCEC0" w:rsidR="00EE78A9" w:rsidRPr="00EE78A9" w:rsidRDefault="00EE78A9" w:rsidP="0003773F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EE78A9">
        <w:rPr>
          <w:rFonts w:ascii="Arial" w:hAnsi="Arial" w:cs="Arial"/>
        </w:rPr>
        <w:t xml:space="preserve">Sancionados: </w:t>
      </w:r>
      <w:r w:rsidRPr="00567154">
        <w:rPr>
          <w:rFonts w:ascii="Arial" w:hAnsi="Arial" w:cs="Arial"/>
          <w:b/>
        </w:rPr>
        <w:t>259-13 (mayo)</w:t>
      </w:r>
    </w:p>
    <w:p w14:paraId="28D85C1C" w14:textId="77777777" w:rsidR="00EE78A9" w:rsidRDefault="00EE78A9" w:rsidP="0003773F">
      <w:pPr>
        <w:jc w:val="both"/>
        <w:rPr>
          <w:rFonts w:ascii="Arial" w:hAnsi="Arial" w:cs="Arial"/>
        </w:rPr>
      </w:pPr>
    </w:p>
    <w:p w14:paraId="667A434C" w14:textId="237467D4" w:rsidR="00EE78A9" w:rsidRDefault="00EE78A9" w:rsidP="0003773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EE78A9">
        <w:rPr>
          <w:rFonts w:ascii="Arial" w:hAnsi="Arial" w:cs="Arial"/>
          <w:b/>
        </w:rPr>
        <w:t>Otros años:</w:t>
      </w:r>
    </w:p>
    <w:p w14:paraId="4DFCA199" w14:textId="77777777" w:rsidR="0003773F" w:rsidRDefault="0003773F" w:rsidP="0003773F">
      <w:pPr>
        <w:pStyle w:val="Prrafodelista"/>
        <w:jc w:val="both"/>
        <w:rPr>
          <w:rFonts w:ascii="Arial" w:hAnsi="Arial" w:cs="Arial"/>
          <w:b/>
        </w:rPr>
      </w:pPr>
    </w:p>
    <w:p w14:paraId="22B2C25C" w14:textId="28E4FA81" w:rsidR="0003773F" w:rsidRDefault="0003773F" w:rsidP="0003773F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567154">
        <w:rPr>
          <w:rFonts w:ascii="Arial" w:hAnsi="Arial" w:cs="Arial"/>
          <w:b/>
        </w:rPr>
        <w:t>137-11</w:t>
      </w:r>
      <w:r>
        <w:rPr>
          <w:rFonts w:ascii="Arial" w:hAnsi="Arial" w:cs="Arial"/>
        </w:rPr>
        <w:t xml:space="preserve"> A</w:t>
      </w:r>
      <w:r w:rsidRPr="00EE78A9">
        <w:rPr>
          <w:rFonts w:ascii="Arial" w:hAnsi="Arial" w:cs="Arial"/>
        </w:rPr>
        <w:t>bsueltos 2011 (importante por el tema de información en los contratos de adhesión)</w:t>
      </w:r>
      <w:r w:rsidR="00773390">
        <w:rPr>
          <w:rFonts w:ascii="Arial" w:hAnsi="Arial" w:cs="Arial"/>
        </w:rPr>
        <w:t>.</w:t>
      </w:r>
    </w:p>
    <w:p w14:paraId="43BFFACB" w14:textId="77777777" w:rsidR="00EE78A9" w:rsidRPr="00EE78A9" w:rsidRDefault="00EE78A9" w:rsidP="0003773F">
      <w:pPr>
        <w:pStyle w:val="Prrafodelista"/>
        <w:jc w:val="both"/>
        <w:rPr>
          <w:rFonts w:ascii="Arial" w:hAnsi="Arial" w:cs="Arial"/>
          <w:b/>
        </w:rPr>
      </w:pPr>
    </w:p>
    <w:p w14:paraId="7C412025" w14:textId="736AEDE4" w:rsidR="001A4DB8" w:rsidRPr="00EE78A9" w:rsidRDefault="001A4DB8" w:rsidP="0003773F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567154">
        <w:rPr>
          <w:rFonts w:ascii="Arial" w:hAnsi="Arial" w:cs="Arial"/>
          <w:b/>
        </w:rPr>
        <w:t>675-12</w:t>
      </w:r>
      <w:r w:rsidRPr="00EE78A9">
        <w:rPr>
          <w:rFonts w:ascii="Arial" w:hAnsi="Arial" w:cs="Arial"/>
        </w:rPr>
        <w:t xml:space="preserve"> </w:t>
      </w:r>
      <w:r w:rsidR="00EE78A9" w:rsidRPr="00EE78A9">
        <w:rPr>
          <w:rFonts w:ascii="Arial" w:hAnsi="Arial" w:cs="Arial"/>
        </w:rPr>
        <w:t>Improcedentes a</w:t>
      </w:r>
      <w:r w:rsidRPr="00EE78A9">
        <w:rPr>
          <w:rFonts w:ascii="Arial" w:hAnsi="Arial" w:cs="Arial"/>
        </w:rPr>
        <w:t>gosto 2012 (aunque no es de 2013 o 2014</w:t>
      </w:r>
      <w:r w:rsidR="0003773F">
        <w:rPr>
          <w:rFonts w:ascii="Arial" w:hAnsi="Arial" w:cs="Arial"/>
        </w:rPr>
        <w:t>,</w:t>
      </w:r>
      <w:r w:rsidRPr="00EE78A9">
        <w:rPr>
          <w:rFonts w:ascii="Arial" w:hAnsi="Arial" w:cs="Arial"/>
        </w:rPr>
        <w:t xml:space="preserve"> se considera relevante por lo dicho sobre las condiciones de promoción de las telefónicas)</w:t>
      </w:r>
      <w:r w:rsidR="00773390">
        <w:rPr>
          <w:rFonts w:ascii="Arial" w:hAnsi="Arial" w:cs="Arial"/>
        </w:rPr>
        <w:t>.</w:t>
      </w:r>
    </w:p>
    <w:p w14:paraId="12F160B6" w14:textId="77777777" w:rsidR="00EE78A9" w:rsidRPr="00EE78A9" w:rsidRDefault="00EE78A9" w:rsidP="0003773F">
      <w:pPr>
        <w:ind w:left="360"/>
        <w:jc w:val="both"/>
        <w:rPr>
          <w:rFonts w:ascii="Arial" w:hAnsi="Arial" w:cs="Arial"/>
        </w:rPr>
      </w:pPr>
    </w:p>
    <w:p w14:paraId="3329C301" w14:textId="68354B85" w:rsidR="001A4DB8" w:rsidRPr="00EE78A9" w:rsidRDefault="00EE78A9" w:rsidP="0003773F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567154">
        <w:rPr>
          <w:rFonts w:ascii="Arial" w:hAnsi="Arial" w:cs="Arial"/>
          <w:b/>
        </w:rPr>
        <w:t>238-11</w:t>
      </w:r>
      <w:r>
        <w:rPr>
          <w:rFonts w:ascii="Arial" w:hAnsi="Arial" w:cs="Arial"/>
        </w:rPr>
        <w:t xml:space="preserve"> S</w:t>
      </w:r>
      <w:r w:rsidR="001A4DB8" w:rsidRPr="00EE78A9">
        <w:rPr>
          <w:rFonts w:ascii="Arial" w:hAnsi="Arial" w:cs="Arial"/>
        </w:rPr>
        <w:t>ancionado</w:t>
      </w:r>
      <w:r w:rsidR="0003773F">
        <w:rPr>
          <w:rFonts w:ascii="Arial" w:hAnsi="Arial" w:cs="Arial"/>
        </w:rPr>
        <w:t>s</w:t>
      </w:r>
      <w:r w:rsidR="001A4DB8" w:rsidRPr="00EE78A9">
        <w:rPr>
          <w:rFonts w:ascii="Arial" w:hAnsi="Arial" w:cs="Arial"/>
        </w:rPr>
        <w:t xml:space="preserve"> octubre 2012 (sancionado por publicidad engañosa en promociones de telefonía)</w:t>
      </w:r>
      <w:r w:rsidR="00773390">
        <w:rPr>
          <w:rFonts w:ascii="Arial" w:hAnsi="Arial" w:cs="Arial"/>
        </w:rPr>
        <w:t>.</w:t>
      </w:r>
    </w:p>
    <w:p w14:paraId="30C07A3D" w14:textId="77777777" w:rsidR="001A4DB8" w:rsidRDefault="001A4DB8" w:rsidP="0003773F">
      <w:pPr>
        <w:jc w:val="both"/>
        <w:rPr>
          <w:rFonts w:ascii="Arial" w:hAnsi="Arial" w:cs="Arial"/>
        </w:rPr>
      </w:pPr>
    </w:p>
    <w:p w14:paraId="1ABF82BA" w14:textId="77777777" w:rsidR="00567154" w:rsidRDefault="00567154" w:rsidP="000377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Tribunal Sancionador, comunica que s</w:t>
      </w:r>
      <w:r w:rsidR="001A4DB8" w:rsidRPr="001A4DB8">
        <w:rPr>
          <w:rFonts w:ascii="Arial" w:hAnsi="Arial" w:cs="Arial"/>
        </w:rPr>
        <w:t>e trató de variar los tipos de re</w:t>
      </w:r>
      <w:r>
        <w:rPr>
          <w:rFonts w:ascii="Arial" w:hAnsi="Arial" w:cs="Arial"/>
        </w:rPr>
        <w:t>soluciones finales de compañías telefónicas</w:t>
      </w:r>
      <w:r w:rsidR="001A4DB8" w:rsidRPr="001A4DB8">
        <w:rPr>
          <w:rFonts w:ascii="Arial" w:hAnsi="Arial" w:cs="Arial"/>
        </w:rPr>
        <w:t xml:space="preserve">, incluyéndose sanciones, absoluciones e improcedencias. </w:t>
      </w:r>
    </w:p>
    <w:p w14:paraId="61090A9D" w14:textId="77777777" w:rsidR="00567154" w:rsidRDefault="00567154" w:rsidP="0003773F">
      <w:pPr>
        <w:jc w:val="both"/>
        <w:rPr>
          <w:rFonts w:ascii="Arial" w:hAnsi="Arial" w:cs="Arial"/>
        </w:rPr>
      </w:pPr>
    </w:p>
    <w:p w14:paraId="797F55FF" w14:textId="1387F903" w:rsidR="004A09E4" w:rsidRDefault="001A4DB8" w:rsidP="0003773F">
      <w:pPr>
        <w:jc w:val="both"/>
        <w:rPr>
          <w:rFonts w:ascii="Arial" w:hAnsi="Arial" w:cs="Arial"/>
        </w:rPr>
      </w:pPr>
      <w:r w:rsidRPr="001A4DB8">
        <w:rPr>
          <w:rFonts w:ascii="Arial" w:hAnsi="Arial" w:cs="Arial"/>
        </w:rPr>
        <w:t>Asimismo, distintos tipos de infracciones cometidas, como falta de información, publicidad engañosa, no entregar los bienes o no prestar los servicios en los términos pactados y sobre garantía</w:t>
      </w:r>
      <w:r w:rsidR="0003773F">
        <w:rPr>
          <w:rFonts w:ascii="Arial" w:hAnsi="Arial" w:cs="Arial"/>
        </w:rPr>
        <w:t>.</w:t>
      </w:r>
    </w:p>
    <w:p w14:paraId="6268B5F0" w14:textId="77777777" w:rsidR="0003773F" w:rsidRDefault="0003773F" w:rsidP="0003773F">
      <w:pPr>
        <w:jc w:val="both"/>
        <w:rPr>
          <w:rFonts w:ascii="Arial" w:hAnsi="Arial" w:cs="Arial"/>
        </w:rPr>
      </w:pPr>
    </w:p>
    <w:p w14:paraId="3D39D232" w14:textId="77777777" w:rsidR="00782385" w:rsidRDefault="00782385" w:rsidP="0003773F">
      <w:pPr>
        <w:jc w:val="both"/>
        <w:rPr>
          <w:rFonts w:ascii="Arial" w:hAnsi="Arial" w:cs="Arial"/>
        </w:rPr>
      </w:pPr>
    </w:p>
    <w:p w14:paraId="12F8C1B1" w14:textId="77777777" w:rsidR="0003773F" w:rsidRDefault="0003773F" w:rsidP="0003773F">
      <w:pPr>
        <w:jc w:val="both"/>
        <w:rPr>
          <w:rFonts w:ascii="Arial" w:hAnsi="Arial" w:cs="Arial"/>
        </w:rPr>
      </w:pPr>
    </w:p>
    <w:p w14:paraId="6C2B6CA7" w14:textId="71FE36F3" w:rsidR="0003773F" w:rsidRPr="00917CF6" w:rsidRDefault="00917CF6" w:rsidP="00917CF6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513143F" w14:textId="77777777" w:rsidR="004A09E4" w:rsidRPr="003228D8" w:rsidRDefault="004A09E4" w:rsidP="0003773F">
      <w:pPr>
        <w:jc w:val="both"/>
        <w:rPr>
          <w:rFonts w:ascii="Arial" w:hAnsi="Arial" w:cs="Arial"/>
        </w:rPr>
      </w:pPr>
    </w:p>
    <w:p w14:paraId="67FC6B0F" w14:textId="77777777" w:rsidR="004A09E4" w:rsidRPr="003228D8" w:rsidRDefault="004A09E4" w:rsidP="0003773F">
      <w:pPr>
        <w:jc w:val="both"/>
        <w:rPr>
          <w:rFonts w:ascii="Arial" w:hAnsi="Arial" w:cs="Arial"/>
        </w:rPr>
      </w:pPr>
    </w:p>
    <w:p w14:paraId="04590AF6" w14:textId="2E6AE1C8" w:rsidR="004A09E4" w:rsidRPr="003228D8" w:rsidRDefault="004A09E4" w:rsidP="0003773F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6534B4A3" w14:textId="77777777" w:rsidR="007D1E3E" w:rsidRDefault="007D1E3E" w:rsidP="0003773F"/>
    <w:sectPr w:rsidR="007D1E3E" w:rsidSect="006B64CB">
      <w:headerReference w:type="even" r:id="rId10"/>
      <w:headerReference w:type="default" r:id="rId11"/>
      <w:headerReference w:type="first" r:id="rId12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96934" w14:textId="77777777" w:rsidR="00040686" w:rsidRDefault="00040686" w:rsidP="00385C3D">
      <w:r>
        <w:separator/>
      </w:r>
    </w:p>
  </w:endnote>
  <w:endnote w:type="continuationSeparator" w:id="0">
    <w:p w14:paraId="49EEED37" w14:textId="77777777" w:rsidR="00040686" w:rsidRDefault="0004068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9DBE5" w14:textId="77777777" w:rsidR="00040686" w:rsidRDefault="00040686" w:rsidP="00385C3D">
      <w:r>
        <w:separator/>
      </w:r>
    </w:p>
  </w:footnote>
  <w:footnote w:type="continuationSeparator" w:id="0">
    <w:p w14:paraId="2BDEFC41" w14:textId="77777777" w:rsidR="00040686" w:rsidRDefault="0004068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04068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C4C79" w14:textId="77777777" w:rsidR="00917CF6" w:rsidRDefault="00917CF6" w:rsidP="00917CF6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04068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0469"/>
    <w:multiLevelType w:val="hybridMultilevel"/>
    <w:tmpl w:val="AC3C29B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F26DF"/>
    <w:multiLevelType w:val="hybridMultilevel"/>
    <w:tmpl w:val="C39E2C7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026A"/>
    <w:multiLevelType w:val="hybridMultilevel"/>
    <w:tmpl w:val="4CD60ACE"/>
    <w:lvl w:ilvl="0" w:tplc="03C630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763847"/>
    <w:multiLevelType w:val="hybridMultilevel"/>
    <w:tmpl w:val="87648B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52D5A"/>
    <w:multiLevelType w:val="hybridMultilevel"/>
    <w:tmpl w:val="6614A56A"/>
    <w:lvl w:ilvl="0" w:tplc="57C81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132045"/>
    <w:multiLevelType w:val="hybridMultilevel"/>
    <w:tmpl w:val="65A28B9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B116D7"/>
    <w:multiLevelType w:val="hybridMultilevel"/>
    <w:tmpl w:val="990856F2"/>
    <w:lvl w:ilvl="0" w:tplc="DD6C3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AD7C69"/>
    <w:multiLevelType w:val="hybridMultilevel"/>
    <w:tmpl w:val="474A40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4F2E"/>
    <w:multiLevelType w:val="hybridMultilevel"/>
    <w:tmpl w:val="12CA11C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736E33"/>
    <w:multiLevelType w:val="hybridMultilevel"/>
    <w:tmpl w:val="8A02D0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36D9D"/>
    <w:rsid w:val="0003773F"/>
    <w:rsid w:val="00040686"/>
    <w:rsid w:val="000770FC"/>
    <w:rsid w:val="00081C31"/>
    <w:rsid w:val="000A1F9B"/>
    <w:rsid w:val="000B1E82"/>
    <w:rsid w:val="000B49BD"/>
    <w:rsid w:val="001654C5"/>
    <w:rsid w:val="00182B8D"/>
    <w:rsid w:val="001A4DB8"/>
    <w:rsid w:val="002769C6"/>
    <w:rsid w:val="002C31B0"/>
    <w:rsid w:val="00315FC5"/>
    <w:rsid w:val="00384188"/>
    <w:rsid w:val="00385C3D"/>
    <w:rsid w:val="003B3C47"/>
    <w:rsid w:val="00405239"/>
    <w:rsid w:val="00457196"/>
    <w:rsid w:val="00460794"/>
    <w:rsid w:val="00491B46"/>
    <w:rsid w:val="004A09E4"/>
    <w:rsid w:val="004D34F0"/>
    <w:rsid w:val="004D661F"/>
    <w:rsid w:val="00502220"/>
    <w:rsid w:val="00555C29"/>
    <w:rsid w:val="00567154"/>
    <w:rsid w:val="005D6834"/>
    <w:rsid w:val="00623F78"/>
    <w:rsid w:val="00630B4F"/>
    <w:rsid w:val="006B64CB"/>
    <w:rsid w:val="006F4D1D"/>
    <w:rsid w:val="00741E18"/>
    <w:rsid w:val="007512C7"/>
    <w:rsid w:val="00773390"/>
    <w:rsid w:val="00775A51"/>
    <w:rsid w:val="00782385"/>
    <w:rsid w:val="007A763D"/>
    <w:rsid w:val="007D1E3E"/>
    <w:rsid w:val="008E15C2"/>
    <w:rsid w:val="008F5B31"/>
    <w:rsid w:val="00917CF6"/>
    <w:rsid w:val="009220C8"/>
    <w:rsid w:val="00991543"/>
    <w:rsid w:val="00A50147"/>
    <w:rsid w:val="00B30CE2"/>
    <w:rsid w:val="00B5488F"/>
    <w:rsid w:val="00BD258E"/>
    <w:rsid w:val="00CA5CF0"/>
    <w:rsid w:val="00CC5F6C"/>
    <w:rsid w:val="00DE7E06"/>
    <w:rsid w:val="00E207C1"/>
    <w:rsid w:val="00E217AA"/>
    <w:rsid w:val="00EE78A9"/>
    <w:rsid w:val="00EF0D8C"/>
    <w:rsid w:val="00F8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fensoria.gob.s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A20A6-D537-47CA-B92D-766DA219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17</cp:revision>
  <cp:lastPrinted>2015-08-10T15:54:00Z</cp:lastPrinted>
  <dcterms:created xsi:type="dcterms:W3CDTF">2015-07-29T21:51:00Z</dcterms:created>
  <dcterms:modified xsi:type="dcterms:W3CDTF">2018-10-08T22:01:00Z</dcterms:modified>
</cp:coreProperties>
</file>