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1CE23" w14:textId="33505838" w:rsidR="00A46BB7" w:rsidRPr="004715E5" w:rsidRDefault="00A46BB7" w:rsidP="004715E5">
      <w:pPr>
        <w:jc w:val="center"/>
        <w:rPr>
          <w:b/>
          <w:bCs/>
          <w:sz w:val="28"/>
          <w:szCs w:val="28"/>
        </w:rPr>
      </w:pPr>
      <w:r w:rsidRPr="00A46BB7">
        <w:rPr>
          <w:b/>
          <w:bCs/>
          <w:sz w:val="28"/>
          <w:szCs w:val="28"/>
        </w:rPr>
        <w:t>CVPCPA ANEXO 00</w:t>
      </w:r>
      <w:r w:rsidR="00DF6BAB">
        <w:rPr>
          <w:b/>
          <w:bCs/>
          <w:sz w:val="28"/>
          <w:szCs w:val="28"/>
        </w:rPr>
        <w:t>2</w:t>
      </w:r>
      <w:r w:rsidRPr="00A46BB7">
        <w:rPr>
          <w:b/>
          <w:bCs/>
          <w:sz w:val="28"/>
          <w:szCs w:val="28"/>
        </w:rPr>
        <w:t>-202</w:t>
      </w:r>
      <w:r w:rsidR="004715E5">
        <w:rPr>
          <w:b/>
          <w:bCs/>
          <w:sz w:val="28"/>
          <w:szCs w:val="28"/>
        </w:rPr>
        <w:t>1</w:t>
      </w:r>
    </w:p>
    <w:p w14:paraId="5CFDE1AA" w14:textId="77777777" w:rsidR="00DF6BAB" w:rsidRPr="0013168C" w:rsidRDefault="00DF6BAB" w:rsidP="00DF6BAB">
      <w:pPr>
        <w:numPr>
          <w:ilvl w:val="0"/>
          <w:numId w:val="3"/>
        </w:numPr>
        <w:shd w:val="clear" w:color="auto" w:fill="FFFFFF"/>
        <w:spacing w:after="0" w:line="240" w:lineRule="auto"/>
        <w:ind w:left="426"/>
        <w:rPr>
          <w:rFonts w:ascii="Arial" w:eastAsia="Times New Roman" w:hAnsi="Arial" w:cs="Arial"/>
          <w:sz w:val="24"/>
          <w:szCs w:val="24"/>
          <w:lang w:eastAsia="es-SV"/>
        </w:rPr>
      </w:pPr>
      <w:r w:rsidRPr="0013168C">
        <w:rPr>
          <w:rFonts w:ascii="Arial" w:eastAsia="Times New Roman" w:hAnsi="Arial" w:cs="Arial"/>
          <w:sz w:val="24"/>
          <w:szCs w:val="24"/>
          <w:lang w:eastAsia="es-SV"/>
        </w:rPr>
        <w:t>Consejo Actualmente y del periodo anterior: </w:t>
      </w:r>
    </w:p>
    <w:p w14:paraId="12C7311E" w14:textId="77777777" w:rsidR="00DF6BAB" w:rsidRPr="0013168C" w:rsidRDefault="00DF6BAB" w:rsidP="00DF6BAB">
      <w:pPr>
        <w:shd w:val="clear" w:color="auto" w:fill="FFFFFF"/>
        <w:spacing w:after="0" w:line="240" w:lineRule="auto"/>
        <w:ind w:left="426"/>
        <w:rPr>
          <w:rFonts w:ascii="Arial" w:eastAsia="Times New Roman" w:hAnsi="Arial" w:cs="Arial"/>
          <w:sz w:val="24"/>
          <w:szCs w:val="24"/>
          <w:lang w:eastAsia="es-SV"/>
        </w:rPr>
      </w:pPr>
    </w:p>
    <w:p w14:paraId="7EB4171F" w14:textId="77777777" w:rsidR="00DF6BAB" w:rsidRPr="0013168C" w:rsidRDefault="00DF6BAB" w:rsidP="00DF6BAB">
      <w:pPr>
        <w:shd w:val="clear" w:color="auto" w:fill="FFFFFF"/>
        <w:spacing w:after="0" w:line="240" w:lineRule="auto"/>
        <w:ind w:left="426"/>
        <w:rPr>
          <w:rFonts w:ascii="Arial" w:eastAsia="Times New Roman" w:hAnsi="Arial" w:cs="Arial"/>
          <w:sz w:val="24"/>
          <w:szCs w:val="24"/>
          <w:lang w:eastAsia="es-SV"/>
        </w:rPr>
      </w:pPr>
      <w:r w:rsidRPr="0013168C">
        <w:rPr>
          <w:rFonts w:ascii="Arial" w:eastAsia="Times New Roman" w:hAnsi="Arial" w:cs="Arial"/>
          <w:sz w:val="24"/>
          <w:szCs w:val="24"/>
          <w:lang w:eastAsia="es-SV"/>
        </w:rPr>
        <w:t xml:space="preserve">- </w:t>
      </w:r>
      <w:proofErr w:type="gramStart"/>
      <w:r w:rsidRPr="0013168C">
        <w:rPr>
          <w:rFonts w:ascii="Arial" w:eastAsia="Times New Roman" w:hAnsi="Arial" w:cs="Arial"/>
          <w:sz w:val="24"/>
          <w:szCs w:val="24"/>
          <w:lang w:eastAsia="es-SV"/>
        </w:rPr>
        <w:t>Presidente</w:t>
      </w:r>
      <w:proofErr w:type="gramEnd"/>
      <w:r w:rsidRPr="0013168C">
        <w:rPr>
          <w:rFonts w:ascii="Arial" w:eastAsia="Times New Roman" w:hAnsi="Arial" w:cs="Arial"/>
          <w:sz w:val="24"/>
          <w:szCs w:val="24"/>
          <w:lang w:eastAsia="es-SV"/>
        </w:rPr>
        <w:t>, nombrado por el ministro de economía.</w:t>
      </w:r>
    </w:p>
    <w:p w14:paraId="5DE80E8D" w14:textId="77777777" w:rsidR="00DF6BAB" w:rsidRPr="0013168C" w:rsidRDefault="00DF6BAB" w:rsidP="00DF6BAB">
      <w:pPr>
        <w:shd w:val="clear" w:color="auto" w:fill="FFFFFF"/>
        <w:spacing w:after="0" w:line="240" w:lineRule="auto"/>
        <w:ind w:left="426"/>
        <w:rPr>
          <w:rFonts w:ascii="Arial" w:eastAsia="Times New Roman" w:hAnsi="Arial" w:cs="Arial"/>
          <w:sz w:val="24"/>
          <w:szCs w:val="24"/>
          <w:lang w:eastAsia="es-SV"/>
        </w:rPr>
      </w:pPr>
      <w:r w:rsidRPr="0013168C">
        <w:rPr>
          <w:rFonts w:ascii="Arial" w:eastAsia="Times New Roman" w:hAnsi="Arial" w:cs="Arial"/>
          <w:sz w:val="24"/>
          <w:szCs w:val="24"/>
          <w:lang w:eastAsia="es-SV"/>
        </w:rPr>
        <w:t xml:space="preserve">- </w:t>
      </w:r>
      <w:proofErr w:type="gramStart"/>
      <w:r w:rsidRPr="0013168C">
        <w:rPr>
          <w:rFonts w:ascii="Arial" w:eastAsia="Times New Roman" w:hAnsi="Arial" w:cs="Arial"/>
          <w:sz w:val="24"/>
          <w:szCs w:val="24"/>
          <w:lang w:eastAsia="es-SV"/>
        </w:rPr>
        <w:t>Director</w:t>
      </w:r>
      <w:proofErr w:type="gramEnd"/>
      <w:r w:rsidRPr="0013168C">
        <w:rPr>
          <w:rFonts w:ascii="Arial" w:eastAsia="Times New Roman" w:hAnsi="Arial" w:cs="Arial"/>
          <w:sz w:val="24"/>
          <w:szCs w:val="24"/>
          <w:lang w:eastAsia="es-SV"/>
        </w:rPr>
        <w:t>, nombrado por el ministro de Hacienda.</w:t>
      </w:r>
    </w:p>
    <w:p w14:paraId="2A830EAA" w14:textId="77777777" w:rsidR="00DF6BAB" w:rsidRPr="0013168C" w:rsidRDefault="00DF6BAB" w:rsidP="00DF6BAB">
      <w:pPr>
        <w:shd w:val="clear" w:color="auto" w:fill="FFFFFF"/>
        <w:spacing w:after="0" w:line="240" w:lineRule="auto"/>
        <w:ind w:left="426"/>
        <w:rPr>
          <w:rFonts w:ascii="Arial" w:eastAsia="Times New Roman" w:hAnsi="Arial" w:cs="Arial"/>
          <w:sz w:val="24"/>
          <w:szCs w:val="24"/>
          <w:lang w:eastAsia="es-SV"/>
        </w:rPr>
      </w:pPr>
      <w:r w:rsidRPr="0013168C">
        <w:rPr>
          <w:rFonts w:ascii="Arial" w:eastAsia="Times New Roman" w:hAnsi="Arial" w:cs="Arial"/>
          <w:sz w:val="24"/>
          <w:szCs w:val="24"/>
          <w:lang w:eastAsia="es-SV"/>
        </w:rPr>
        <w:t xml:space="preserve">- </w:t>
      </w:r>
      <w:proofErr w:type="gramStart"/>
      <w:r w:rsidRPr="0013168C">
        <w:rPr>
          <w:rFonts w:ascii="Arial" w:eastAsia="Times New Roman" w:hAnsi="Arial" w:cs="Arial"/>
          <w:sz w:val="24"/>
          <w:szCs w:val="24"/>
          <w:lang w:eastAsia="es-SV"/>
        </w:rPr>
        <w:t>Director</w:t>
      </w:r>
      <w:proofErr w:type="gramEnd"/>
      <w:r w:rsidRPr="0013168C">
        <w:rPr>
          <w:rFonts w:ascii="Arial" w:eastAsia="Times New Roman" w:hAnsi="Arial" w:cs="Arial"/>
          <w:sz w:val="24"/>
          <w:szCs w:val="24"/>
          <w:lang w:eastAsia="es-SV"/>
        </w:rPr>
        <w:t xml:space="preserve"> nombrado por las gremiales de la empresa privada.</w:t>
      </w:r>
    </w:p>
    <w:p w14:paraId="00D668A0" w14:textId="77777777" w:rsidR="00DF6BAB" w:rsidRPr="0013168C" w:rsidRDefault="00DF6BAB" w:rsidP="00DF6BAB">
      <w:pPr>
        <w:shd w:val="clear" w:color="auto" w:fill="FFFFFF"/>
        <w:spacing w:after="0" w:line="240" w:lineRule="auto"/>
        <w:ind w:left="426"/>
        <w:rPr>
          <w:rFonts w:ascii="Arial" w:eastAsia="Times New Roman" w:hAnsi="Arial" w:cs="Arial"/>
          <w:sz w:val="24"/>
          <w:szCs w:val="24"/>
          <w:lang w:eastAsia="es-SV"/>
        </w:rPr>
      </w:pPr>
      <w:r w:rsidRPr="0013168C">
        <w:rPr>
          <w:rFonts w:ascii="Arial" w:eastAsia="Times New Roman" w:hAnsi="Arial" w:cs="Arial"/>
          <w:sz w:val="24"/>
          <w:szCs w:val="24"/>
          <w:lang w:eastAsia="es-SV"/>
        </w:rPr>
        <w:t xml:space="preserve">- </w:t>
      </w:r>
      <w:proofErr w:type="gramStart"/>
      <w:r w:rsidRPr="0013168C">
        <w:rPr>
          <w:rFonts w:ascii="Arial" w:eastAsia="Times New Roman" w:hAnsi="Arial" w:cs="Arial"/>
          <w:sz w:val="24"/>
          <w:szCs w:val="24"/>
          <w:lang w:eastAsia="es-SV"/>
        </w:rPr>
        <w:t>Director</w:t>
      </w:r>
      <w:proofErr w:type="gramEnd"/>
      <w:r w:rsidRPr="0013168C">
        <w:rPr>
          <w:rFonts w:ascii="Arial" w:eastAsia="Times New Roman" w:hAnsi="Arial" w:cs="Arial"/>
          <w:sz w:val="24"/>
          <w:szCs w:val="24"/>
          <w:lang w:eastAsia="es-SV"/>
        </w:rPr>
        <w:t xml:space="preserve"> nombrado por la Superintendencia del </w:t>
      </w:r>
      <w:proofErr w:type="spellStart"/>
      <w:r w:rsidRPr="0013168C">
        <w:rPr>
          <w:rFonts w:ascii="Arial" w:eastAsia="Times New Roman" w:hAnsi="Arial" w:cs="Arial"/>
          <w:sz w:val="24"/>
          <w:szCs w:val="24"/>
          <w:lang w:eastAsia="es-SV"/>
        </w:rPr>
        <w:t>Sist</w:t>
      </w:r>
      <w:proofErr w:type="spellEnd"/>
      <w:r w:rsidRPr="0013168C">
        <w:rPr>
          <w:rFonts w:ascii="Arial" w:eastAsia="Times New Roman" w:hAnsi="Arial" w:cs="Arial"/>
          <w:sz w:val="24"/>
          <w:szCs w:val="24"/>
          <w:lang w:eastAsia="es-SV"/>
        </w:rPr>
        <w:t xml:space="preserve"> Financiero</w:t>
      </w:r>
    </w:p>
    <w:p w14:paraId="3C7885F0" w14:textId="77777777" w:rsidR="00DF6BAB" w:rsidRPr="0013168C" w:rsidRDefault="00DF6BAB" w:rsidP="00DF6BAB">
      <w:pPr>
        <w:shd w:val="clear" w:color="auto" w:fill="FFFFFF"/>
        <w:spacing w:after="0" w:line="240" w:lineRule="auto"/>
        <w:ind w:left="426"/>
        <w:rPr>
          <w:rFonts w:ascii="Arial" w:eastAsia="Times New Roman" w:hAnsi="Arial" w:cs="Arial"/>
          <w:sz w:val="24"/>
          <w:szCs w:val="24"/>
          <w:lang w:eastAsia="es-SV"/>
        </w:rPr>
      </w:pPr>
      <w:r w:rsidRPr="0013168C">
        <w:rPr>
          <w:rFonts w:ascii="Arial" w:eastAsia="Times New Roman" w:hAnsi="Arial" w:cs="Arial"/>
          <w:sz w:val="24"/>
          <w:szCs w:val="24"/>
          <w:lang w:eastAsia="es-SV"/>
        </w:rPr>
        <w:t xml:space="preserve">- </w:t>
      </w:r>
      <w:proofErr w:type="gramStart"/>
      <w:r w:rsidRPr="0013168C">
        <w:rPr>
          <w:rFonts w:ascii="Arial" w:eastAsia="Times New Roman" w:hAnsi="Arial" w:cs="Arial"/>
          <w:sz w:val="24"/>
          <w:szCs w:val="24"/>
          <w:lang w:eastAsia="es-SV"/>
        </w:rPr>
        <w:t>Directores</w:t>
      </w:r>
      <w:proofErr w:type="gramEnd"/>
      <w:r w:rsidRPr="0013168C">
        <w:rPr>
          <w:rFonts w:ascii="Arial" w:eastAsia="Times New Roman" w:hAnsi="Arial" w:cs="Arial"/>
          <w:sz w:val="24"/>
          <w:szCs w:val="24"/>
          <w:lang w:eastAsia="es-SV"/>
        </w:rPr>
        <w:t xml:space="preserve"> (2) nombrado por las Asociaciones gremiales</w:t>
      </w:r>
    </w:p>
    <w:p w14:paraId="76B70A6C" w14:textId="77777777" w:rsidR="00DF6BAB" w:rsidRPr="002810FC" w:rsidRDefault="00DF6BAB" w:rsidP="00DF6BAB">
      <w:pPr>
        <w:shd w:val="clear" w:color="auto" w:fill="FFFFFF"/>
        <w:spacing w:after="0" w:line="240" w:lineRule="auto"/>
        <w:ind w:left="142" w:firstLine="284"/>
        <w:rPr>
          <w:rFonts w:ascii="Arial" w:eastAsia="Times New Roman" w:hAnsi="Arial" w:cs="Arial"/>
          <w:sz w:val="24"/>
          <w:szCs w:val="24"/>
          <w:lang w:eastAsia="es-SV"/>
        </w:rPr>
      </w:pPr>
      <w:r w:rsidRPr="002810FC">
        <w:rPr>
          <w:rFonts w:ascii="Arial" w:eastAsia="Times New Roman" w:hAnsi="Arial" w:cs="Arial"/>
          <w:sz w:val="24"/>
          <w:szCs w:val="24"/>
          <w:lang w:eastAsia="es-SV"/>
        </w:rPr>
        <w:br/>
        <w:t>2. Actas del Consejo del año 2020 a la fecha</w:t>
      </w:r>
    </w:p>
    <w:p w14:paraId="6717CC6A" w14:textId="77777777" w:rsidR="00DF6BAB" w:rsidRPr="002810FC" w:rsidRDefault="00DF6BAB" w:rsidP="00DF6BAB">
      <w:pPr>
        <w:shd w:val="clear" w:color="auto" w:fill="FFFFFF"/>
        <w:spacing w:after="0" w:line="240" w:lineRule="auto"/>
        <w:ind w:left="426"/>
        <w:rPr>
          <w:rFonts w:ascii="Arial" w:eastAsia="Times New Roman" w:hAnsi="Arial" w:cs="Arial"/>
          <w:sz w:val="24"/>
          <w:szCs w:val="24"/>
          <w:lang w:eastAsia="es-SV"/>
        </w:rPr>
      </w:pPr>
    </w:p>
    <w:p w14:paraId="1709F007" w14:textId="77777777" w:rsidR="00DF6BAB" w:rsidRPr="002810FC" w:rsidRDefault="00DF6BAB" w:rsidP="00DF6BAB">
      <w:pPr>
        <w:shd w:val="clear" w:color="auto" w:fill="FFFFFF"/>
        <w:spacing w:after="0" w:line="240" w:lineRule="auto"/>
        <w:ind w:left="426" w:hanging="284"/>
        <w:rPr>
          <w:rFonts w:ascii="Arial" w:eastAsia="Times New Roman" w:hAnsi="Arial" w:cs="Arial"/>
          <w:sz w:val="24"/>
          <w:szCs w:val="24"/>
          <w:lang w:eastAsia="es-SV"/>
        </w:rPr>
      </w:pPr>
      <w:r w:rsidRPr="002810FC">
        <w:rPr>
          <w:rFonts w:ascii="Arial" w:eastAsia="Times New Roman" w:hAnsi="Arial" w:cs="Arial"/>
          <w:sz w:val="24"/>
          <w:szCs w:val="24"/>
          <w:lang w:eastAsia="es-SV"/>
        </w:rPr>
        <w:t>3.  Convenios con la IFAC</w:t>
      </w:r>
      <w:r>
        <w:rPr>
          <w:rFonts w:ascii="Arial" w:eastAsia="Times New Roman" w:hAnsi="Arial" w:cs="Arial"/>
          <w:sz w:val="24"/>
          <w:szCs w:val="24"/>
          <w:lang w:eastAsia="es-SV"/>
        </w:rPr>
        <w:t>…”</w:t>
      </w:r>
    </w:p>
    <w:p w14:paraId="14C84028" w14:textId="6151E831" w:rsidR="00A46BB7" w:rsidRDefault="00A46BB7"/>
    <w:p w14:paraId="36EBA72B" w14:textId="77777777" w:rsidR="00DF6BAB" w:rsidRPr="007A6B3B" w:rsidRDefault="00DF6BAB" w:rsidP="00DF6BAB">
      <w:pPr>
        <w:numPr>
          <w:ilvl w:val="0"/>
          <w:numId w:val="1"/>
        </w:numPr>
        <w:spacing w:after="200" w:line="240" w:lineRule="auto"/>
        <w:ind w:right="255"/>
        <w:jc w:val="both"/>
        <w:rPr>
          <w:rFonts w:ascii="Arial" w:hAnsi="Arial" w:cs="Arial"/>
          <w:color w:val="000000"/>
          <w:sz w:val="24"/>
          <w:szCs w:val="24"/>
          <w:lang w:val="es-ES"/>
        </w:rPr>
      </w:pPr>
      <w:r>
        <w:rPr>
          <w:rFonts w:ascii="Arial" w:hAnsi="Arial" w:cs="Arial"/>
          <w:sz w:val="24"/>
          <w:szCs w:val="24"/>
        </w:rPr>
        <w:t>La primera solicitud</w:t>
      </w:r>
      <w:r w:rsidRPr="00B566E4">
        <w:rPr>
          <w:rFonts w:ascii="Arial" w:hAnsi="Arial" w:cs="Arial"/>
          <w:sz w:val="24"/>
          <w:szCs w:val="24"/>
        </w:rPr>
        <w:t>:</w:t>
      </w:r>
    </w:p>
    <w:p w14:paraId="0978DBF0" w14:textId="77777777" w:rsidR="00DF6BAB" w:rsidRDefault="00DF6BAB" w:rsidP="00DF6BAB">
      <w:pPr>
        <w:spacing w:line="240" w:lineRule="auto"/>
        <w:ind w:left="720" w:right="255"/>
        <w:jc w:val="both"/>
        <w:rPr>
          <w:rFonts w:ascii="Arial" w:hAnsi="Arial" w:cs="Arial"/>
          <w:color w:val="000000"/>
          <w:sz w:val="24"/>
          <w:szCs w:val="24"/>
          <w:lang w:val="es-ES"/>
        </w:rPr>
      </w:pPr>
      <w:r>
        <w:rPr>
          <w:rFonts w:ascii="Arial" w:hAnsi="Arial" w:cs="Arial"/>
          <w:sz w:val="24"/>
          <w:szCs w:val="24"/>
        </w:rPr>
        <w:t>Se declara inadmisibles la solicitud, en cuanto a que la información solicitada es de carácter público al estar disponible en portal de trasparencia del CVPCPA (</w:t>
      </w:r>
      <w:hyperlink r:id="rId7" w:history="1">
        <w:r w:rsidRPr="00BB7EFE">
          <w:rPr>
            <w:rStyle w:val="Hipervnculo"/>
            <w:rFonts w:ascii="Arial" w:hAnsi="Arial" w:cs="Arial"/>
            <w:sz w:val="24"/>
            <w:szCs w:val="24"/>
          </w:rPr>
          <w:t>https://www.transparencia.gob.sv/institutions/cvpcpa/officials</w:t>
        </w:r>
      </w:hyperlink>
      <w:r>
        <w:rPr>
          <w:rFonts w:ascii="Arial" w:hAnsi="Arial" w:cs="Arial"/>
          <w:sz w:val="24"/>
          <w:szCs w:val="24"/>
        </w:rPr>
        <w:t xml:space="preserve">) de conformidad a las disposiciones del artículo 14 del Lineamiento para la recepción, tramitación, resolución, y notificación de solicitudes de acceso a la información. </w:t>
      </w:r>
    </w:p>
    <w:p w14:paraId="7C9A4C51" w14:textId="77777777" w:rsidR="00DF6BAB" w:rsidRPr="004876C8" w:rsidRDefault="00DF6BAB" w:rsidP="00DF6BAB">
      <w:pPr>
        <w:numPr>
          <w:ilvl w:val="0"/>
          <w:numId w:val="1"/>
        </w:numPr>
        <w:spacing w:after="200" w:line="240" w:lineRule="auto"/>
        <w:ind w:right="255"/>
        <w:jc w:val="both"/>
        <w:rPr>
          <w:rFonts w:ascii="Arial" w:hAnsi="Arial" w:cs="Arial"/>
          <w:color w:val="000000"/>
          <w:sz w:val="24"/>
          <w:szCs w:val="24"/>
          <w:lang w:val="es-ES"/>
        </w:rPr>
      </w:pPr>
      <w:r w:rsidRPr="004876C8">
        <w:rPr>
          <w:rFonts w:ascii="Arial" w:hAnsi="Arial" w:cs="Arial"/>
          <w:sz w:val="24"/>
          <w:szCs w:val="24"/>
        </w:rPr>
        <w:t>En cuanto a la segunda solicitud:</w:t>
      </w:r>
    </w:p>
    <w:p w14:paraId="466EC03A" w14:textId="77777777" w:rsidR="00DF6BAB" w:rsidRPr="00FA4EA1" w:rsidRDefault="00DF6BAB" w:rsidP="00DF6BAB">
      <w:pPr>
        <w:autoSpaceDE w:val="0"/>
        <w:autoSpaceDN w:val="0"/>
        <w:adjustRightInd w:val="0"/>
        <w:spacing w:after="0" w:line="240" w:lineRule="auto"/>
        <w:ind w:left="709"/>
        <w:jc w:val="both"/>
        <w:rPr>
          <w:rFonts w:ascii="Arial" w:hAnsi="Arial" w:cs="Arial"/>
          <w:sz w:val="24"/>
          <w:szCs w:val="24"/>
          <w:lang w:eastAsia="es-SV"/>
        </w:rPr>
      </w:pPr>
      <w:r>
        <w:rPr>
          <w:rFonts w:ascii="Arial" w:hAnsi="Arial" w:cs="Arial"/>
          <w:sz w:val="24"/>
          <w:szCs w:val="24"/>
        </w:rPr>
        <w:t>Al igual que la primera se declara inadmisible la solicitud, ya que las actas de Consejo 2020 ya están publicadas en el portal de trasparencia del CVPCPA y la información solicitada es de carácter público (</w:t>
      </w:r>
      <w:hyperlink r:id="rId8" w:history="1">
        <w:r w:rsidRPr="00BB7EFE">
          <w:rPr>
            <w:rStyle w:val="Hipervnculo"/>
            <w:rFonts w:ascii="Arial" w:hAnsi="Arial" w:cs="Arial"/>
            <w:sz w:val="24"/>
            <w:szCs w:val="24"/>
          </w:rPr>
          <w:t>https://www.transparencia.gob.sv/institutions/cvpcpa/documents/actas-de-consejo</w:t>
        </w:r>
      </w:hyperlink>
      <w:r>
        <w:rPr>
          <w:rFonts w:ascii="Arial" w:hAnsi="Arial" w:cs="Arial"/>
          <w:sz w:val="24"/>
          <w:szCs w:val="24"/>
        </w:rPr>
        <w:t>) para las actas de 2021, con base al Art. 71 de la LAIP “</w:t>
      </w:r>
      <w:r w:rsidRPr="00FA4EA1">
        <w:rPr>
          <w:rFonts w:ascii="Arial" w:hAnsi="Arial" w:cs="Arial"/>
          <w:sz w:val="24"/>
          <w:szCs w:val="24"/>
          <w:lang w:eastAsia="es-SV"/>
        </w:rPr>
        <w:t>En caso de que no pueda entregarse la información en tiempo, por la complejidad de la información</w:t>
      </w:r>
      <w:r>
        <w:rPr>
          <w:rFonts w:ascii="Arial" w:hAnsi="Arial" w:cs="Arial"/>
          <w:sz w:val="24"/>
          <w:szCs w:val="24"/>
          <w:lang w:eastAsia="es-SV"/>
        </w:rPr>
        <w:t xml:space="preserve"> </w:t>
      </w:r>
      <w:r w:rsidRPr="00FA4EA1">
        <w:rPr>
          <w:rFonts w:ascii="Arial" w:hAnsi="Arial" w:cs="Arial"/>
          <w:sz w:val="24"/>
          <w:szCs w:val="24"/>
          <w:lang w:eastAsia="es-SV"/>
        </w:rPr>
        <w:t>u otras circunstancias excepcionales, por resolución motivada podrá disponerse de un plazo adicional de</w:t>
      </w:r>
      <w:r>
        <w:rPr>
          <w:rFonts w:ascii="Arial" w:hAnsi="Arial" w:cs="Arial"/>
          <w:sz w:val="24"/>
          <w:szCs w:val="24"/>
          <w:lang w:eastAsia="es-SV"/>
        </w:rPr>
        <w:t xml:space="preserve"> </w:t>
      </w:r>
      <w:r w:rsidRPr="00FA4EA1">
        <w:rPr>
          <w:rFonts w:ascii="Arial" w:hAnsi="Arial" w:cs="Arial"/>
          <w:sz w:val="24"/>
          <w:szCs w:val="24"/>
          <w:lang w:eastAsia="es-SV"/>
        </w:rPr>
        <w:t>cinco días hábiles.</w:t>
      </w:r>
    </w:p>
    <w:p w14:paraId="21D15434" w14:textId="77777777" w:rsidR="00DF6BAB" w:rsidRPr="00FA4EA1" w:rsidRDefault="00DF6BAB" w:rsidP="00DF6BAB">
      <w:pPr>
        <w:autoSpaceDE w:val="0"/>
        <w:autoSpaceDN w:val="0"/>
        <w:adjustRightInd w:val="0"/>
        <w:spacing w:after="0" w:line="240" w:lineRule="auto"/>
        <w:ind w:left="709"/>
        <w:jc w:val="both"/>
        <w:rPr>
          <w:rFonts w:ascii="Arial" w:hAnsi="Arial" w:cs="Arial"/>
          <w:sz w:val="24"/>
          <w:szCs w:val="24"/>
          <w:lang w:eastAsia="es-SV"/>
        </w:rPr>
      </w:pPr>
      <w:r w:rsidRPr="00FA4EA1">
        <w:rPr>
          <w:rFonts w:ascii="Arial" w:hAnsi="Arial" w:cs="Arial"/>
          <w:sz w:val="24"/>
          <w:szCs w:val="24"/>
          <w:lang w:eastAsia="es-SV"/>
        </w:rPr>
        <w:t>El oficial de información precisará el costo y la modalidad en que será entregada la información,</w:t>
      </w:r>
      <w:r>
        <w:rPr>
          <w:rFonts w:ascii="Arial" w:hAnsi="Arial" w:cs="Arial"/>
          <w:sz w:val="24"/>
          <w:szCs w:val="24"/>
          <w:lang w:eastAsia="es-SV"/>
        </w:rPr>
        <w:t xml:space="preserve"> </w:t>
      </w:r>
      <w:r w:rsidRPr="00FA4EA1">
        <w:rPr>
          <w:rFonts w:ascii="Arial" w:hAnsi="Arial" w:cs="Arial"/>
          <w:sz w:val="24"/>
          <w:szCs w:val="24"/>
          <w:lang w:eastAsia="es-SV"/>
        </w:rPr>
        <w:t>atendiendo en la medida de lo posible a los términos de la solicitud.”</w:t>
      </w:r>
      <w:r w:rsidRPr="00FA4EA1">
        <w:rPr>
          <w:rFonts w:ascii="Arial" w:hAnsi="Arial" w:cs="Arial"/>
          <w:sz w:val="24"/>
          <w:szCs w:val="24"/>
        </w:rPr>
        <w:t xml:space="preserve"> </w:t>
      </w:r>
    </w:p>
    <w:p w14:paraId="76980E47" w14:textId="77777777" w:rsidR="00DF6BAB" w:rsidRDefault="00DF6BAB" w:rsidP="00DF6BAB">
      <w:pPr>
        <w:spacing w:line="240" w:lineRule="auto"/>
        <w:ind w:left="709" w:right="255"/>
        <w:jc w:val="both"/>
        <w:rPr>
          <w:rFonts w:ascii="Arial" w:hAnsi="Arial" w:cs="Arial"/>
          <w:color w:val="000000"/>
          <w:sz w:val="24"/>
          <w:szCs w:val="24"/>
          <w:lang w:val="es-ES"/>
        </w:rPr>
      </w:pPr>
      <w:r>
        <w:rPr>
          <w:rFonts w:ascii="Arial" w:hAnsi="Arial" w:cs="Arial"/>
          <w:sz w:val="24"/>
          <w:szCs w:val="24"/>
        </w:rPr>
        <w:t xml:space="preserve">Por lo cual se prorroga el plazo </w:t>
      </w:r>
      <w:proofErr w:type="gramStart"/>
      <w:r>
        <w:rPr>
          <w:rFonts w:ascii="Arial" w:hAnsi="Arial" w:cs="Arial"/>
          <w:sz w:val="24"/>
          <w:szCs w:val="24"/>
        </w:rPr>
        <w:t>a  5</w:t>
      </w:r>
      <w:proofErr w:type="gramEnd"/>
      <w:r>
        <w:rPr>
          <w:rFonts w:ascii="Arial" w:hAnsi="Arial" w:cs="Arial"/>
          <w:sz w:val="24"/>
          <w:szCs w:val="24"/>
        </w:rPr>
        <w:t xml:space="preserve"> </w:t>
      </w:r>
      <w:proofErr w:type="spellStart"/>
      <w:r>
        <w:rPr>
          <w:rFonts w:ascii="Arial" w:hAnsi="Arial" w:cs="Arial"/>
          <w:sz w:val="24"/>
          <w:szCs w:val="24"/>
        </w:rPr>
        <w:t>dias</w:t>
      </w:r>
      <w:proofErr w:type="spellEnd"/>
      <w:r>
        <w:rPr>
          <w:rFonts w:ascii="Arial" w:hAnsi="Arial" w:cs="Arial"/>
          <w:sz w:val="24"/>
          <w:szCs w:val="24"/>
        </w:rPr>
        <w:t xml:space="preserve"> hábiles la entrega de las actas 2021.</w:t>
      </w:r>
    </w:p>
    <w:p w14:paraId="4268AD42" w14:textId="77777777" w:rsidR="00DF6BAB" w:rsidRPr="0013168C" w:rsidRDefault="00DF6BAB" w:rsidP="00DF6BAB">
      <w:pPr>
        <w:spacing w:line="240" w:lineRule="auto"/>
        <w:ind w:left="709" w:right="255"/>
        <w:jc w:val="both"/>
        <w:rPr>
          <w:rFonts w:ascii="Arial" w:hAnsi="Arial" w:cs="Arial"/>
          <w:sz w:val="24"/>
          <w:szCs w:val="24"/>
        </w:rPr>
      </w:pPr>
      <w:r>
        <w:rPr>
          <w:rFonts w:ascii="Arial" w:hAnsi="Arial" w:cs="Arial"/>
          <w:color w:val="000000"/>
          <w:sz w:val="24"/>
          <w:szCs w:val="24"/>
          <w:lang w:val="es-ES"/>
        </w:rPr>
        <w:t xml:space="preserve">Para el caso de las actas 01 y 02/2021 de Consejo Directivo se informa que ya las puede encontrar en el portal de transparencia en el siguiente enlace: </w:t>
      </w:r>
      <w:r w:rsidRPr="00A35AE0">
        <w:rPr>
          <w:rFonts w:ascii="Arial" w:hAnsi="Arial" w:cs="Arial"/>
          <w:color w:val="000000"/>
          <w:sz w:val="24"/>
          <w:szCs w:val="24"/>
          <w:lang w:val="es-ES"/>
        </w:rPr>
        <w:t>(</w:t>
      </w:r>
      <w:hyperlink r:id="rId9" w:history="1">
        <w:r w:rsidRPr="00A35AE0">
          <w:rPr>
            <w:rStyle w:val="Hipervnculo"/>
            <w:rFonts w:ascii="Arial" w:hAnsi="Arial" w:cs="Arial"/>
            <w:sz w:val="24"/>
            <w:szCs w:val="24"/>
            <w:lang w:val="es-ES"/>
          </w:rPr>
          <w:t>htps://www.transparencia.gob.sv/institutions/cvpcpa/documents/actas-de-consejo</w:t>
        </w:r>
      </w:hyperlink>
      <w:r w:rsidRPr="00A35AE0">
        <w:rPr>
          <w:rFonts w:ascii="Arial" w:hAnsi="Arial" w:cs="Arial"/>
          <w:color w:val="000000"/>
          <w:sz w:val="24"/>
          <w:szCs w:val="24"/>
          <w:lang w:val="es-ES"/>
        </w:rPr>
        <w:t>)</w:t>
      </w:r>
    </w:p>
    <w:p w14:paraId="44CB935E" w14:textId="77777777" w:rsidR="00DF6BAB" w:rsidRPr="00D1381E" w:rsidRDefault="00DF6BAB" w:rsidP="00DF6BAB">
      <w:pPr>
        <w:numPr>
          <w:ilvl w:val="0"/>
          <w:numId w:val="1"/>
        </w:numPr>
        <w:spacing w:after="200" w:line="240" w:lineRule="auto"/>
        <w:ind w:right="255"/>
        <w:jc w:val="both"/>
        <w:rPr>
          <w:rFonts w:ascii="Arial" w:hAnsi="Arial" w:cs="Arial"/>
          <w:color w:val="000000"/>
          <w:sz w:val="24"/>
          <w:szCs w:val="24"/>
          <w:lang w:val="es-ES"/>
        </w:rPr>
      </w:pPr>
      <w:r>
        <w:rPr>
          <w:rFonts w:ascii="Arial" w:hAnsi="Arial" w:cs="Arial"/>
          <w:color w:val="000000"/>
          <w:sz w:val="24"/>
          <w:szCs w:val="24"/>
          <w:lang w:val="es-ES"/>
        </w:rPr>
        <w:t>Para la tercera solicitud.</w:t>
      </w:r>
    </w:p>
    <w:p w14:paraId="50E1678C" w14:textId="77777777" w:rsidR="00DF6BAB" w:rsidRPr="003E737C" w:rsidRDefault="00DF6BAB" w:rsidP="00DF6BAB">
      <w:pPr>
        <w:ind w:left="720"/>
        <w:jc w:val="both"/>
        <w:rPr>
          <w:rFonts w:ascii="Arial" w:hAnsi="Arial" w:cs="Arial"/>
          <w:sz w:val="24"/>
          <w:szCs w:val="24"/>
        </w:rPr>
      </w:pPr>
      <w:r w:rsidRPr="003E737C">
        <w:rPr>
          <w:rFonts w:ascii="Arial" w:hAnsi="Arial" w:cs="Arial"/>
          <w:sz w:val="24"/>
          <w:szCs w:val="24"/>
        </w:rPr>
        <w:lastRenderedPageBreak/>
        <w:t xml:space="preserve">Los artículos 443 y 444 del Código de Comercio en los cuales se define que los criterios de estimación para estados financieros serán los dictados por el Consejo de Vigilancia de la Profesión de Contaduría Pública y Auditoría y en su defecto por las Normas Internacionales de Contabilidad.   </w:t>
      </w:r>
    </w:p>
    <w:p w14:paraId="724E3D00" w14:textId="77777777" w:rsidR="00DF6BAB" w:rsidRPr="003E737C" w:rsidRDefault="00DF6BAB" w:rsidP="00DF6BAB">
      <w:pPr>
        <w:ind w:left="720"/>
        <w:jc w:val="both"/>
        <w:rPr>
          <w:rFonts w:ascii="Arial" w:hAnsi="Arial" w:cs="Arial"/>
          <w:sz w:val="24"/>
          <w:szCs w:val="24"/>
        </w:rPr>
      </w:pPr>
      <w:r w:rsidRPr="003E737C">
        <w:rPr>
          <w:rFonts w:ascii="Arial" w:hAnsi="Arial" w:cs="Arial"/>
          <w:sz w:val="24"/>
          <w:szCs w:val="24"/>
        </w:rPr>
        <w:t xml:space="preserve">Es atribución de este Consejo, de conformidad con el articulo 36 literal i) de la Ley Reguladora del Ejercicio de la Contaduría “Aprobar los principios de contabilidad y las </w:t>
      </w:r>
      <w:r>
        <w:rPr>
          <w:rFonts w:ascii="Arial" w:hAnsi="Arial" w:cs="Arial"/>
          <w:sz w:val="24"/>
          <w:szCs w:val="24"/>
        </w:rPr>
        <w:t>N</w:t>
      </w:r>
      <w:r w:rsidRPr="003E737C">
        <w:rPr>
          <w:rFonts w:ascii="Arial" w:hAnsi="Arial" w:cs="Arial"/>
          <w:sz w:val="24"/>
          <w:szCs w:val="24"/>
        </w:rPr>
        <w:t xml:space="preserve">ormas de </w:t>
      </w:r>
      <w:r>
        <w:rPr>
          <w:rFonts w:ascii="Arial" w:hAnsi="Arial" w:cs="Arial"/>
          <w:sz w:val="24"/>
          <w:szCs w:val="24"/>
        </w:rPr>
        <w:t>A</w:t>
      </w:r>
      <w:r w:rsidRPr="003E737C">
        <w:rPr>
          <w:rFonts w:ascii="Arial" w:hAnsi="Arial" w:cs="Arial"/>
          <w:sz w:val="24"/>
          <w:szCs w:val="24"/>
        </w:rPr>
        <w:t xml:space="preserve">uditoría </w:t>
      </w:r>
      <w:r>
        <w:rPr>
          <w:rFonts w:ascii="Arial" w:hAnsi="Arial" w:cs="Arial"/>
          <w:sz w:val="24"/>
          <w:szCs w:val="24"/>
        </w:rPr>
        <w:t>I</w:t>
      </w:r>
      <w:r w:rsidRPr="003E737C">
        <w:rPr>
          <w:rFonts w:ascii="Arial" w:hAnsi="Arial" w:cs="Arial"/>
          <w:sz w:val="24"/>
          <w:szCs w:val="24"/>
        </w:rPr>
        <w:t>nternacionalmente aceptados, inclusive financieros, cuando la Ley no haya dispuesto de manera expresa sobre ellas”</w:t>
      </w:r>
    </w:p>
    <w:p w14:paraId="3E870C5B" w14:textId="77777777" w:rsidR="00DF6BAB" w:rsidRPr="003E737C" w:rsidRDefault="00DF6BAB" w:rsidP="00DF6BAB">
      <w:pPr>
        <w:ind w:left="720"/>
        <w:rPr>
          <w:rFonts w:ascii="Arial" w:hAnsi="Arial" w:cs="Arial"/>
          <w:sz w:val="24"/>
          <w:szCs w:val="24"/>
        </w:rPr>
      </w:pPr>
      <w:r w:rsidRPr="003E737C">
        <w:rPr>
          <w:rFonts w:ascii="Arial" w:hAnsi="Arial" w:cs="Arial"/>
          <w:sz w:val="24"/>
          <w:szCs w:val="24"/>
        </w:rPr>
        <w:t xml:space="preserve">En </w:t>
      </w:r>
      <w:proofErr w:type="gramStart"/>
      <w:r w:rsidRPr="003E737C">
        <w:rPr>
          <w:rFonts w:ascii="Arial" w:hAnsi="Arial" w:cs="Arial"/>
          <w:sz w:val="24"/>
          <w:szCs w:val="24"/>
        </w:rPr>
        <w:t>consecuencia</w:t>
      </w:r>
      <w:proofErr w:type="gramEnd"/>
      <w:r w:rsidRPr="003E737C">
        <w:rPr>
          <w:rFonts w:ascii="Arial" w:hAnsi="Arial" w:cs="Arial"/>
          <w:sz w:val="24"/>
          <w:szCs w:val="24"/>
        </w:rPr>
        <w:t xml:space="preserve"> con lo anterior el Consejo </w:t>
      </w:r>
      <w:proofErr w:type="spellStart"/>
      <w:r w:rsidRPr="003E737C">
        <w:rPr>
          <w:rFonts w:ascii="Arial" w:hAnsi="Arial" w:cs="Arial"/>
          <w:sz w:val="24"/>
          <w:szCs w:val="24"/>
        </w:rPr>
        <w:t>a</w:t>
      </w:r>
      <w:proofErr w:type="spellEnd"/>
      <w:r w:rsidRPr="003E737C">
        <w:rPr>
          <w:rFonts w:ascii="Arial" w:hAnsi="Arial" w:cs="Arial"/>
          <w:sz w:val="24"/>
          <w:szCs w:val="24"/>
        </w:rPr>
        <w:t xml:space="preserve"> establecido como principales marcos normativos para El Salvador:</w:t>
      </w:r>
    </w:p>
    <w:p w14:paraId="5DF1D380" w14:textId="77777777" w:rsidR="00DF6BAB" w:rsidRPr="003E737C" w:rsidRDefault="00DF6BAB" w:rsidP="00DF6BAB">
      <w:pPr>
        <w:ind w:left="720"/>
        <w:rPr>
          <w:rFonts w:ascii="Arial" w:hAnsi="Arial" w:cs="Arial"/>
          <w:sz w:val="24"/>
          <w:szCs w:val="24"/>
        </w:rPr>
      </w:pPr>
      <w:r w:rsidRPr="003E737C">
        <w:rPr>
          <w:rFonts w:ascii="Arial" w:hAnsi="Arial" w:cs="Arial"/>
          <w:sz w:val="24"/>
          <w:szCs w:val="24"/>
        </w:rPr>
        <w:t>a. Para la Auditoría, las Normas Internacionales de Auditoría, emitidas por IFAC, según acuerdo de Consejo de sesión 2 de septiembre de 1999.</w:t>
      </w:r>
    </w:p>
    <w:p w14:paraId="214BCA8A" w14:textId="77777777" w:rsidR="00DF6BAB" w:rsidRPr="003E737C" w:rsidRDefault="00DF6BAB" w:rsidP="00DF6BAB">
      <w:pPr>
        <w:ind w:left="720"/>
        <w:rPr>
          <w:rFonts w:ascii="Arial" w:hAnsi="Arial" w:cs="Arial"/>
          <w:sz w:val="24"/>
          <w:szCs w:val="24"/>
        </w:rPr>
      </w:pPr>
      <w:r w:rsidRPr="003E737C">
        <w:rPr>
          <w:rFonts w:ascii="Arial" w:hAnsi="Arial" w:cs="Arial"/>
          <w:sz w:val="24"/>
          <w:szCs w:val="24"/>
        </w:rPr>
        <w:t xml:space="preserve">b. Para la Contabilidad, las Normas Internacionales de Información Financieras en sus versiones Completas y PYMES, emitidas por IFAC, según resolución </w:t>
      </w:r>
      <w:proofErr w:type="spellStart"/>
      <w:r w:rsidRPr="003E737C">
        <w:rPr>
          <w:rFonts w:ascii="Arial" w:hAnsi="Arial" w:cs="Arial"/>
          <w:sz w:val="24"/>
          <w:szCs w:val="24"/>
        </w:rPr>
        <w:t>N°</w:t>
      </w:r>
      <w:proofErr w:type="spellEnd"/>
      <w:r w:rsidRPr="003E737C">
        <w:rPr>
          <w:rFonts w:ascii="Arial" w:hAnsi="Arial" w:cs="Arial"/>
          <w:sz w:val="24"/>
          <w:szCs w:val="24"/>
        </w:rPr>
        <w:t xml:space="preserve"> 113 de año 2009 </w:t>
      </w:r>
    </w:p>
    <w:p w14:paraId="73A5DF54" w14:textId="77777777" w:rsidR="00DF6BAB" w:rsidRPr="003E737C" w:rsidRDefault="00DF6BAB" w:rsidP="00DF6BAB">
      <w:pPr>
        <w:ind w:left="720"/>
        <w:rPr>
          <w:rFonts w:ascii="Arial" w:hAnsi="Arial" w:cs="Arial"/>
          <w:sz w:val="24"/>
          <w:szCs w:val="24"/>
        </w:rPr>
      </w:pPr>
      <w:r w:rsidRPr="003E737C">
        <w:rPr>
          <w:rFonts w:ascii="Arial" w:hAnsi="Arial" w:cs="Arial"/>
          <w:sz w:val="24"/>
          <w:szCs w:val="24"/>
        </w:rPr>
        <w:t>c. Para la revisión de Control de Calidad de la práctica profesional las Normas Internacionales de Control de Calidad 1, emitidas por IFAC, con Resolución 16 de fecha diez de agosto de 2016</w:t>
      </w:r>
    </w:p>
    <w:p w14:paraId="3D75997E" w14:textId="77777777" w:rsidR="00DF6BAB" w:rsidRPr="003E737C" w:rsidRDefault="00DF6BAB" w:rsidP="00DF6BAB">
      <w:pPr>
        <w:ind w:left="720"/>
        <w:rPr>
          <w:rFonts w:ascii="Arial" w:hAnsi="Arial" w:cs="Arial"/>
          <w:sz w:val="24"/>
          <w:szCs w:val="24"/>
        </w:rPr>
      </w:pPr>
      <w:r w:rsidRPr="003E737C">
        <w:rPr>
          <w:rFonts w:ascii="Arial" w:hAnsi="Arial" w:cs="Arial"/>
          <w:sz w:val="24"/>
          <w:szCs w:val="24"/>
        </w:rPr>
        <w:t xml:space="preserve">c. Para temas y dilemas Éticos el Código de Ética para Profesionales de la Contabilidad, emitido por IFAC, con resolución </w:t>
      </w:r>
      <w:proofErr w:type="spellStart"/>
      <w:r w:rsidRPr="003E737C">
        <w:rPr>
          <w:rFonts w:ascii="Arial" w:hAnsi="Arial" w:cs="Arial"/>
          <w:sz w:val="24"/>
          <w:szCs w:val="24"/>
        </w:rPr>
        <w:t>N°</w:t>
      </w:r>
      <w:proofErr w:type="spellEnd"/>
      <w:r w:rsidRPr="003E737C">
        <w:rPr>
          <w:rFonts w:ascii="Arial" w:hAnsi="Arial" w:cs="Arial"/>
          <w:sz w:val="24"/>
          <w:szCs w:val="24"/>
        </w:rPr>
        <w:t xml:space="preserve"> 16 de fecha diecinueve de febrero de 2019.</w:t>
      </w:r>
    </w:p>
    <w:p w14:paraId="638E59E7" w14:textId="77777777" w:rsidR="00DF6BAB" w:rsidRPr="003E737C" w:rsidRDefault="00DF6BAB" w:rsidP="00DF6BAB">
      <w:pPr>
        <w:ind w:left="720"/>
        <w:rPr>
          <w:rFonts w:ascii="Arial" w:hAnsi="Arial" w:cs="Arial"/>
          <w:sz w:val="24"/>
          <w:szCs w:val="24"/>
        </w:rPr>
      </w:pPr>
      <w:r w:rsidRPr="003E737C">
        <w:rPr>
          <w:rFonts w:ascii="Arial" w:hAnsi="Arial" w:cs="Arial"/>
          <w:sz w:val="24"/>
          <w:szCs w:val="24"/>
        </w:rPr>
        <w:t>d. Para Educación Continuada adopción parcial a través de la Norma de Educación Continuada según resolución 328 de fecha trece de diciembre de dos mil diecinueve.</w:t>
      </w:r>
    </w:p>
    <w:p w14:paraId="53D4501B" w14:textId="77777777" w:rsidR="00A32673" w:rsidRDefault="00A32673" w:rsidP="00A32673"/>
    <w:p w14:paraId="6C9516F4" w14:textId="77777777" w:rsidR="00A32673" w:rsidRDefault="00A32673" w:rsidP="00A32673"/>
    <w:p w14:paraId="25698AA7" w14:textId="77777777" w:rsidR="00085927" w:rsidRDefault="00085927"/>
    <w:sectPr w:rsidR="00085927">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02DEB" w14:textId="77777777" w:rsidR="0068195E" w:rsidRDefault="0068195E" w:rsidP="00A32673">
      <w:pPr>
        <w:spacing w:after="0" w:line="240" w:lineRule="auto"/>
      </w:pPr>
      <w:r>
        <w:separator/>
      </w:r>
    </w:p>
  </w:endnote>
  <w:endnote w:type="continuationSeparator" w:id="0">
    <w:p w14:paraId="3E73F234" w14:textId="77777777" w:rsidR="0068195E" w:rsidRDefault="0068195E" w:rsidP="00A3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4E6B9" w14:textId="77777777" w:rsidR="0068195E" w:rsidRDefault="0068195E" w:rsidP="00A32673">
      <w:pPr>
        <w:spacing w:after="0" w:line="240" w:lineRule="auto"/>
      </w:pPr>
      <w:r>
        <w:separator/>
      </w:r>
    </w:p>
  </w:footnote>
  <w:footnote w:type="continuationSeparator" w:id="0">
    <w:p w14:paraId="396C26EE" w14:textId="77777777" w:rsidR="0068195E" w:rsidRDefault="0068195E" w:rsidP="00A32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F1C9F" w14:textId="27566256" w:rsidR="004715E5" w:rsidRDefault="004715E5">
    <w:pPr>
      <w:pStyle w:val="Encabezado"/>
    </w:pPr>
    <w:r>
      <w:rPr>
        <w:noProof/>
        <w:lang w:eastAsia="es-SV"/>
      </w:rPr>
      <w:drawing>
        <wp:anchor distT="0" distB="0" distL="114300" distR="114300" simplePos="0" relativeHeight="251659264" behindDoc="0" locked="0" layoutInCell="1" allowOverlap="1" wp14:anchorId="380737FD" wp14:editId="6EABE467">
          <wp:simplePos x="0" y="0"/>
          <wp:positionH relativeFrom="column">
            <wp:posOffset>-742950</wp:posOffset>
          </wp:positionH>
          <wp:positionV relativeFrom="paragraph">
            <wp:posOffset>-305435</wp:posOffset>
          </wp:positionV>
          <wp:extent cx="1744980" cy="723900"/>
          <wp:effectExtent l="0" t="0" r="7620" b="0"/>
          <wp:wrapTopAndBottom/>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icial_2019-2024-v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980"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F05865"/>
    <w:multiLevelType w:val="hybridMultilevel"/>
    <w:tmpl w:val="D9067B5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6A90D5F"/>
    <w:multiLevelType w:val="hybridMultilevel"/>
    <w:tmpl w:val="5A583E70"/>
    <w:lvl w:ilvl="0" w:tplc="2A9C2D7A">
      <w:start w:val="1"/>
      <w:numFmt w:val="upperRoman"/>
      <w:lvlText w:val="%1-"/>
      <w:lvlJc w:val="left"/>
      <w:pPr>
        <w:ind w:left="720" w:hanging="360"/>
      </w:pPr>
      <w:rPr>
        <w:rFonts w:hint="default"/>
        <w:lang w:val="es-S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96765B"/>
    <w:multiLevelType w:val="hybridMultilevel"/>
    <w:tmpl w:val="B67E8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B7"/>
    <w:rsid w:val="00085927"/>
    <w:rsid w:val="004715E5"/>
    <w:rsid w:val="0068195E"/>
    <w:rsid w:val="00A32673"/>
    <w:rsid w:val="00A46BB7"/>
    <w:rsid w:val="00A71A06"/>
    <w:rsid w:val="00DF6BAB"/>
    <w:rsid w:val="00E026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61B7"/>
  <w15:chartTrackingRefBased/>
  <w15:docId w15:val="{1F1B602E-99EF-4282-98F8-87E89837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46BB7"/>
    <w:rPr>
      <w:color w:val="0000FF"/>
      <w:u w:val="single"/>
    </w:rPr>
  </w:style>
  <w:style w:type="character" w:styleId="Mencinsinresolver">
    <w:name w:val="Unresolved Mention"/>
    <w:basedOn w:val="Fuentedeprrafopredeter"/>
    <w:uiPriority w:val="99"/>
    <w:semiHidden/>
    <w:unhideWhenUsed/>
    <w:rsid w:val="00085927"/>
    <w:rPr>
      <w:color w:val="605E5C"/>
      <w:shd w:val="clear" w:color="auto" w:fill="E1DFDD"/>
    </w:rPr>
  </w:style>
  <w:style w:type="paragraph" w:styleId="Encabezado">
    <w:name w:val="header"/>
    <w:basedOn w:val="Normal"/>
    <w:link w:val="EncabezadoCar"/>
    <w:uiPriority w:val="99"/>
    <w:unhideWhenUsed/>
    <w:rsid w:val="00A326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2673"/>
  </w:style>
  <w:style w:type="paragraph" w:styleId="Piedepgina">
    <w:name w:val="footer"/>
    <w:basedOn w:val="Normal"/>
    <w:link w:val="PiedepginaCar"/>
    <w:uiPriority w:val="99"/>
    <w:unhideWhenUsed/>
    <w:rsid w:val="00A326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2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cvpcpa/documents/actas-de-consejo" TargetMode="External"/><Relationship Id="rId3" Type="http://schemas.openxmlformats.org/officeDocument/2006/relationships/settings" Target="settings.xml"/><Relationship Id="rId7" Type="http://schemas.openxmlformats.org/officeDocument/2006/relationships/hyperlink" Target="https://www.transparencia.gob.sv/institutions/cvpcpa/officia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ansparencia.gob.sv/institutions/cvpcpa/documents/actas-de-consej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15645</dc:creator>
  <cp:keywords/>
  <dc:description/>
  <cp:lastModifiedBy>15645</cp:lastModifiedBy>
  <cp:revision>2</cp:revision>
  <dcterms:created xsi:type="dcterms:W3CDTF">2021-05-04T20:02:00Z</dcterms:created>
  <dcterms:modified xsi:type="dcterms:W3CDTF">2021-05-04T20:02:00Z</dcterms:modified>
</cp:coreProperties>
</file>