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59" w:rsidRDefault="00A36F59" w:rsidP="00A36F59">
      <w:pPr>
        <w:pStyle w:val="Puesto"/>
        <w:rPr>
          <w:sz w:val="72"/>
          <w:szCs w:val="72"/>
        </w:rPr>
      </w:pPr>
      <w:bookmarkStart w:id="0" w:name="_GoBack"/>
      <w:bookmarkEnd w:id="0"/>
    </w:p>
    <w:p w:rsidR="00A36F59" w:rsidRDefault="00A36F59" w:rsidP="00A36F59">
      <w:pPr>
        <w:pStyle w:val="Puesto"/>
        <w:rPr>
          <w:sz w:val="72"/>
          <w:szCs w:val="72"/>
        </w:rPr>
      </w:pPr>
    </w:p>
    <w:p w:rsidR="00A36F59" w:rsidRDefault="00A36F59" w:rsidP="00A36F59">
      <w:pPr>
        <w:pStyle w:val="Puesto"/>
        <w:rPr>
          <w:sz w:val="72"/>
          <w:szCs w:val="72"/>
        </w:rPr>
      </w:pPr>
    </w:p>
    <w:p w:rsidR="00A36F59" w:rsidRPr="00A36F59" w:rsidRDefault="00A36F59" w:rsidP="00A36F59">
      <w:pPr>
        <w:pStyle w:val="Puesto"/>
        <w:jc w:val="center"/>
        <w:rPr>
          <w:rFonts w:ascii="Britannic Bold" w:hAnsi="Britannic Bold"/>
          <w:color w:val="31849B" w:themeColor="accent5" w:themeShade="BF"/>
          <w:sz w:val="72"/>
          <w:szCs w:val="72"/>
        </w:rPr>
      </w:pPr>
      <w:r w:rsidRPr="00A36F59">
        <w:rPr>
          <w:rFonts w:ascii="Britannic Bold" w:hAnsi="Britannic Bold"/>
          <w:color w:val="31849B" w:themeColor="accent5" w:themeShade="BF"/>
          <w:sz w:val="72"/>
          <w:szCs w:val="72"/>
        </w:rPr>
        <w:t>GUIA DE LA ORGANIZACIÓN DE ARCHIVOS DEL CONSEJO SUPERIOR DE SALUD PÚBLICA.</w:t>
      </w:r>
    </w:p>
    <w:p w:rsidR="00A36F59" w:rsidRPr="00275C28" w:rsidRDefault="00A36F59" w:rsidP="00A36F59"/>
    <w:p w:rsidR="00A36F59" w:rsidRDefault="00A36F59" w:rsidP="00A36F59">
      <w:pPr>
        <w:rPr>
          <w:b/>
          <w:bCs/>
          <w:sz w:val="52"/>
          <w:szCs w:val="52"/>
        </w:rPr>
      </w:pPr>
    </w:p>
    <w:p w:rsidR="00A36F59" w:rsidRDefault="00A36F59" w:rsidP="00A36F59">
      <w:pPr>
        <w:rPr>
          <w:b/>
          <w:bCs/>
          <w:sz w:val="52"/>
          <w:szCs w:val="52"/>
        </w:rPr>
      </w:pPr>
    </w:p>
    <w:p w:rsidR="000F07D7" w:rsidRDefault="000F07D7" w:rsidP="00A36F59">
      <w:pPr>
        <w:rPr>
          <w:b/>
          <w:bCs/>
          <w:sz w:val="52"/>
          <w:szCs w:val="52"/>
        </w:rPr>
      </w:pPr>
    </w:p>
    <w:p w:rsidR="000F07D7" w:rsidRDefault="000F07D7" w:rsidP="00A36F59">
      <w:pPr>
        <w:rPr>
          <w:b/>
          <w:bCs/>
          <w:sz w:val="52"/>
          <w:szCs w:val="52"/>
        </w:rPr>
      </w:pPr>
    </w:p>
    <w:p w:rsidR="000F07D7" w:rsidRDefault="000F07D7" w:rsidP="00A36F59">
      <w:pPr>
        <w:jc w:val="center"/>
        <w:rPr>
          <w:rFonts w:ascii="Agency FB" w:hAnsi="Agency FB" w:cs="Arial"/>
          <w:sz w:val="24"/>
          <w:szCs w:val="24"/>
        </w:rPr>
      </w:pPr>
    </w:p>
    <w:p w:rsidR="000F07D7" w:rsidRDefault="00A36F59" w:rsidP="00A36F59">
      <w:pPr>
        <w:jc w:val="center"/>
        <w:rPr>
          <w:rFonts w:ascii="Agency FB" w:hAnsi="Agency FB" w:cs="Arial"/>
          <w:sz w:val="24"/>
          <w:szCs w:val="24"/>
        </w:rPr>
      </w:pPr>
      <w:r w:rsidRPr="000F07D7">
        <w:rPr>
          <w:rFonts w:ascii="Agency FB" w:hAnsi="Agency FB" w:cs="Arial"/>
          <w:sz w:val="24"/>
          <w:szCs w:val="24"/>
        </w:rPr>
        <w:t xml:space="preserve">Elaborada según la Norma Internacional para Describir Instituciones que Custodian Fondos de Archivo (ISDIAH) del Consejo Internacional de Archivos </w:t>
      </w:r>
    </w:p>
    <w:p w:rsidR="000F07D7" w:rsidRDefault="000F07D7" w:rsidP="00A36F59">
      <w:pPr>
        <w:jc w:val="center"/>
        <w:rPr>
          <w:rFonts w:ascii="Agency FB" w:hAnsi="Agency FB" w:cs="Arial"/>
          <w:sz w:val="24"/>
          <w:szCs w:val="24"/>
        </w:rPr>
      </w:pPr>
    </w:p>
    <w:p w:rsidR="000F07D7" w:rsidRDefault="000F07D7" w:rsidP="00A36F59">
      <w:pPr>
        <w:jc w:val="center"/>
        <w:rPr>
          <w:rFonts w:ascii="Agency FB" w:hAnsi="Agency FB" w:cs="Arial"/>
          <w:sz w:val="24"/>
          <w:szCs w:val="24"/>
        </w:rPr>
      </w:pPr>
    </w:p>
    <w:p w:rsidR="000F07D7" w:rsidRDefault="000F07D7" w:rsidP="00A36F59">
      <w:pPr>
        <w:jc w:val="center"/>
        <w:rPr>
          <w:rFonts w:ascii="Agency FB" w:hAnsi="Agency FB" w:cs="Arial"/>
          <w:sz w:val="24"/>
          <w:szCs w:val="24"/>
        </w:rPr>
      </w:pPr>
    </w:p>
    <w:p w:rsidR="00A36F59" w:rsidRPr="000F07D7" w:rsidRDefault="00A36F59" w:rsidP="00A36F59">
      <w:pPr>
        <w:jc w:val="center"/>
        <w:rPr>
          <w:rFonts w:ascii="Agency FB" w:hAnsi="Agency FB" w:cs="Arial"/>
          <w:sz w:val="24"/>
          <w:szCs w:val="24"/>
        </w:rPr>
      </w:pPr>
      <w:r w:rsidRPr="000F07D7">
        <w:rPr>
          <w:rFonts w:ascii="Agency FB" w:hAnsi="Agency FB" w:cs="Arial"/>
          <w:sz w:val="24"/>
          <w:szCs w:val="24"/>
        </w:rPr>
        <w:t>San Salvador, e</w:t>
      </w:r>
      <w:r w:rsidR="000F07D7">
        <w:rPr>
          <w:rFonts w:ascii="Agency FB" w:hAnsi="Agency FB" w:cs="Arial"/>
          <w:sz w:val="24"/>
          <w:szCs w:val="24"/>
        </w:rPr>
        <w:t>nero 2022</w:t>
      </w:r>
    </w:p>
    <w:p w:rsidR="00A36F59" w:rsidRDefault="00A36F59" w:rsidP="00A36F59"/>
    <w:p w:rsidR="000F07D7" w:rsidRDefault="000F07D7" w:rsidP="00A36F59"/>
    <w:p w:rsidR="000F07D7" w:rsidRDefault="000F07D7" w:rsidP="00A36F59">
      <w:pPr>
        <w:spacing w:line="360" w:lineRule="auto"/>
        <w:rPr>
          <w:rFonts w:ascii="Arial" w:hAnsi="Arial" w:cs="Arial"/>
        </w:rPr>
      </w:pPr>
    </w:p>
    <w:p w:rsidR="00A36F59" w:rsidRPr="000F07D7" w:rsidRDefault="00A36F59" w:rsidP="00A36F59">
      <w:pPr>
        <w:spacing w:line="360" w:lineRule="auto"/>
        <w:rPr>
          <w:rFonts w:ascii="Berlin Sans FB" w:hAnsi="Berlin Sans FB" w:cs="Arial"/>
        </w:rPr>
      </w:pPr>
      <w:r w:rsidRPr="000F07D7">
        <w:rPr>
          <w:rFonts w:ascii="Berlin Sans FB" w:hAnsi="Berlin Sans FB" w:cs="Arial"/>
        </w:rPr>
        <w:t xml:space="preserve">INTRODUCCIÓN: </w:t>
      </w:r>
    </w:p>
    <w:p w:rsidR="000F07D7" w:rsidRDefault="000F07D7" w:rsidP="00A36F5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36F59" w:rsidRPr="00610373" w:rsidRDefault="00A36F59" w:rsidP="000F07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 Light" w:eastAsia="Calibri" w:hAnsi="Calibri Light" w:cs="Arial"/>
          <w:color w:val="000000"/>
          <w:sz w:val="24"/>
          <w:szCs w:val="24"/>
        </w:rPr>
      </w:pPr>
      <w:r w:rsidRPr="00610373">
        <w:rPr>
          <w:rFonts w:ascii="Calibri Light" w:eastAsia="Calibri" w:hAnsi="Calibri Light" w:cs="Arial"/>
          <w:color w:val="000000"/>
          <w:sz w:val="24"/>
          <w:szCs w:val="24"/>
        </w:rPr>
        <w:t>La presente Guía de Archivo Institucional del Consejo Superior de Salud Pública (CSSP), ha sido elaborada en cumplimiento de la Ley de Acceso a la Información Pública, Decreto Legislativo N°534 de fecha 2 de diciembre de 2010, publicada en el Diario oficial tomo 371, N°70 del 8 de abril de 2011, tomando como base a la Norma Internacional para Descripción de Instituciones con Acervo Archivístico ISDIAH.</w:t>
      </w:r>
    </w:p>
    <w:p w:rsidR="00A36F59" w:rsidRPr="000F07D7" w:rsidRDefault="00A36F59" w:rsidP="00A36F59">
      <w:pPr>
        <w:autoSpaceDE w:val="0"/>
        <w:autoSpaceDN w:val="0"/>
        <w:adjustRightInd w:val="0"/>
        <w:spacing w:after="0" w:line="360" w:lineRule="auto"/>
        <w:jc w:val="both"/>
        <w:rPr>
          <w:rFonts w:ascii="Euphemia" w:eastAsia="Calibri" w:hAnsi="Euphemia" w:cs="Arial"/>
          <w:color w:val="000000"/>
          <w:sz w:val="24"/>
          <w:szCs w:val="24"/>
        </w:rPr>
      </w:pPr>
    </w:p>
    <w:p w:rsidR="00A36F59" w:rsidRPr="00610373" w:rsidRDefault="00A36F59" w:rsidP="000F07D7">
      <w:pPr>
        <w:spacing w:line="360" w:lineRule="auto"/>
        <w:ind w:firstLine="708"/>
        <w:jc w:val="both"/>
        <w:rPr>
          <w:rFonts w:ascii="Calibri Light" w:eastAsia="Calibri" w:hAnsi="Calibri Light" w:cs="Arial"/>
          <w:sz w:val="24"/>
          <w:szCs w:val="24"/>
        </w:rPr>
      </w:pPr>
      <w:r w:rsidRPr="00610373">
        <w:rPr>
          <w:rFonts w:ascii="Calibri Light" w:hAnsi="Calibri Light" w:cs="Arial"/>
          <w:sz w:val="24"/>
          <w:szCs w:val="24"/>
        </w:rPr>
        <w:t>Con esta guía, se brindará a la ciudadanía una descripción clara y precisa de la institución, proporcionándole información sobre la historia institucional, marcos legales, área de acceso, área de servicios y contacto entre otros, facilitando de esa manera</w:t>
      </w:r>
      <w:r w:rsidRPr="00610373">
        <w:rPr>
          <w:rFonts w:ascii="Calibri Light" w:eastAsia="Calibri" w:hAnsi="Calibri Light" w:cs="Arial"/>
          <w:sz w:val="24"/>
          <w:szCs w:val="24"/>
        </w:rPr>
        <w:t xml:space="preserve"> la consulta ciudadana y promoviendo el acceso a la información y transparencia en la gestión pública.</w:t>
      </w:r>
    </w:p>
    <w:p w:rsidR="00A36F59" w:rsidRDefault="00A36F59" w:rsidP="00A36F59">
      <w:pPr>
        <w:jc w:val="both"/>
        <w:rPr>
          <w:rFonts w:eastAsia="Calibri" w:cstheme="minorHAnsi"/>
          <w:sz w:val="24"/>
          <w:szCs w:val="24"/>
        </w:rPr>
      </w:pPr>
    </w:p>
    <w:p w:rsidR="00610373" w:rsidRDefault="00610373" w:rsidP="00A36F59">
      <w:pPr>
        <w:jc w:val="both"/>
        <w:rPr>
          <w:rFonts w:eastAsia="Calibri" w:cstheme="minorHAnsi"/>
          <w:sz w:val="24"/>
          <w:szCs w:val="24"/>
        </w:rPr>
      </w:pPr>
    </w:p>
    <w:p w:rsidR="00610373" w:rsidRDefault="00610373" w:rsidP="00A36F59">
      <w:pPr>
        <w:jc w:val="both"/>
        <w:rPr>
          <w:rFonts w:eastAsia="Calibri" w:cstheme="minorHAnsi"/>
          <w:sz w:val="24"/>
          <w:szCs w:val="24"/>
        </w:rPr>
      </w:pPr>
    </w:p>
    <w:p w:rsidR="00610373" w:rsidRDefault="00610373" w:rsidP="00A36F59">
      <w:pPr>
        <w:jc w:val="both"/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>
      <w:pPr>
        <w:rPr>
          <w:rFonts w:eastAsia="Calibri" w:cstheme="minorHAnsi"/>
          <w:sz w:val="24"/>
          <w:szCs w:val="24"/>
        </w:rPr>
      </w:pPr>
    </w:p>
    <w:p w:rsidR="00A36F59" w:rsidRDefault="00A36F59" w:rsidP="00A36F59"/>
    <w:tbl>
      <w:tblPr>
        <w:tblStyle w:val="Tablaconcuadrcula1"/>
        <w:tblW w:w="9408" w:type="dxa"/>
        <w:tblLayout w:type="fixed"/>
        <w:tblLook w:val="04A0" w:firstRow="1" w:lastRow="0" w:firstColumn="1" w:lastColumn="0" w:noHBand="0" w:noVBand="1"/>
      </w:tblPr>
      <w:tblGrid>
        <w:gridCol w:w="1951"/>
        <w:gridCol w:w="779"/>
        <w:gridCol w:w="72"/>
        <w:gridCol w:w="6606"/>
      </w:tblGrid>
      <w:tr w:rsidR="00A36F59" w:rsidRPr="00173549" w:rsidTr="00610373">
        <w:tc>
          <w:tcPr>
            <w:tcW w:w="9408" w:type="dxa"/>
            <w:gridSpan w:val="4"/>
            <w:shd w:val="clear" w:color="auto" w:fill="FFC000"/>
          </w:tcPr>
          <w:p w:rsidR="00A36F59" w:rsidRPr="00173549" w:rsidRDefault="00610373" w:rsidP="00610373">
            <w:pPr>
              <w:tabs>
                <w:tab w:val="left" w:pos="3316"/>
              </w:tabs>
              <w:jc w:val="both"/>
            </w:pPr>
            <w:r>
              <w:tab/>
            </w:r>
          </w:p>
        </w:tc>
      </w:tr>
      <w:tr w:rsidR="00A36F59" w:rsidRPr="00173549" w:rsidTr="00785B23">
        <w:tc>
          <w:tcPr>
            <w:tcW w:w="9408" w:type="dxa"/>
            <w:gridSpan w:val="4"/>
            <w:shd w:val="clear" w:color="auto" w:fill="FFFF99"/>
          </w:tcPr>
          <w:p w:rsidR="00A36F59" w:rsidRPr="00785B23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Euphemia" w:hAnsi="Euphemia"/>
                <w:b/>
              </w:rPr>
            </w:pPr>
            <w:r w:rsidRPr="00785B23">
              <w:rPr>
                <w:rFonts w:ascii="Euphemia" w:hAnsi="Euphemia"/>
                <w:b/>
              </w:rPr>
              <w:t xml:space="preserve">ÁREA DE IDENTIFICACIÓN </w:t>
            </w:r>
          </w:p>
        </w:tc>
      </w:tr>
      <w:tr w:rsidR="00A36F59" w:rsidRPr="00173549" w:rsidTr="000F07D7">
        <w:trPr>
          <w:trHeight w:val="1349"/>
        </w:trPr>
        <w:tc>
          <w:tcPr>
            <w:tcW w:w="1951" w:type="dxa"/>
          </w:tcPr>
          <w:p w:rsidR="00194150" w:rsidRDefault="00194150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>1.1</w:t>
            </w:r>
            <w:r w:rsidR="00B40A49" w:rsidRPr="00BF667E">
              <w:rPr>
                <w:rFonts w:ascii="Calibri Light" w:eastAsia="Times New Roman" w:hAnsi="Calibri Light" w:cs="Calibri"/>
                <w:b/>
                <w:lang w:eastAsia="es-SV"/>
              </w:rPr>
              <w:t xml:space="preserve"> </w:t>
            </w: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>Identificador</w:t>
            </w:r>
          </w:p>
          <w:p w:rsidR="00A36F59" w:rsidRPr="00BF667E" w:rsidRDefault="00A36F59" w:rsidP="00B40A49">
            <w:pPr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</w:tc>
        <w:tc>
          <w:tcPr>
            <w:tcW w:w="779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P. 16</w:t>
            </w:r>
          </w:p>
        </w:tc>
        <w:tc>
          <w:tcPr>
            <w:tcW w:w="6678" w:type="dxa"/>
            <w:gridSpan w:val="2"/>
          </w:tcPr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 xml:space="preserve">SV-CSSP            </w:t>
            </w:r>
          </w:p>
        </w:tc>
      </w:tr>
      <w:tr w:rsidR="00A36F59" w:rsidRPr="00173549" w:rsidTr="000F07D7">
        <w:tc>
          <w:tcPr>
            <w:tcW w:w="1951" w:type="dxa"/>
          </w:tcPr>
          <w:p w:rsidR="00194150" w:rsidRDefault="00194150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 xml:space="preserve">1.2 Forma autorizada del nombre </w:t>
            </w:r>
          </w:p>
        </w:tc>
        <w:tc>
          <w:tcPr>
            <w:tcW w:w="779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 xml:space="preserve">. 16 </w:t>
            </w:r>
          </w:p>
        </w:tc>
        <w:tc>
          <w:tcPr>
            <w:tcW w:w="6678" w:type="dxa"/>
            <w:gridSpan w:val="2"/>
          </w:tcPr>
          <w:p w:rsidR="00194150" w:rsidRDefault="00194150" w:rsidP="00AF65DF">
            <w:pPr>
              <w:widowControl w:val="0"/>
              <w:autoSpaceDE w:val="0"/>
              <w:autoSpaceDN w:val="0"/>
              <w:adjustRightInd w:val="0"/>
              <w:ind w:right="15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15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Consejo Superior de Salud Pública. </w:t>
            </w: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</w:rPr>
            </w:pPr>
          </w:p>
        </w:tc>
      </w:tr>
      <w:tr w:rsidR="00A36F59" w:rsidRPr="00173549" w:rsidTr="000F07D7">
        <w:tc>
          <w:tcPr>
            <w:tcW w:w="1951" w:type="dxa"/>
          </w:tcPr>
          <w:p w:rsidR="00194150" w:rsidRDefault="00194150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 xml:space="preserve">1.3 Formas paralelas del nombre </w:t>
            </w:r>
          </w:p>
        </w:tc>
        <w:tc>
          <w:tcPr>
            <w:tcW w:w="779" w:type="dxa"/>
          </w:tcPr>
          <w:p w:rsidR="00194150" w:rsidRDefault="00194150" w:rsidP="000F07D7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0F07D7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 xml:space="preserve">. 17 </w:t>
            </w:r>
          </w:p>
        </w:tc>
        <w:tc>
          <w:tcPr>
            <w:tcW w:w="6678" w:type="dxa"/>
            <w:gridSpan w:val="2"/>
          </w:tcPr>
          <w:p w:rsidR="00194150" w:rsidRDefault="00194150" w:rsidP="00AF65DF">
            <w:pPr>
              <w:jc w:val="both"/>
              <w:rPr>
                <w:rFonts w:ascii="Calibri Light" w:eastAsia="Times New Roman" w:hAnsi="Calibri Light" w:cs="Calibri"/>
              </w:rPr>
            </w:pPr>
          </w:p>
          <w:p w:rsidR="00A36F59" w:rsidRPr="00BF667E" w:rsidRDefault="000F07D7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eastAsia="Times New Roman" w:hAnsi="Calibri Light" w:cs="Calibri"/>
              </w:rPr>
              <w:t>CSSP / EL CONSEJO</w:t>
            </w:r>
          </w:p>
        </w:tc>
      </w:tr>
      <w:tr w:rsidR="00A36F59" w:rsidRPr="00173549" w:rsidTr="000F07D7">
        <w:tc>
          <w:tcPr>
            <w:tcW w:w="1951" w:type="dxa"/>
          </w:tcPr>
          <w:p w:rsidR="00194150" w:rsidRDefault="00194150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 xml:space="preserve">1.4 Otras formas del nombre </w:t>
            </w:r>
          </w:p>
        </w:tc>
        <w:tc>
          <w:tcPr>
            <w:tcW w:w="779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P. 17</w:t>
            </w:r>
          </w:p>
        </w:tc>
        <w:tc>
          <w:tcPr>
            <w:tcW w:w="6678" w:type="dxa"/>
            <w:gridSpan w:val="2"/>
          </w:tcPr>
          <w:p w:rsidR="00194150" w:rsidRDefault="0019415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 xml:space="preserve">CSSP, siglas de Consejo Superior de Salud Pública </w:t>
            </w: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</w:rPr>
              <w:t>El Consejo, según artículo 6 del Código de Salud</w:t>
            </w:r>
          </w:p>
        </w:tc>
      </w:tr>
      <w:tr w:rsidR="00A36F59" w:rsidRPr="00173549" w:rsidTr="000F07D7">
        <w:tc>
          <w:tcPr>
            <w:tcW w:w="1951" w:type="dxa"/>
          </w:tcPr>
          <w:p w:rsidR="00194150" w:rsidRDefault="00194150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BF667E" w:rsidRDefault="00A36F59" w:rsidP="00B40A49">
            <w:pPr>
              <w:widowControl w:val="0"/>
              <w:autoSpaceDE w:val="0"/>
              <w:autoSpaceDN w:val="0"/>
              <w:adjustRightInd w:val="0"/>
              <w:ind w:right="241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b/>
                <w:lang w:eastAsia="es-SV"/>
              </w:rPr>
              <w:t xml:space="preserve">1.5 Tipo de Institución </w:t>
            </w:r>
          </w:p>
        </w:tc>
        <w:tc>
          <w:tcPr>
            <w:tcW w:w="779" w:type="dxa"/>
          </w:tcPr>
          <w:p w:rsidR="00194150" w:rsidRDefault="00194150" w:rsidP="000F07D7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0F07D7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18</w:t>
            </w:r>
          </w:p>
        </w:tc>
        <w:tc>
          <w:tcPr>
            <w:tcW w:w="6678" w:type="dxa"/>
            <w:gridSpan w:val="2"/>
          </w:tcPr>
          <w:p w:rsidR="00194150" w:rsidRDefault="00194150" w:rsidP="00AF65DF">
            <w:pPr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>Institución pública autónoma de creación Constitucional (Art. 68)</w:t>
            </w:r>
          </w:p>
        </w:tc>
      </w:tr>
      <w:tr w:rsidR="00A36F59" w:rsidRPr="00173549" w:rsidTr="00610373">
        <w:tc>
          <w:tcPr>
            <w:tcW w:w="9408" w:type="dxa"/>
            <w:gridSpan w:val="4"/>
            <w:shd w:val="clear" w:color="auto" w:fill="FFC000"/>
          </w:tcPr>
          <w:p w:rsidR="00A36F59" w:rsidRPr="00BF667E" w:rsidRDefault="00610373" w:rsidP="00610373">
            <w:pPr>
              <w:tabs>
                <w:tab w:val="left" w:pos="5966"/>
              </w:tabs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ab/>
            </w:r>
          </w:p>
        </w:tc>
      </w:tr>
      <w:tr w:rsidR="00A36F59" w:rsidRPr="00173549" w:rsidTr="00785B23">
        <w:tc>
          <w:tcPr>
            <w:tcW w:w="9408" w:type="dxa"/>
            <w:gridSpan w:val="4"/>
            <w:shd w:val="clear" w:color="auto" w:fill="FFFF99"/>
          </w:tcPr>
          <w:p w:rsidR="00A36F59" w:rsidRPr="00BF667E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 xml:space="preserve">ÁREA DE CONTACTO </w:t>
            </w:r>
          </w:p>
        </w:tc>
      </w:tr>
      <w:tr w:rsidR="00A36F59" w:rsidRPr="008A56FE" w:rsidTr="000F07D7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 xml:space="preserve">2.1 Localización y direcciones </w:t>
            </w:r>
          </w:p>
        </w:tc>
        <w:tc>
          <w:tcPr>
            <w:tcW w:w="851" w:type="dxa"/>
            <w:gridSpan w:val="2"/>
          </w:tcPr>
          <w:p w:rsidR="00194150" w:rsidRDefault="00194150" w:rsidP="000F07D7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0F07D7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19</w:t>
            </w:r>
          </w:p>
        </w:tc>
        <w:tc>
          <w:tcPr>
            <w:tcW w:w="6606" w:type="dxa"/>
          </w:tcPr>
          <w:p w:rsidR="00194150" w:rsidRDefault="00194150" w:rsidP="00AF65D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>Inicio del Paseo General Escalón, Nº 3551, San Salvador</w:t>
            </w: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spacing w:line="242" w:lineRule="auto"/>
              <w:ind w:right="-20"/>
              <w:jc w:val="both"/>
              <w:rPr>
                <w:rFonts w:ascii="Calibri Light" w:hAnsi="Calibri Light"/>
                <w:lang w:val="en-US"/>
              </w:rPr>
            </w:pPr>
            <w:r w:rsidRPr="00BF667E">
              <w:rPr>
                <w:rFonts w:ascii="Calibri Light" w:eastAsia="Times New Roman" w:hAnsi="Calibri Light" w:cs="Times New Roman"/>
                <w:szCs w:val="24"/>
                <w:lang w:val="en-US" w:eastAsia="es-SV"/>
              </w:rPr>
              <w:t xml:space="preserve">URL: </w:t>
            </w:r>
            <w:hyperlink r:id="rId7" w:history="1">
              <w:r w:rsidRPr="00BF667E">
                <w:rPr>
                  <w:rStyle w:val="Hipervnculo"/>
                  <w:rFonts w:ascii="Calibri Light" w:eastAsia="Times New Roman" w:hAnsi="Calibri Light" w:cs="Times New Roman"/>
                  <w:szCs w:val="24"/>
                  <w:lang w:val="en-US" w:eastAsia="es-SV"/>
                </w:rPr>
                <w:t>www.cssp.gob.sv</w:t>
              </w:r>
            </w:hyperlink>
          </w:p>
        </w:tc>
      </w:tr>
      <w:tr w:rsidR="00A36F59" w:rsidRPr="00173549" w:rsidTr="00785B23">
        <w:trPr>
          <w:trHeight w:val="1586"/>
        </w:trPr>
        <w:tc>
          <w:tcPr>
            <w:tcW w:w="1951" w:type="dxa"/>
          </w:tcPr>
          <w:p w:rsidR="00194150" w:rsidRPr="008A56FE" w:rsidRDefault="00194150" w:rsidP="00AF65DF">
            <w:pPr>
              <w:jc w:val="both"/>
              <w:rPr>
                <w:rFonts w:ascii="Calibri Light" w:hAnsi="Calibri Light"/>
                <w:b/>
                <w:lang w:val="en-US"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 xml:space="preserve">2.2 Teléfono, fax y correo electrónico     </w:t>
            </w:r>
          </w:p>
        </w:tc>
        <w:tc>
          <w:tcPr>
            <w:tcW w:w="851" w:type="dxa"/>
            <w:gridSpan w:val="2"/>
          </w:tcPr>
          <w:p w:rsidR="00194150" w:rsidRDefault="00194150" w:rsidP="000F07D7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0F07D7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20</w:t>
            </w:r>
          </w:p>
        </w:tc>
        <w:tc>
          <w:tcPr>
            <w:tcW w:w="6606" w:type="dxa"/>
          </w:tcPr>
          <w:p w:rsidR="00194150" w:rsidRDefault="00194150" w:rsidP="00AF65DF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>Teléfono: (503) 2561-2525</w:t>
            </w: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 xml:space="preserve">Fax: 2561-2556  </w:t>
            </w:r>
          </w:p>
          <w:p w:rsidR="00A36F59" w:rsidRPr="00BF667E" w:rsidRDefault="00A36F59" w:rsidP="00785B23">
            <w:pPr>
              <w:widowControl w:val="0"/>
              <w:autoSpaceDE w:val="0"/>
              <w:autoSpaceDN w:val="0"/>
              <w:adjustRightInd w:val="0"/>
              <w:ind w:right="115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lang w:eastAsia="es-SV"/>
              </w:rPr>
              <w:t xml:space="preserve">Correo electrónico: </w:t>
            </w:r>
            <w:hyperlink r:id="rId8" w:history="1">
              <w:r w:rsidRPr="00BF667E">
                <w:rPr>
                  <w:rStyle w:val="Hipervnculo"/>
                  <w:rFonts w:ascii="Calibri Light" w:eastAsia="Times New Roman" w:hAnsi="Calibri Light" w:cs="Calibri"/>
                  <w:lang w:eastAsia="es-SV"/>
                </w:rPr>
                <w:t>www.cssp.gob.sv</w:t>
              </w:r>
            </w:hyperlink>
          </w:p>
        </w:tc>
      </w:tr>
      <w:tr w:rsidR="00A36F59" w:rsidRPr="00173549" w:rsidTr="000F07D7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 xml:space="preserve">2.3 Personas de contacto </w:t>
            </w:r>
          </w:p>
        </w:tc>
        <w:tc>
          <w:tcPr>
            <w:tcW w:w="851" w:type="dxa"/>
            <w:gridSpan w:val="2"/>
          </w:tcPr>
          <w:p w:rsidR="00194150" w:rsidRDefault="00194150" w:rsidP="000F07D7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0F07D7" w:rsidP="000F07D7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21</w:t>
            </w:r>
          </w:p>
        </w:tc>
        <w:tc>
          <w:tcPr>
            <w:tcW w:w="6606" w:type="dxa"/>
          </w:tcPr>
          <w:p w:rsidR="00194150" w:rsidRDefault="00194150" w:rsidP="00194150">
            <w:pPr>
              <w:pStyle w:val="Prrafodelista"/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</w:p>
          <w:p w:rsidR="00A36F59" w:rsidRPr="00BF667E" w:rsidRDefault="00785B23" w:rsidP="00A36F59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iCs/>
                <w:lang w:eastAsia="es-SV"/>
              </w:rPr>
              <w:t>Jacqueline Elizabeth Flores Cartagena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              </w:t>
            </w:r>
            <w:r w:rsidR="00A36F59"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Oficial de Gestión Documental y Archivos 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              </w:t>
            </w:r>
            <w:r w:rsidR="00A36F59" w:rsidRPr="00BF667E">
              <w:rPr>
                <w:rFonts w:ascii="Calibri Light" w:eastAsia="Times New Roman" w:hAnsi="Calibri Light" w:cs="Calibri"/>
                <w:iCs/>
                <w:lang w:eastAsia="es-SV"/>
              </w:rPr>
              <w:t>Unidad de Gestión Documental y Archivo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              </w:t>
            </w:r>
            <w:r w:rsidR="00A36F59"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Teléfono: 2561-2538 </w:t>
            </w:r>
            <w:r w:rsidRPr="00BF667E">
              <w:rPr>
                <w:rFonts w:ascii="Calibri Light" w:eastAsia="Times New Roman" w:hAnsi="Calibri Light" w:cs="Calibri"/>
                <w:iCs/>
                <w:lang w:eastAsia="es-SV"/>
              </w:rPr>
              <w:t xml:space="preserve"> / 7695-0491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hAnsi="Calibri Light"/>
              </w:rPr>
              <w:t xml:space="preserve">              </w:t>
            </w:r>
            <w:hyperlink r:id="rId9" w:history="1">
              <w:r w:rsidRPr="00BF667E">
                <w:rPr>
                  <w:rStyle w:val="Hipervnculo"/>
                  <w:rFonts w:ascii="Calibri Light" w:hAnsi="Calibri Light"/>
                </w:rPr>
                <w:t>jflores</w:t>
              </w:r>
              <w:r w:rsidRPr="00BF667E">
                <w:rPr>
                  <w:rStyle w:val="Hipervnculo"/>
                  <w:rFonts w:ascii="Calibri Light" w:eastAsia="Times New Roman" w:hAnsi="Calibri Light" w:cs="Calibri"/>
                  <w:iCs/>
                  <w:lang w:eastAsia="es-SV"/>
                </w:rPr>
                <w:t>@cssp.gob.sv</w:t>
              </w:r>
            </w:hyperlink>
          </w:p>
          <w:p w:rsidR="00A36F59" w:rsidRPr="00BF667E" w:rsidRDefault="00A36F59" w:rsidP="00A36F59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>Aura Ivette Morales</w:t>
            </w:r>
          </w:p>
          <w:p w:rsidR="00A36F59" w:rsidRPr="00BF667E" w:rsidRDefault="00194150" w:rsidP="00AF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       </w:t>
            </w:r>
            <w:r w:rsidR="00785B23"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>Oficial de información del CSSP</w:t>
            </w:r>
            <w:r w:rsidR="00A36F59"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      </w:t>
            </w:r>
            <w:r w:rsidR="00194150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</w:t>
            </w:r>
            <w:r w:rsidR="00A36F59"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>Oficina de Información y respuesta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      </w:t>
            </w:r>
            <w:r w:rsidR="00194150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</w:t>
            </w:r>
            <w:r w:rsidR="00A36F59"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>Teléfono: 2561-2571</w:t>
            </w:r>
            <w:r w:rsidRPr="00BF667E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/ 7696-8135</w:t>
            </w:r>
          </w:p>
          <w:p w:rsidR="00A36F59" w:rsidRPr="00BF667E" w:rsidRDefault="00785B23" w:rsidP="00AF65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BF667E">
              <w:rPr>
                <w:rFonts w:ascii="Calibri Light" w:hAnsi="Calibri Light"/>
              </w:rPr>
              <w:t xml:space="preserve">            </w:t>
            </w:r>
            <w:r w:rsidR="00194150">
              <w:rPr>
                <w:rFonts w:ascii="Calibri Light" w:hAnsi="Calibri Light"/>
              </w:rPr>
              <w:t xml:space="preserve"> </w:t>
            </w:r>
            <w:r w:rsidRPr="00BF667E">
              <w:rPr>
                <w:rFonts w:ascii="Calibri Light" w:hAnsi="Calibri Light"/>
              </w:rPr>
              <w:t xml:space="preserve"> </w:t>
            </w:r>
            <w:hyperlink r:id="rId10" w:history="1">
              <w:r w:rsidR="00A36F59" w:rsidRPr="00BF667E">
                <w:rPr>
                  <w:rFonts w:ascii="Calibri Light" w:eastAsia="Times New Roman" w:hAnsi="Calibri Light" w:cs="Times New Roman"/>
                  <w:color w:val="0000FF" w:themeColor="hyperlink"/>
                  <w:szCs w:val="24"/>
                  <w:u w:val="single"/>
                  <w:lang w:eastAsia="es-SV"/>
                </w:rPr>
                <w:t>amorales@cssp.gob.sv</w:t>
              </w:r>
            </w:hyperlink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478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</w:p>
        </w:tc>
      </w:tr>
      <w:tr w:rsidR="00A36F59" w:rsidRPr="00173549" w:rsidTr="00610373">
        <w:tc>
          <w:tcPr>
            <w:tcW w:w="9408" w:type="dxa"/>
            <w:gridSpan w:val="4"/>
            <w:shd w:val="clear" w:color="auto" w:fill="FFC000"/>
          </w:tcPr>
          <w:p w:rsidR="00A36F59" w:rsidRPr="00BF667E" w:rsidRDefault="00610373" w:rsidP="00610373">
            <w:pPr>
              <w:tabs>
                <w:tab w:val="left" w:pos="5361"/>
              </w:tabs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ab/>
            </w:r>
          </w:p>
        </w:tc>
      </w:tr>
      <w:tr w:rsidR="00A36F59" w:rsidRPr="00173549" w:rsidTr="00785B23">
        <w:tc>
          <w:tcPr>
            <w:tcW w:w="9408" w:type="dxa"/>
            <w:gridSpan w:val="4"/>
            <w:shd w:val="clear" w:color="auto" w:fill="FFFF99"/>
          </w:tcPr>
          <w:p w:rsidR="00A36F59" w:rsidRPr="00BF667E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 xml:space="preserve">ÁREA DE DESCRIPCIÓN </w:t>
            </w:r>
          </w:p>
        </w:tc>
      </w:tr>
      <w:tr w:rsidR="00A36F59" w:rsidRPr="00173549" w:rsidTr="00B40A49">
        <w:trPr>
          <w:trHeight w:val="552"/>
        </w:trPr>
        <w:tc>
          <w:tcPr>
            <w:tcW w:w="1951" w:type="dxa"/>
          </w:tcPr>
          <w:p w:rsidR="00BF667E" w:rsidRDefault="00BF667E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>3.1 Historia de la institución que custodia los fondos de archivo</w:t>
            </w:r>
          </w:p>
        </w:tc>
        <w:tc>
          <w:tcPr>
            <w:tcW w:w="851" w:type="dxa"/>
            <w:gridSpan w:val="2"/>
          </w:tcPr>
          <w:p w:rsidR="00BF667E" w:rsidRDefault="00BF667E" w:rsidP="00AF65DF">
            <w:pPr>
              <w:jc w:val="both"/>
              <w:rPr>
                <w:rFonts w:ascii="Calibri Light" w:hAnsi="Calibri Light"/>
              </w:rPr>
            </w:pPr>
          </w:p>
          <w:p w:rsidR="00BF667E" w:rsidRDefault="00BF667E" w:rsidP="00AF65DF">
            <w:pPr>
              <w:jc w:val="both"/>
              <w:rPr>
                <w:rFonts w:ascii="Calibri Light" w:hAnsi="Calibri Light"/>
              </w:rPr>
            </w:pPr>
          </w:p>
          <w:p w:rsidR="00BF667E" w:rsidRDefault="00BF667E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785B23" w:rsidP="00AF65DF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22</w:t>
            </w:r>
          </w:p>
        </w:tc>
        <w:tc>
          <w:tcPr>
            <w:tcW w:w="6606" w:type="dxa"/>
          </w:tcPr>
          <w:p w:rsidR="00194150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</w:p>
          <w:p w:rsidR="00A36F59" w:rsidRPr="00BF667E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      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Por mandato constitucional, El Consejo Superior de Salud Pública fue creado el 24 de agosto de 1956, tomando protesta de Ley e instalándose el primer Consejo Directivo el día 11 de septiembre de ese mismo año.</w:t>
            </w:r>
          </w:p>
          <w:p w:rsidR="00A36F59" w:rsidRPr="00BF667E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      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Inicialmente, el Consejo Superior de Salud Pública estaba conformado por un</w:t>
            </w:r>
            <w:r w:rsidR="00785B23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P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residente, </w:t>
            </w:r>
            <w:r w:rsidR="00B40A49" w:rsidRPr="00BF667E">
              <w:rPr>
                <w:rFonts w:ascii="Calibri Light" w:hAnsi="Calibri Light" w:cstheme="minorHAnsi"/>
                <w:b/>
                <w:color w:val="000000"/>
                <w:sz w:val="22"/>
                <w:szCs w:val="22"/>
                <w:u w:val="single"/>
              </w:rPr>
              <w:t>SERAFÍN  QUITEÑO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, un</w:t>
            </w:r>
            <w:r w:rsidR="00785B23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S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ecretario, el B</w:t>
            </w:r>
            <w:r w:rsidR="00785B23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achiller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</w:t>
            </w:r>
            <w:r w:rsidR="00B40A49" w:rsidRPr="00BF667E">
              <w:rPr>
                <w:rFonts w:ascii="Calibri Light" w:hAnsi="Calibri Light" w:cstheme="minorHAnsi"/>
                <w:b/>
                <w:color w:val="000000"/>
                <w:sz w:val="22"/>
                <w:szCs w:val="22"/>
                <w:u w:val="single"/>
              </w:rPr>
              <w:t>ROSENDO AGUILAR CHAVARRÍA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, y nueve miembros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lastRenderedPageBreak/>
              <w:t>propietarios, y sus respectivos suplentes, quienes conformaban el Consejo Directivo, estos pertenecían a las profesiones de Medicina, Odontología y Química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y Farmacia.</w:t>
            </w:r>
          </w:p>
          <w:p w:rsidR="00A36F59" w:rsidRPr="00BF667E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      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Para su funcionamiento contaba con la subvención del Ministerio de Salud Pública y Asistencia Social, quien además había donado la mayor parte del equipo con que se trabajaba. Fue en noviembre de 1992, que la Asamblea Legislativa aprueba el Decreto 373: “Tabla de Ingresos por Derechos”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que cobraría el Consejo Superior de Salud Pública; a partir de esa fecha le permite contar con nuevas fuentes de ingresos para su funcionamiento, fortaleciendo de esa forma sus unidades organizativas.</w:t>
            </w:r>
          </w:p>
          <w:p w:rsidR="00A36F59" w:rsidRPr="00BF667E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        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En la Constitución de la República promulgada por la Asamblea Constituyente de 1983, se reformó el Art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.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68 en el cual se incluye al Gremio Médico Veterinario, como una </w:t>
            </w:r>
            <w:r w:rsidR="00B40A4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P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rofesión más en el área de Salud y por lo tanto con representación en el Consejo Directivo. Con el pasar de los años y de conformidad al Acuerdo de Reformas Constitucionales Nº 2, emitido por la Legislatura 2000-2003, en fecha veintitrés de abril del año dos mil tres, se estableció la reforma a los incisos primero y segundo del Artículo 68 de la Constitución de la República, a fin de que los Gremios de Profesionales en Laboratorio Clínico, Psicología y Enfermería, tuvieran representación en el Consejo Superior de Salud Pública; el Consejo Directivo se constituyó a partir de ese momento con 21 miembros, tres de cada profesión relacionada a la salud, más su Presidente y Secretario.</w:t>
            </w:r>
          </w:p>
          <w:p w:rsidR="00A36F59" w:rsidRPr="00BF667E" w:rsidRDefault="00194150" w:rsidP="00AF65DF">
            <w:pPr>
              <w:pStyle w:val="NormalWeb"/>
              <w:jc w:val="both"/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 xml:space="preserve">        </w:t>
            </w:r>
            <w:r w:rsidR="00A36F59" w:rsidRPr="00BF667E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En 1996, gracias al ahorro sostenido desde la entrada en vigencia del decreto, se logró adquirir el edificio que actualmente alberga las oficinas administrativas y sus siete Juntas de Vigilancia.</w:t>
            </w:r>
          </w:p>
          <w:p w:rsidR="00A36F59" w:rsidRPr="00BF667E" w:rsidRDefault="00A36F59" w:rsidP="00AF65DF">
            <w:pPr>
              <w:pStyle w:val="NormalWeb"/>
              <w:jc w:val="both"/>
              <w:rPr>
                <w:rFonts w:ascii="Calibri Light" w:hAnsi="Calibri Light"/>
              </w:rPr>
            </w:pP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BF667E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BF667E">
              <w:rPr>
                <w:rFonts w:ascii="Calibri Light" w:hAnsi="Calibri Light"/>
                <w:b/>
              </w:rPr>
              <w:t>3.2 Contexto cultural y geográfico</w:t>
            </w:r>
          </w:p>
        </w:tc>
        <w:tc>
          <w:tcPr>
            <w:tcW w:w="851" w:type="dxa"/>
            <w:gridSpan w:val="2"/>
          </w:tcPr>
          <w:p w:rsidR="00194150" w:rsidRDefault="00194150" w:rsidP="00BF667E">
            <w:pPr>
              <w:jc w:val="both"/>
              <w:rPr>
                <w:rFonts w:ascii="Calibri Light" w:hAnsi="Calibri Light"/>
              </w:rPr>
            </w:pPr>
          </w:p>
          <w:p w:rsidR="00A36F59" w:rsidRPr="00BF667E" w:rsidRDefault="00BF667E" w:rsidP="00BF667E">
            <w:pPr>
              <w:jc w:val="both"/>
              <w:rPr>
                <w:rFonts w:ascii="Calibri Light" w:hAnsi="Calibri Light"/>
              </w:rPr>
            </w:pPr>
            <w:r w:rsidRPr="00BF667E">
              <w:rPr>
                <w:rFonts w:ascii="Calibri Light" w:hAnsi="Calibri Light"/>
              </w:rPr>
              <w:t>P</w:t>
            </w:r>
            <w:r w:rsidR="00A36F59" w:rsidRPr="00BF667E">
              <w:rPr>
                <w:rFonts w:ascii="Calibri Light" w:hAnsi="Calibri Light"/>
              </w:rPr>
              <w:t>. 2</w:t>
            </w:r>
            <w:r w:rsidRPr="00BF667E">
              <w:rPr>
                <w:rFonts w:ascii="Calibri Light" w:hAnsi="Calibri Light"/>
              </w:rPr>
              <w:t>3</w:t>
            </w:r>
            <w:r w:rsidR="00A36F59" w:rsidRPr="00BF667E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6606" w:type="dxa"/>
          </w:tcPr>
          <w:p w:rsidR="00194150" w:rsidRDefault="00194150" w:rsidP="00AF65DF">
            <w:pPr>
              <w:widowControl w:val="0"/>
              <w:autoSpaceDE w:val="0"/>
              <w:autoSpaceDN w:val="0"/>
              <w:adjustRightInd w:val="0"/>
              <w:ind w:right="735"/>
              <w:jc w:val="both"/>
              <w:rPr>
                <w:rFonts w:ascii="Calibri Light" w:eastAsia="Times New Roman" w:hAnsi="Calibri Light" w:cs="Calibri"/>
                <w:spacing w:val="1"/>
                <w:lang w:eastAsia="es-SV"/>
              </w:rPr>
            </w:pPr>
          </w:p>
          <w:p w:rsidR="00A36F59" w:rsidRPr="00BF667E" w:rsidRDefault="00194150" w:rsidP="00AF65DF">
            <w:pPr>
              <w:widowControl w:val="0"/>
              <w:autoSpaceDE w:val="0"/>
              <w:autoSpaceDN w:val="0"/>
              <w:adjustRightInd w:val="0"/>
              <w:ind w:right="735"/>
              <w:jc w:val="both"/>
              <w:rPr>
                <w:rFonts w:ascii="Calibri Light" w:hAnsi="Calibri Light"/>
                <w:color w:val="000000"/>
              </w:rPr>
            </w:pPr>
            <w:r>
              <w:rPr>
                <w:rFonts w:ascii="Calibri Light" w:eastAsia="Times New Roman" w:hAnsi="Calibri Light" w:cs="Calibri"/>
                <w:spacing w:val="1"/>
                <w:lang w:eastAsia="es-SV"/>
              </w:rPr>
              <w:t xml:space="preserve">         </w:t>
            </w:r>
            <w:r w:rsidR="00A36F59" w:rsidRPr="00BF667E">
              <w:rPr>
                <w:rFonts w:ascii="Calibri Light" w:eastAsia="Times New Roman" w:hAnsi="Calibri Light" w:cs="Calibri"/>
                <w:spacing w:val="1"/>
                <w:lang w:eastAsia="es-SV"/>
              </w:rPr>
              <w:t xml:space="preserve">El Consejo Superior de Salud Pública está ubicado en la ciudad de San Salvador, capital de la República de El Salvador. </w:t>
            </w:r>
            <w:r w:rsidR="00A36F59" w:rsidRPr="0008418B">
              <w:rPr>
                <w:rFonts w:ascii="Calibri Light" w:eastAsia="Times New Roman" w:hAnsi="Calibri Light" w:cs="Calibri"/>
                <w:b/>
                <w:i/>
                <w:spacing w:val="1"/>
                <w:lang w:eastAsia="es-SV"/>
              </w:rPr>
              <w:t xml:space="preserve">Es una Corporación de derecho público con capacidad jurídica, </w:t>
            </w:r>
            <w:r w:rsidR="00A36F59" w:rsidRPr="0008418B">
              <w:rPr>
                <w:rFonts w:ascii="Calibri Light" w:eastAsiaTheme="minorEastAsia" w:hAnsi="Calibri Light"/>
                <w:b/>
                <w:i/>
                <w:lang w:eastAsia="es-SV"/>
              </w:rPr>
              <w:t>creada para velar por la salud del pueblo</w:t>
            </w:r>
            <w:r w:rsidR="00A36F59" w:rsidRPr="00BF667E">
              <w:rPr>
                <w:rFonts w:ascii="Calibri Light" w:eastAsiaTheme="minorEastAsia" w:hAnsi="Calibri Light"/>
                <w:lang w:eastAsia="es-SV"/>
              </w:rPr>
              <w:t xml:space="preserve">, así mismo, es </w:t>
            </w:r>
            <w:r w:rsidR="00A36F59" w:rsidRPr="00BF667E">
              <w:rPr>
                <w:rFonts w:ascii="Calibri Light" w:hAnsi="Calibri Light"/>
                <w:color w:val="000000"/>
              </w:rPr>
              <w:t>la autoridad reguladora competente para la autorización, vigilancia y control del ejercicio de los profesionales de la salud y de establecimientos de salud no farmacéuticos que ejercen y funcionan a nivel nacional.</w:t>
            </w:r>
          </w:p>
          <w:p w:rsidR="00A36F59" w:rsidRPr="00BF667E" w:rsidRDefault="00A36F59" w:rsidP="00AF65DF">
            <w:pPr>
              <w:widowControl w:val="0"/>
              <w:autoSpaceDE w:val="0"/>
              <w:autoSpaceDN w:val="0"/>
              <w:adjustRightInd w:val="0"/>
              <w:ind w:right="735"/>
              <w:jc w:val="both"/>
              <w:rPr>
                <w:rFonts w:ascii="Calibri Light" w:eastAsiaTheme="minorEastAsia" w:hAnsi="Calibri Light"/>
                <w:b/>
                <w:lang w:eastAsia="es-SV"/>
              </w:rPr>
            </w:pP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08418B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08418B">
              <w:rPr>
                <w:rFonts w:ascii="Calibri Light" w:hAnsi="Calibri Light"/>
                <w:b/>
              </w:rPr>
              <w:lastRenderedPageBreak/>
              <w:t>3.3 Atribuciones/ fuentes legales</w:t>
            </w:r>
          </w:p>
        </w:tc>
        <w:tc>
          <w:tcPr>
            <w:tcW w:w="851" w:type="dxa"/>
            <w:gridSpan w:val="2"/>
          </w:tcPr>
          <w:p w:rsidR="00194150" w:rsidRDefault="0019415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08418B" w:rsidRDefault="0008418B" w:rsidP="00AF65DF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P</w:t>
            </w:r>
            <w:r w:rsidR="00A36F59" w:rsidRPr="0008418B">
              <w:rPr>
                <w:rFonts w:ascii="Calibri Light" w:hAnsi="Calibri Light"/>
              </w:rPr>
              <w:t xml:space="preserve">. 25 </w:t>
            </w:r>
          </w:p>
        </w:tc>
        <w:tc>
          <w:tcPr>
            <w:tcW w:w="6606" w:type="dxa"/>
          </w:tcPr>
          <w:p w:rsidR="00A36F59" w:rsidRPr="0008418B" w:rsidRDefault="00A36F59" w:rsidP="0008418B">
            <w:pPr>
              <w:pStyle w:val="Prrafodelista"/>
              <w:widowControl w:val="0"/>
              <w:autoSpaceDE w:val="0"/>
              <w:autoSpaceDN w:val="0"/>
              <w:adjustRightInd w:val="0"/>
              <w:ind w:left="1440"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08418B" w:rsidRDefault="00A36F59" w:rsidP="0008418B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b/>
                <w:lang w:eastAsia="es-SV"/>
              </w:rPr>
              <w:lastRenderedPageBreak/>
              <w:t>Constitución de la República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Sección Cuarta Art. 68</w:t>
            </w:r>
          </w:p>
          <w:p w:rsidR="0008418B" w:rsidRDefault="0008418B" w:rsidP="0008418B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08418B" w:rsidRDefault="00A36F59" w:rsidP="0008418B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b/>
                <w:lang w:eastAsia="es-SV"/>
              </w:rPr>
              <w:t>Código de Salud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color w:val="FF0000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I, Naturaleza e Integración del Consejo y las Juntas, Art. 7 al Art. 13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II, Atribuciones del Consejo, del Presidente del Consejo y del Secretario del Consejo, Art. 14 al 16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III, Atribuciones de las Juntas, Art. 17, literales de la “a” a la “l”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IV, Patrimonio y Control Fiscal, Art. 18 al Art. 20.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V, Fiscalización de la Corte de Cuentas de la República, Art. 21 y Art. 22.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VI, Del Ejercicio de las Profesiones, Art. 23 al Art. 29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VII, Requisitos para la Autorización del Ejercicio Profesional, Art. 30 al 32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VIII, Obligaciones, Derechos y Prohibiciones, Art. 33 y 34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Capítulo IX, Prohibiciones, Art. 35 al 39</w:t>
            </w:r>
          </w:p>
          <w:p w:rsidR="00A36F59" w:rsidRPr="0008418B" w:rsidRDefault="00A36F59" w:rsidP="0008418B">
            <w:pPr>
              <w:pStyle w:val="Sinespaciado"/>
              <w:jc w:val="both"/>
              <w:rPr>
                <w:rFonts w:ascii="Calibri Light" w:eastAsia="Times New Roman" w:hAnsi="Calibri Light"/>
                <w:b/>
              </w:rPr>
            </w:pPr>
            <w:r w:rsidRPr="0008418B">
              <w:rPr>
                <w:rFonts w:ascii="Calibri Light" w:eastAsia="Times New Roman" w:hAnsi="Calibri Light"/>
                <w:b/>
              </w:rPr>
              <w:t>Ley del Consejo Superior de Salud Pública y de las Juntas de Vigilancia de las Profesiones de Salud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Decreto 2699, 28 de agosto de 1958, publicado en el D.O. 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Nº 168, tomo 180, de diez de septiembre de 1958. 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08418B" w:rsidRDefault="00A36F59" w:rsidP="0008418B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b/>
                <w:lang w:eastAsia="es-SV"/>
              </w:rPr>
              <w:t>Ley del Ejercicio de la Profesión Odontológica y sus actividades auxiliares</w:t>
            </w:r>
          </w:p>
          <w:p w:rsidR="00A36F59" w:rsidRPr="0008418B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lang w:eastAsia="es-SV"/>
              </w:rPr>
              <w:t>Decreto 218, publicado en el D.O. Nº 76, Tomo 239,</w:t>
            </w:r>
            <w:r w:rsidR="00AF12C5">
              <w:rPr>
                <w:rFonts w:ascii="Calibri Light" w:eastAsia="Times New Roman" w:hAnsi="Calibri Light" w:cs="Calibri"/>
                <w:lang w:eastAsia="es-SV"/>
              </w:rPr>
              <w:t xml:space="preserve"> </w:t>
            </w:r>
            <w:r w:rsidRPr="0008418B">
              <w:rPr>
                <w:rFonts w:ascii="Calibri Light" w:eastAsia="Times New Roman" w:hAnsi="Calibri Light" w:cs="Calibri"/>
                <w:lang w:eastAsia="es-SV"/>
              </w:rPr>
              <w:t>de fecha 26 de abril de 1973.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08418B" w:rsidRDefault="00A36F59" w:rsidP="0008418B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08418B">
              <w:rPr>
                <w:rFonts w:ascii="Calibri Light" w:eastAsia="Times New Roman" w:hAnsi="Calibri Light" w:cs="Calibri"/>
                <w:b/>
                <w:lang w:eastAsia="es-SV"/>
              </w:rPr>
              <w:t>Ley de Medicamentos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D.L. 1008, publicado en el D.O. Nº 43, Tomo 394 de fecha 2 de marzo de 2012. 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Art. 13 Conceptos y Definiciones “Dependientes”  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 xml:space="preserve">Ley de Deberes y Derechos de los Pacientes y Prestadores de Servicios </w:t>
            </w: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lastRenderedPageBreak/>
              <w:t>de Salud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D.L. 307, publicado en el D.O. Nº 64, Tomo 411, de fecha 8 de abril de 2016.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Decreto 373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Derechos por servicios y licencias para los establecimientos de salud, 19 de noviembre de 1992, publicado en el D.O.Nº220, Tomo 317, de fecha 30 de noviembre de 1992.(DEROGADO PARCIALMENTE POR D.L. 417 DEL 11-7-2013)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Decreto 752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Reformas a los incisos 1º, 2º y 3º del Artículo 10, del Código de Salud, “Descentralización de las Elecciones de los Representantes para Consejo Directivo y Juntas de Vigilancia de las Profesiones de Salud”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Publicado en el D.O. Nº 149, Tomo 404, de fecha 15 de agosto de 2014.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del Consejo Superior de Salud Pública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D.E. Nº 56 del 10 de julio de 1997, publicado en el D.O. Nº 127, Tomo 336, del 10 de julio de 1997.  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 la Junta de Vigilancia de la Profesión en Laboratorio Clínico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D.E. Nº 26, del 2 de abril de 1991, publicado en el D.O. Nº 80, Tomo 311, de fecha tres de mayo de 1991.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 la Junta de Vigilancia de la Profesión Químico Farmacéutica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D.E. Nº 23, 19 de mayo de 1972, publicado en el D.O. Nº 98, Tomo 235, de fecha 29 de mayo de 1972.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Reformas: (1) D.L. Nº 955, del 28 de abril de 1988, publicado en el D.O. Nº 86, Tomo 299, de fecha 11 de mayo de 1988.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lastRenderedPageBreak/>
              <w:t>Reglamento Interno de la Junta de Vigilancia de la Profesión Odontológica</w:t>
            </w:r>
          </w:p>
          <w:p w:rsidR="00A36F59" w:rsidRPr="00AF12C5" w:rsidRDefault="00A36F59" w:rsidP="00AF12C5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D.E. 11, publicado en el D.O Nº 33, Tomo 226, de fecha 18 de febrero de 1970.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 la Junta de Vigilancia de la Profesión Médica</w:t>
            </w:r>
          </w:p>
          <w:p w:rsidR="00A36F59" w:rsidRPr="00AF12C5" w:rsidRDefault="00A36F59" w:rsidP="00175EF3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D.E. Nº 43, de fecha 9 de diciembre de 1970, publicado en el D.O. Nº 229, Tomo 229, de fecha 15 de diciembre de 1970.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 la Junta de Vigilancia de la Profesión Médico Veterinaria</w:t>
            </w:r>
          </w:p>
          <w:p w:rsidR="00A36F59" w:rsidRPr="00AF12C5" w:rsidRDefault="00A36F59" w:rsidP="00175EF3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 Nº 71, publicado en el D.O. Nº 71, tomo 399, de fecha 19 de abril de 2013.</w:t>
            </w:r>
          </w:p>
          <w:p w:rsidR="00A36F59" w:rsidRPr="0008418B" w:rsidRDefault="00A36F59" w:rsidP="00AF65DF">
            <w:pPr>
              <w:pStyle w:val="Prrafodelista"/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AF12C5" w:rsidRDefault="00A36F59" w:rsidP="00AF12C5">
            <w:pPr>
              <w:widowControl w:val="0"/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b/>
                <w:lang w:eastAsia="es-SV"/>
              </w:rPr>
              <w:t>Reglamento Interno de la Junta de Vigilancia de la Profesión en Psicología</w:t>
            </w:r>
          </w:p>
          <w:p w:rsidR="00A36F59" w:rsidRPr="00AF12C5" w:rsidRDefault="00A36F59" w:rsidP="00175EF3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AF12C5">
              <w:rPr>
                <w:rFonts w:ascii="Calibri Light" w:eastAsia="Times New Roman" w:hAnsi="Calibri Light" w:cs="Calibri"/>
                <w:lang w:eastAsia="es-SV"/>
              </w:rPr>
              <w:t>D.E. Nº 25, publicado en el D.O. Nº 78, Tomo 311</w:t>
            </w:r>
            <w:proofErr w:type="gramStart"/>
            <w:r w:rsidRPr="00AF12C5">
              <w:rPr>
                <w:rFonts w:ascii="Calibri Light" w:eastAsia="Times New Roman" w:hAnsi="Calibri Light" w:cs="Calibri"/>
                <w:lang w:eastAsia="es-SV"/>
              </w:rPr>
              <w:t>,de</w:t>
            </w:r>
            <w:proofErr w:type="gramEnd"/>
            <w:r w:rsidRPr="00AF12C5">
              <w:rPr>
                <w:rFonts w:ascii="Calibri Light" w:eastAsia="Times New Roman" w:hAnsi="Calibri Light" w:cs="Calibri"/>
                <w:lang w:eastAsia="es-SV"/>
              </w:rPr>
              <w:t xml:space="preserve"> fecha 30 de abril de 1991.</w:t>
            </w:r>
          </w:p>
          <w:p w:rsidR="00A36F59" w:rsidRDefault="00A36F59" w:rsidP="00AF12C5">
            <w:pPr>
              <w:pStyle w:val="Sinespaciado"/>
              <w:rPr>
                <w:rFonts w:ascii="Calibri Light" w:eastAsia="Times New Roman" w:hAnsi="Calibri Light"/>
                <w:b/>
              </w:rPr>
            </w:pPr>
            <w:r w:rsidRPr="0008418B">
              <w:rPr>
                <w:rFonts w:ascii="Calibri Light" w:eastAsia="Times New Roman" w:hAnsi="Calibri Light"/>
                <w:b/>
              </w:rPr>
              <w:t>Reglamento Interno de la Junta de Vigilancia de la Profesión de Enfermería</w:t>
            </w:r>
          </w:p>
          <w:p w:rsidR="00AF12C5" w:rsidRPr="0008418B" w:rsidRDefault="00AF12C5" w:rsidP="00AF12C5">
            <w:pPr>
              <w:pStyle w:val="Sinespaciado"/>
              <w:rPr>
                <w:rFonts w:ascii="Calibri Light" w:eastAsia="Times New Roman" w:hAnsi="Calibri Light"/>
                <w:b/>
              </w:rPr>
            </w:pPr>
          </w:p>
          <w:p w:rsidR="00A36F59" w:rsidRPr="009F53A8" w:rsidRDefault="009F53A8" w:rsidP="00AF65DF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67" w:right="118"/>
              <w:jc w:val="both"/>
              <w:rPr>
                <w:rFonts w:ascii="Calibri Light" w:eastAsia="Times New Roman" w:hAnsi="Calibri Light"/>
              </w:rPr>
            </w:pPr>
            <w:r>
              <w:rPr>
                <w:rFonts w:ascii="Calibri Light" w:eastAsia="Times New Roman" w:hAnsi="Calibri Light" w:cs="Calibri"/>
                <w:lang w:eastAsia="es-SV"/>
              </w:rPr>
              <w:t>Elaborado en etapa de aprobación</w:t>
            </w:r>
          </w:p>
          <w:p w:rsidR="00A36F59" w:rsidRPr="0008418B" w:rsidRDefault="00A36F59" w:rsidP="00AF65DF">
            <w:pPr>
              <w:pStyle w:val="Sinespaciado"/>
              <w:rPr>
                <w:rFonts w:ascii="Calibri Light" w:eastAsia="Times New Roman" w:hAnsi="Calibri Light"/>
              </w:rPr>
            </w:pPr>
          </w:p>
          <w:p w:rsidR="00A36F59" w:rsidRPr="0008418B" w:rsidRDefault="00A36F59" w:rsidP="00AF65DF">
            <w:pPr>
              <w:pStyle w:val="Sinespaciado"/>
              <w:rPr>
                <w:rFonts w:ascii="Calibri Light" w:hAnsi="Calibri Light"/>
              </w:rPr>
            </w:pP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AF12C5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AF12C5">
              <w:rPr>
                <w:rFonts w:ascii="Calibri Light" w:hAnsi="Calibri Light"/>
                <w:b/>
              </w:rPr>
              <w:t>3.4 Estructura administrativa</w:t>
            </w:r>
          </w:p>
          <w:p w:rsidR="00A36F59" w:rsidRPr="00173549" w:rsidRDefault="00A36F59" w:rsidP="00AF65DF">
            <w:pPr>
              <w:jc w:val="both"/>
            </w:pPr>
          </w:p>
        </w:tc>
        <w:tc>
          <w:tcPr>
            <w:tcW w:w="851" w:type="dxa"/>
            <w:gridSpan w:val="2"/>
          </w:tcPr>
          <w:p w:rsidR="00194150" w:rsidRDefault="00194150" w:rsidP="00AF65DF">
            <w:pPr>
              <w:jc w:val="both"/>
            </w:pPr>
          </w:p>
          <w:p w:rsidR="00A36F59" w:rsidRPr="00173549" w:rsidRDefault="009F53A8" w:rsidP="00AF65DF">
            <w:pPr>
              <w:jc w:val="both"/>
            </w:pPr>
            <w:r>
              <w:t>P</w:t>
            </w:r>
            <w:r w:rsidR="00A36F59" w:rsidRPr="00173549">
              <w:t>. 27</w:t>
            </w:r>
          </w:p>
        </w:tc>
        <w:tc>
          <w:tcPr>
            <w:tcW w:w="6606" w:type="dxa"/>
          </w:tcPr>
          <w:p w:rsidR="00A36F59" w:rsidRDefault="00A36F59" w:rsidP="00AF65DF">
            <w:pPr>
              <w:widowControl w:val="0"/>
              <w:autoSpaceDE w:val="0"/>
              <w:autoSpaceDN w:val="0"/>
              <w:adjustRightInd w:val="0"/>
              <w:ind w:right="211"/>
              <w:jc w:val="both"/>
              <w:rPr>
                <w:rFonts w:eastAsia="Times New Roman" w:cs="Times New Roman"/>
                <w:szCs w:val="24"/>
                <w:lang w:eastAsia="es-SV"/>
              </w:rPr>
            </w:pPr>
          </w:p>
          <w:p w:rsidR="00A36F59" w:rsidRPr="009F53A8" w:rsidRDefault="00194150" w:rsidP="00AF65DF">
            <w:pPr>
              <w:widowControl w:val="0"/>
              <w:autoSpaceDE w:val="0"/>
              <w:autoSpaceDN w:val="0"/>
              <w:adjustRightInd w:val="0"/>
              <w:ind w:right="211"/>
              <w:jc w:val="both"/>
              <w:rPr>
                <w:rFonts w:eastAsia="Times New Roman" w:cs="Times New Roman"/>
                <w:b/>
                <w:szCs w:val="24"/>
                <w:u w:val="single"/>
                <w:lang w:eastAsia="es-SV"/>
              </w:rPr>
            </w:pPr>
            <w:r w:rsidRPr="00194150">
              <w:rPr>
                <w:b/>
                <w:noProof/>
                <w:u w:val="single"/>
                <w:lang w:eastAsia="es-SV"/>
              </w:rPr>
              <w:lastRenderedPageBreak/>
              <w:drawing>
                <wp:inline distT="0" distB="0" distL="0" distR="0">
                  <wp:extent cx="3546913" cy="2665141"/>
                  <wp:effectExtent l="1905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6767" t="10290" r="14535" b="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302" cy="266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9F53A8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F53A8">
              <w:rPr>
                <w:rFonts w:ascii="Calibri Light" w:hAnsi="Calibri Light"/>
                <w:b/>
              </w:rPr>
              <w:t xml:space="preserve">3.5 Gestión de documentos y políticas de ingreso </w:t>
            </w:r>
          </w:p>
        </w:tc>
        <w:tc>
          <w:tcPr>
            <w:tcW w:w="851" w:type="dxa"/>
            <w:gridSpan w:val="2"/>
          </w:tcPr>
          <w:p w:rsidR="00194150" w:rsidRDefault="00194150" w:rsidP="009F53A8">
            <w:pPr>
              <w:jc w:val="both"/>
            </w:pPr>
          </w:p>
          <w:p w:rsidR="00A36F59" w:rsidRPr="00173549" w:rsidRDefault="009F53A8" w:rsidP="009F53A8">
            <w:pPr>
              <w:jc w:val="both"/>
            </w:pPr>
            <w:r>
              <w:t>P</w:t>
            </w:r>
            <w:r w:rsidR="00A36F59" w:rsidRPr="00173549">
              <w:t>. 28</w:t>
            </w:r>
          </w:p>
        </w:tc>
        <w:tc>
          <w:tcPr>
            <w:tcW w:w="6606" w:type="dxa"/>
          </w:tcPr>
          <w:p w:rsidR="00A36F59" w:rsidRPr="009F53A8" w:rsidRDefault="009F53A8" w:rsidP="00AF65DF">
            <w:pPr>
              <w:spacing w:after="200" w:line="276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      </w:t>
            </w:r>
            <w:r w:rsidR="00A36F59" w:rsidRPr="009F53A8">
              <w:rPr>
                <w:rFonts w:ascii="Calibri Light" w:hAnsi="Calibri Light"/>
              </w:rPr>
              <w:t>Las Unidades y Juntas de Vigilancia de las Profesiones de Salud, tendrán la obligación de transferir su documentación al Archivo Central, debidamente organizada y foliada, según los lineamientos y normativas del Sistema Institucional de Archivos.</w:t>
            </w:r>
          </w:p>
          <w:p w:rsidR="00A36F59" w:rsidRPr="00173549" w:rsidRDefault="009F53A8" w:rsidP="00AF65DF">
            <w:pPr>
              <w:spacing w:after="200" w:line="276" w:lineRule="auto"/>
              <w:jc w:val="both"/>
            </w:pPr>
            <w:r>
              <w:rPr>
                <w:rFonts w:ascii="Calibri Light" w:hAnsi="Calibri Light"/>
              </w:rPr>
              <w:t xml:space="preserve">          </w:t>
            </w:r>
            <w:r w:rsidR="00A36F59" w:rsidRPr="009F53A8">
              <w:rPr>
                <w:rFonts w:ascii="Calibri Light" w:hAnsi="Calibri Light"/>
              </w:rPr>
              <w:t>El flujo documental se realizará entre los archivos: central, de gestión, especializados y demás que se creen en la ejecución del plan de trabajo institucional. Con el debido orden que permita la facilidad para la consulta de documentos y la dinamización en la transferencia de los mismos.</w:t>
            </w: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9F53A8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F53A8">
              <w:rPr>
                <w:rFonts w:ascii="Calibri Light" w:hAnsi="Calibri Light"/>
                <w:b/>
              </w:rPr>
              <w:t xml:space="preserve">3.6 Edificios </w:t>
            </w:r>
          </w:p>
        </w:tc>
        <w:tc>
          <w:tcPr>
            <w:tcW w:w="851" w:type="dxa"/>
            <w:gridSpan w:val="2"/>
          </w:tcPr>
          <w:p w:rsidR="00194150" w:rsidRDefault="00194150" w:rsidP="009F53A8">
            <w:pPr>
              <w:jc w:val="both"/>
            </w:pPr>
          </w:p>
          <w:p w:rsidR="00A36F59" w:rsidRPr="00173549" w:rsidRDefault="009F53A8" w:rsidP="009F53A8">
            <w:pPr>
              <w:jc w:val="both"/>
            </w:pPr>
            <w:r>
              <w:t>P</w:t>
            </w:r>
            <w:r w:rsidR="00A36F59" w:rsidRPr="00173549">
              <w:t>. 30</w:t>
            </w:r>
          </w:p>
        </w:tc>
        <w:tc>
          <w:tcPr>
            <w:tcW w:w="6606" w:type="dxa"/>
          </w:tcPr>
          <w:p w:rsidR="009F53A8" w:rsidRDefault="009F53A8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lang w:eastAsia="es-SV"/>
              </w:rPr>
            </w:pPr>
          </w:p>
          <w:p w:rsidR="00A36F59" w:rsidRPr="009F53A8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ascii="Calibri Light" w:eastAsiaTheme="minorEastAsia" w:hAnsi="Calibri Light"/>
                <w:b/>
                <w:szCs w:val="24"/>
                <w:lang w:eastAsia="es-SV"/>
              </w:rPr>
            </w:pPr>
            <w:r w:rsidRPr="009F53A8">
              <w:rPr>
                <w:rFonts w:ascii="Calibri Light" w:eastAsiaTheme="minorEastAsia" w:hAnsi="Calibri Light"/>
                <w:b/>
                <w:szCs w:val="24"/>
                <w:lang w:eastAsia="es-SV"/>
              </w:rPr>
              <w:t>Edificio 1:</w:t>
            </w:r>
          </w:p>
          <w:p w:rsidR="00A36F59" w:rsidRPr="009F53A8" w:rsidRDefault="0021484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ascii="Calibri Light" w:eastAsiaTheme="minorEastAsia" w:hAnsi="Calibri Light"/>
                <w:szCs w:val="24"/>
                <w:highlight w:val="yellow"/>
                <w:lang w:eastAsia="es-SV"/>
              </w:rPr>
            </w:pP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        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Inmueble urbano y construcciones de sistema mixto, situado al Poniente de esta capital, ubicado sobre el Paseo General Escalón, número tres mil quinientos cincuenta y uno, Colonia Escalón, de esta Ciudad y Departamento. La estructura es de dos niveles con parqueo para 13 vehículos, con un área total de construcción de 896.33 M2.</w:t>
            </w:r>
          </w:p>
          <w:p w:rsidR="00A36F59" w:rsidRPr="009F53A8" w:rsidRDefault="0021484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ascii="Calibri Light" w:eastAsiaTheme="minorEastAsia" w:hAnsi="Calibri Light"/>
                <w:szCs w:val="24"/>
                <w:highlight w:val="yellow"/>
                <w:lang w:eastAsia="es-SV"/>
              </w:rPr>
            </w:pP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       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El archivo central se encuentra en la primera planta de este edificio, posee paredes de concreto de sistema mixto, de tabla roca y vidrio, sin ventanas</w:t>
            </w: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al exterior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, dos detectores de humo</w:t>
            </w: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funcionales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,</w:t>
            </w: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un extintor para control de incendios en caso de siniestro,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 xml:space="preserve"> </w:t>
            </w: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once 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estantes debidamente empotrados para mayor seguridad</w:t>
            </w:r>
            <w:r>
              <w:rPr>
                <w:rFonts w:ascii="Calibri Light" w:eastAsiaTheme="minorEastAsia" w:hAnsi="Calibri Light"/>
                <w:szCs w:val="24"/>
                <w:lang w:eastAsia="es-SV"/>
              </w:rPr>
              <w:t xml:space="preserve"> y un eficiente sistema de climatizador de ambiente (dos equipos)</w:t>
            </w:r>
            <w:r w:rsidR="00A36F59" w:rsidRPr="009F53A8">
              <w:rPr>
                <w:rFonts w:ascii="Calibri Light" w:eastAsiaTheme="minorEastAsia" w:hAnsi="Calibri Light"/>
                <w:szCs w:val="24"/>
                <w:lang w:eastAsia="es-SV"/>
              </w:rPr>
              <w:t>.</w:t>
            </w:r>
          </w:p>
          <w:p w:rsidR="009F53A8" w:rsidRDefault="009F53A8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eastAsiaTheme="minorEastAsia"/>
                <w:b/>
                <w:szCs w:val="24"/>
                <w:lang w:eastAsia="es-SV"/>
              </w:rPr>
            </w:pPr>
          </w:p>
          <w:p w:rsidR="00A36F59" w:rsidRPr="00214840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ascii="Calibri Light" w:eastAsiaTheme="minorEastAsia" w:hAnsi="Calibri Light"/>
                <w:b/>
                <w:szCs w:val="24"/>
                <w:lang w:eastAsia="es-SV"/>
              </w:rPr>
            </w:pPr>
            <w:r w:rsidRPr="00214840">
              <w:rPr>
                <w:rFonts w:ascii="Calibri Light" w:eastAsiaTheme="minorEastAsia" w:hAnsi="Calibri Light"/>
                <w:b/>
                <w:szCs w:val="24"/>
                <w:lang w:eastAsia="es-SV"/>
              </w:rPr>
              <w:t>Edificio 2:</w:t>
            </w:r>
          </w:p>
          <w:p w:rsidR="00A36F59" w:rsidRPr="00214840" w:rsidRDefault="0021484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lastRenderedPageBreak/>
              <w:t xml:space="preserve">       </w:t>
            </w:r>
            <w:r w:rsidR="00A36F59" w:rsidRPr="00214840">
              <w:rPr>
                <w:rFonts w:ascii="Calibri Light" w:eastAsia="Times New Roman" w:hAnsi="Calibri Light" w:cs="Times New Roman"/>
                <w:szCs w:val="24"/>
                <w:lang w:eastAsia="es-SV"/>
              </w:rPr>
              <w:t>Inmueble urbano y construcciones de sistema mixto y tabla roca, de dos niveles de 440 M2 de construcción, ubicado en la misma dirección con parqueo para 45 vehículos.</w:t>
            </w:r>
          </w:p>
          <w:p w:rsidR="00A36F59" w:rsidRPr="00173549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7"/>
              <w:jc w:val="both"/>
            </w:pPr>
          </w:p>
        </w:tc>
      </w:tr>
      <w:tr w:rsidR="00A36F59" w:rsidRPr="00173549" w:rsidTr="00785B23">
        <w:tc>
          <w:tcPr>
            <w:tcW w:w="1951" w:type="dxa"/>
          </w:tcPr>
          <w:p w:rsidR="00194150" w:rsidRDefault="00194150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214840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214840">
              <w:rPr>
                <w:rFonts w:ascii="Calibri Light" w:hAnsi="Calibri Light"/>
                <w:b/>
              </w:rPr>
              <w:t>3.7 Fondos y colecciones custodiadas</w:t>
            </w:r>
          </w:p>
        </w:tc>
        <w:tc>
          <w:tcPr>
            <w:tcW w:w="851" w:type="dxa"/>
            <w:gridSpan w:val="2"/>
          </w:tcPr>
          <w:p w:rsidR="00194150" w:rsidRDefault="00194150" w:rsidP="00AF65DF">
            <w:pPr>
              <w:jc w:val="both"/>
            </w:pPr>
          </w:p>
          <w:p w:rsidR="00A36F59" w:rsidRPr="00173549" w:rsidRDefault="00214840" w:rsidP="00AF65DF">
            <w:pPr>
              <w:jc w:val="both"/>
            </w:pPr>
            <w:r>
              <w:t>P</w:t>
            </w:r>
            <w:r w:rsidR="00A36F59" w:rsidRPr="00173549">
              <w:t>. 31</w:t>
            </w:r>
          </w:p>
        </w:tc>
        <w:tc>
          <w:tcPr>
            <w:tcW w:w="6606" w:type="dxa"/>
          </w:tcPr>
          <w:p w:rsidR="00214840" w:rsidRDefault="00214840" w:rsidP="00AF65DF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Calibri Light" w:eastAsia="Calibri" w:hAnsi="Calibri Light" w:cs="Calibri"/>
                <w:lang w:eastAsia="es-SV"/>
              </w:rPr>
            </w:pPr>
          </w:p>
          <w:p w:rsidR="00214840" w:rsidRDefault="00214840" w:rsidP="00AF65DF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Calibri Light" w:eastAsia="Calibri" w:hAnsi="Calibri Light" w:cs="Calibri"/>
                <w:lang w:eastAsia="es-SV"/>
              </w:rPr>
            </w:pPr>
            <w:r>
              <w:rPr>
                <w:rFonts w:ascii="Calibri Light" w:eastAsia="Calibri" w:hAnsi="Calibri Light" w:cs="Calibri"/>
                <w:lang w:eastAsia="es-SV"/>
              </w:rPr>
              <w:t xml:space="preserve">       </w:t>
            </w:r>
            <w:r w:rsidR="00A36F59" w:rsidRPr="00214840">
              <w:rPr>
                <w:rFonts w:ascii="Calibri Light" w:eastAsia="Calibri" w:hAnsi="Calibri Light" w:cs="Calibri"/>
                <w:lang w:eastAsia="es-SV"/>
              </w:rPr>
              <w:t>El fondo documental existente hasta el momento es de gestión y especializado</w:t>
            </w:r>
            <w:r>
              <w:rPr>
                <w:rFonts w:ascii="Calibri Light" w:eastAsia="Calibri" w:hAnsi="Calibri Light" w:cs="Calibri"/>
                <w:lang w:eastAsia="es-SV"/>
              </w:rPr>
              <w:t>.</w:t>
            </w:r>
            <w:r w:rsidR="00A36F59" w:rsidRPr="00214840">
              <w:rPr>
                <w:rFonts w:ascii="Calibri Light" w:eastAsia="Calibri" w:hAnsi="Calibri Light" w:cs="Calibri"/>
                <w:lang w:eastAsia="es-SV"/>
              </w:rPr>
              <w:t xml:space="preserve"> </w:t>
            </w:r>
          </w:p>
          <w:p w:rsidR="00A36F59" w:rsidRPr="00214840" w:rsidRDefault="00214840" w:rsidP="00AF65DF">
            <w:pPr>
              <w:widowControl w:val="0"/>
              <w:autoSpaceDE w:val="0"/>
              <w:autoSpaceDN w:val="0"/>
              <w:adjustRightInd w:val="0"/>
              <w:ind w:right="68"/>
              <w:jc w:val="both"/>
              <w:rPr>
                <w:rFonts w:ascii="Calibri Light" w:eastAsia="Calibri" w:hAnsi="Calibri Light" w:cs="Calibri"/>
                <w:lang w:eastAsia="es-SV"/>
              </w:rPr>
            </w:pPr>
            <w:r>
              <w:rPr>
                <w:rFonts w:ascii="Calibri Light" w:eastAsia="Calibri" w:hAnsi="Calibri Light" w:cs="Calibri"/>
                <w:lang w:eastAsia="es-SV"/>
              </w:rPr>
              <w:t xml:space="preserve">       C</w:t>
            </w:r>
            <w:r w:rsidR="00A36F59" w:rsidRPr="00214840">
              <w:rPr>
                <w:rFonts w:ascii="Calibri Light" w:eastAsia="Calibri" w:hAnsi="Calibri Light" w:cs="Calibri"/>
                <w:lang w:eastAsia="es-SV"/>
              </w:rPr>
              <w:t xml:space="preserve">oncentra las actividades de las Unidades Administrativas del Consejo Superior de Salud Pública y de las Juntas de Vigilancia de las Profesiones de Salud, éstos estarán normados y organizados bajo los lineamientos que emita el Comité de Gestión Documental y Archivo. </w:t>
            </w:r>
          </w:p>
          <w:p w:rsidR="009F1717" w:rsidRDefault="00214840" w:rsidP="009F1717">
            <w:pPr>
              <w:jc w:val="both"/>
              <w:rPr>
                <w:rFonts w:ascii="Calibri Light" w:eastAsia="Calibri" w:hAnsi="Calibri Light" w:cs="Calibri"/>
                <w:lang w:eastAsia="es-SV"/>
              </w:rPr>
            </w:pPr>
            <w:r>
              <w:rPr>
                <w:rFonts w:ascii="Calibri Light" w:eastAsia="Calibri" w:hAnsi="Calibri Light" w:cs="Calibri"/>
                <w:lang w:eastAsia="es-SV"/>
              </w:rPr>
              <w:t xml:space="preserve">       </w:t>
            </w:r>
            <w:r w:rsidR="00A36F59" w:rsidRPr="00214840">
              <w:rPr>
                <w:rFonts w:ascii="Calibri Light" w:eastAsia="Calibri" w:hAnsi="Calibri Light" w:cs="Calibri"/>
                <w:lang w:eastAsia="es-SV"/>
              </w:rPr>
              <w:t>Se cuenta además con información generada según las atribuciones y competencias otorgadas por lo establecido en el Código de Salud y leyes de la materia,</w:t>
            </w:r>
            <w:r>
              <w:rPr>
                <w:rFonts w:ascii="Calibri Light" w:eastAsia="Calibri" w:hAnsi="Calibri Light" w:cs="Calibri"/>
                <w:lang w:eastAsia="es-SV"/>
              </w:rPr>
              <w:t xml:space="preserve"> </w:t>
            </w:r>
            <w:r w:rsidR="00A36F59" w:rsidRPr="00214840">
              <w:rPr>
                <w:rFonts w:ascii="Calibri Light" w:eastAsia="Calibri" w:hAnsi="Calibri Light" w:cs="Calibri"/>
                <w:lang w:eastAsia="es-SV"/>
              </w:rPr>
              <w:t>documentos relacionados con la vigilancia y control de profesionales de las diferentes carreras relativas a la salud y de establecimientos de salud entre otros</w:t>
            </w:r>
            <w:r w:rsidR="009F1717">
              <w:rPr>
                <w:rFonts w:ascii="Calibri Light" w:eastAsia="Calibri" w:hAnsi="Calibri Light" w:cs="Calibri"/>
                <w:lang w:eastAsia="es-SV"/>
              </w:rPr>
              <w:t>.</w:t>
            </w:r>
          </w:p>
          <w:p w:rsidR="00A36F59" w:rsidRPr="006F5C96" w:rsidRDefault="009F1717" w:rsidP="009F1717">
            <w:pPr>
              <w:jc w:val="both"/>
              <w:rPr>
                <w:rFonts w:ascii="Calibri" w:eastAsia="Calibri" w:hAnsi="Calibri" w:cs="Calibri"/>
                <w:b/>
                <w:color w:val="000000"/>
                <w:lang w:eastAsia="es-SV"/>
              </w:rPr>
            </w:pPr>
            <w:r>
              <w:rPr>
                <w:rFonts w:ascii="Calibri Light" w:eastAsia="Calibri" w:hAnsi="Calibri Light" w:cs="Calibri"/>
                <w:color w:val="000000"/>
                <w:lang w:eastAsia="es-SV"/>
              </w:rPr>
              <w:t xml:space="preserve">      </w:t>
            </w:r>
          </w:p>
        </w:tc>
      </w:tr>
      <w:tr w:rsidR="00A36F59" w:rsidRPr="00173549" w:rsidTr="00785B23">
        <w:tc>
          <w:tcPr>
            <w:tcW w:w="1951" w:type="dxa"/>
          </w:tcPr>
          <w:p w:rsidR="009F1717" w:rsidRDefault="009F1717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9F1717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F1717">
              <w:rPr>
                <w:rFonts w:ascii="Calibri Light" w:hAnsi="Calibri Light"/>
                <w:b/>
              </w:rPr>
              <w:t xml:space="preserve">3.8 Instrumentos de descripción, guías y publicaciones </w:t>
            </w:r>
          </w:p>
        </w:tc>
        <w:tc>
          <w:tcPr>
            <w:tcW w:w="851" w:type="dxa"/>
            <w:gridSpan w:val="2"/>
          </w:tcPr>
          <w:p w:rsidR="009F1717" w:rsidRDefault="009F1717" w:rsidP="009F1717">
            <w:pPr>
              <w:jc w:val="both"/>
            </w:pPr>
          </w:p>
          <w:p w:rsidR="009F1717" w:rsidRDefault="009F1717" w:rsidP="009F1717">
            <w:pPr>
              <w:jc w:val="both"/>
            </w:pPr>
          </w:p>
          <w:p w:rsidR="00A36F59" w:rsidRPr="00173549" w:rsidRDefault="009F1717" w:rsidP="009F1717">
            <w:pPr>
              <w:jc w:val="both"/>
            </w:pPr>
            <w:r>
              <w:t>P</w:t>
            </w:r>
            <w:r w:rsidR="00A36F59" w:rsidRPr="00173549">
              <w:t>. 33</w:t>
            </w:r>
          </w:p>
        </w:tc>
        <w:tc>
          <w:tcPr>
            <w:tcW w:w="6606" w:type="dxa"/>
          </w:tcPr>
          <w:p w:rsidR="009F1717" w:rsidRDefault="009F1717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Pr="009F1717" w:rsidRDefault="009F1717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9F1717">
              <w:rPr>
                <w:rFonts w:ascii="Calibri Light" w:eastAsia="Times New Roman" w:hAnsi="Calibri Light" w:cs="Times New Roman"/>
                <w:szCs w:val="24"/>
                <w:lang w:eastAsia="es-SV"/>
              </w:rPr>
              <w:t>Guía de Archivo del Consejo Superior de Salud Pública. Consejo Superior de Salud Pública, San Salvador: versión 2/2017.</w:t>
            </w:r>
          </w:p>
          <w:p w:rsidR="009F1717" w:rsidRDefault="009F1717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Default="009F1717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9F1717">
              <w:rPr>
                <w:rFonts w:ascii="Calibri Light" w:eastAsia="Times New Roman" w:hAnsi="Calibri Light" w:cs="Times New Roman"/>
                <w:szCs w:val="24"/>
                <w:lang w:eastAsia="es-SV"/>
              </w:rPr>
              <w:t>Guía de Archivo del Consejo Superior de Salud Pública. Consejo Superior de Salud Pública, San Salvador: versión 3/2019.</w:t>
            </w:r>
          </w:p>
          <w:p w:rsidR="009F1717" w:rsidRDefault="009F1717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9F1717" w:rsidRPr="00D76324" w:rsidRDefault="009F1717" w:rsidP="009F1717">
            <w:pPr>
              <w:jc w:val="both"/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</w:t>
            </w:r>
            <w:r w:rsidRPr="009F1717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Guía de Archivo del Consejo Superior de Salud Pública. Consejo Superior de Salud Pública, San Salvador: versión 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4</w:t>
            </w:r>
            <w:r w:rsidRPr="009F1717">
              <w:rPr>
                <w:rFonts w:ascii="Calibri Light" w:eastAsia="Times New Roman" w:hAnsi="Calibri Light" w:cs="Times New Roman"/>
                <w:szCs w:val="24"/>
                <w:lang w:eastAsia="es-SV"/>
              </w:rPr>
              <w:t>/20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22</w:t>
            </w:r>
            <w:r w:rsidRPr="009F1717">
              <w:rPr>
                <w:rFonts w:ascii="Calibri Light" w:eastAsia="Times New Roman" w:hAnsi="Calibri Light" w:cs="Times New Roman"/>
                <w:szCs w:val="24"/>
                <w:lang w:eastAsia="es-SV"/>
              </w:rPr>
              <w:t>.</w:t>
            </w: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C000"/>
          </w:tcPr>
          <w:p w:rsidR="00A36F59" w:rsidRPr="00173549" w:rsidRDefault="00194150" w:rsidP="00194150">
            <w:pPr>
              <w:tabs>
                <w:tab w:val="left" w:pos="5917"/>
              </w:tabs>
              <w:jc w:val="both"/>
            </w:pPr>
            <w:r>
              <w:tab/>
            </w: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FF99"/>
          </w:tcPr>
          <w:p w:rsidR="00A36F59" w:rsidRPr="00173549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785B23">
              <w:rPr>
                <w:rFonts w:ascii="Euphemia" w:hAnsi="Euphemia"/>
                <w:b/>
              </w:rPr>
              <w:t>ÁREA DE ACCESO</w:t>
            </w:r>
            <w:r w:rsidRPr="00173549">
              <w:rPr>
                <w:b/>
              </w:rPr>
              <w:t xml:space="preserve"> </w:t>
            </w:r>
          </w:p>
        </w:tc>
      </w:tr>
      <w:tr w:rsidR="00A36F59" w:rsidRPr="00173549" w:rsidTr="009F1717">
        <w:tc>
          <w:tcPr>
            <w:tcW w:w="1951" w:type="dxa"/>
          </w:tcPr>
          <w:p w:rsidR="009F1717" w:rsidRDefault="009F1717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9F1717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F1717">
              <w:rPr>
                <w:rFonts w:ascii="Calibri Light" w:hAnsi="Calibri Light"/>
                <w:b/>
              </w:rPr>
              <w:t xml:space="preserve">4.1 Horario de apertura </w:t>
            </w:r>
          </w:p>
        </w:tc>
        <w:tc>
          <w:tcPr>
            <w:tcW w:w="851" w:type="dxa"/>
            <w:gridSpan w:val="2"/>
          </w:tcPr>
          <w:p w:rsidR="002D09B1" w:rsidRDefault="002D09B1" w:rsidP="00AF65DF">
            <w:pPr>
              <w:jc w:val="both"/>
            </w:pPr>
          </w:p>
          <w:p w:rsidR="00A36F59" w:rsidRPr="00173549" w:rsidRDefault="002D09B1" w:rsidP="002D09B1">
            <w:pPr>
              <w:jc w:val="both"/>
            </w:pPr>
            <w:r>
              <w:t>P</w:t>
            </w:r>
            <w:r w:rsidR="00A36F59" w:rsidRPr="00173549">
              <w:t>. 34</w:t>
            </w:r>
          </w:p>
        </w:tc>
        <w:tc>
          <w:tcPr>
            <w:tcW w:w="6606" w:type="dxa"/>
          </w:tcPr>
          <w:p w:rsidR="002D09B1" w:rsidRDefault="002D09B1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eastAsia="Times New Roman" w:cs="Times New Roman"/>
                <w:szCs w:val="24"/>
                <w:lang w:eastAsia="es-SV"/>
              </w:rPr>
            </w:pPr>
          </w:p>
          <w:p w:rsidR="00A36F59" w:rsidRPr="002D09B1" w:rsidRDefault="002D09B1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Lunes a viernes de 8:00 de la mañana a 4:00 de la tarde</w:t>
            </w: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(sin cerrar al mediodía)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</w:t>
            </w:r>
          </w:p>
          <w:p w:rsidR="00A36F59" w:rsidRPr="002D09B1" w:rsidRDefault="002D09B1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Cerrado los fines de semana y los días festivos o asuetos por Decreto: 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Vacaciones de Semana Santa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1 y 10 de mayo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lastRenderedPageBreak/>
              <w:t>17 de junio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1 al 6 de agosto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15 de septiembre</w:t>
            </w:r>
          </w:p>
          <w:p w:rsidR="002D09B1" w:rsidRPr="002D09B1" w:rsidRDefault="00A36F59" w:rsidP="002D09B1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2 de noviembre</w:t>
            </w:r>
          </w:p>
          <w:p w:rsidR="00A36F59" w:rsidRPr="002D09B1" w:rsidRDefault="00A36F59" w:rsidP="00A36F59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2</w:t>
            </w:r>
            <w:r w:rsid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3</w:t>
            </w:r>
            <w:r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de diciembre al 2 de enero. </w:t>
            </w:r>
          </w:p>
          <w:p w:rsidR="00A36F59" w:rsidRPr="0065033D" w:rsidRDefault="002D09B1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61"/>
              <w:jc w:val="both"/>
              <w:rPr>
                <w:rFonts w:eastAsia="Times New Roman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>Y cualquier otro que se establezca en un Decreto Legislativo. De conformidad a la Ley de Asuetos, Vacaciones y Licencias de los Empleados Públicos.</w:t>
            </w:r>
          </w:p>
        </w:tc>
      </w:tr>
      <w:tr w:rsidR="00A36F59" w:rsidRPr="002D09B1" w:rsidTr="009F1717">
        <w:tc>
          <w:tcPr>
            <w:tcW w:w="1951" w:type="dxa"/>
          </w:tcPr>
          <w:p w:rsidR="002D09B1" w:rsidRDefault="002D09B1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173549" w:rsidRDefault="00A36F59" w:rsidP="00AF65DF">
            <w:pPr>
              <w:jc w:val="both"/>
            </w:pPr>
            <w:r w:rsidRPr="002D09B1">
              <w:rPr>
                <w:rFonts w:ascii="Calibri Light" w:hAnsi="Calibri Light"/>
                <w:b/>
              </w:rPr>
              <w:t>4.2 Condiciones y requisitos para el</w:t>
            </w:r>
            <w:r w:rsidRPr="00173549">
              <w:t xml:space="preserve"> uso y acceso</w:t>
            </w:r>
          </w:p>
        </w:tc>
        <w:tc>
          <w:tcPr>
            <w:tcW w:w="851" w:type="dxa"/>
            <w:gridSpan w:val="2"/>
          </w:tcPr>
          <w:p w:rsidR="00194150" w:rsidRDefault="00194150" w:rsidP="00AF65DF">
            <w:pPr>
              <w:jc w:val="both"/>
            </w:pPr>
          </w:p>
          <w:p w:rsidR="00A36F59" w:rsidRPr="00173549" w:rsidRDefault="002D09B1" w:rsidP="00AF65DF">
            <w:pPr>
              <w:jc w:val="both"/>
            </w:pPr>
            <w:r>
              <w:t>P</w:t>
            </w:r>
            <w:r w:rsidR="00A36F59" w:rsidRPr="00173549">
              <w:t>. 35</w:t>
            </w:r>
          </w:p>
        </w:tc>
        <w:tc>
          <w:tcPr>
            <w:tcW w:w="6606" w:type="dxa"/>
          </w:tcPr>
          <w:p w:rsidR="002D09B1" w:rsidRDefault="002D09B1" w:rsidP="00AF6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Pr="002D09B1" w:rsidRDefault="002D09B1" w:rsidP="00AF6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El ingreso a la institución es libre y gratuito para todas las personas, no es necesaria la presentación de documento de identificación en mostrador de la recepción, sea nacional, menor de edad, centroamericano o extranjero. Las condiciones de acceso a la información están sujetas a disposiciones establecidas en la Ley de Acceso a la Información Pública y las emitidas por la institución para cumplir con dicha ley. </w:t>
            </w:r>
          </w:p>
          <w:p w:rsidR="00A36F59" w:rsidRPr="002D09B1" w:rsidRDefault="002D09B1" w:rsidP="00AF6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El usuario puede consultar el portal de transparencia del sitio web que contiene información púbica oficiosa que estable la Ley de Acceso a la Información Pública. Si no encuentra la información que busca en dicho espacio, puede solicitar información por medio de correo electrónico o vía página web, utilizando los formularios proporcionados por la Oficial de Información. </w:t>
            </w:r>
          </w:p>
          <w:p w:rsidR="00A36F59" w:rsidRPr="002D09B1" w:rsidRDefault="002D09B1" w:rsidP="00AF6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 </w:t>
            </w:r>
            <w:r w:rsidR="00A36F59" w:rsidRPr="002D09B1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Las restricciones de acceso a la información son aquellas contenidas en la Ley de Acceso a la Información Pública en lo referente a los datos personales, información reservada o confidencial establecida en los índices de información reservada publicados en el mismo portal. </w:t>
            </w:r>
          </w:p>
          <w:p w:rsidR="002D09B1" w:rsidRDefault="002D09B1" w:rsidP="002D0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  <w:t xml:space="preserve">       </w:t>
            </w:r>
            <w:r w:rsidR="00A36F59" w:rsidRPr="002D09B1"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  <w:t>Oficial de información del CSSP</w:t>
            </w:r>
            <w:r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  <w:t>:</w:t>
            </w:r>
          </w:p>
          <w:p w:rsidR="00A36F59" w:rsidRPr="002D09B1" w:rsidRDefault="00A36F59" w:rsidP="002D09B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</w:pPr>
            <w:r w:rsidRPr="002D09B1">
              <w:rPr>
                <w:rFonts w:ascii="Calibri Light" w:eastAsia="Times New Roman" w:hAnsi="Calibri Light" w:cs="Times New Roman"/>
                <w:b/>
                <w:szCs w:val="24"/>
                <w:lang w:val="en-US" w:eastAsia="es-SV"/>
              </w:rPr>
              <w:t>Aura Ivette Morales:</w:t>
            </w:r>
            <w:r w:rsidR="002D09B1">
              <w:rPr>
                <w:rFonts w:ascii="Calibri Light" w:eastAsia="Times New Roman" w:hAnsi="Calibri Light" w:cs="Times New Roman"/>
                <w:b/>
                <w:szCs w:val="24"/>
                <w:lang w:val="en-US" w:eastAsia="es-SV"/>
              </w:rPr>
              <w:t xml:space="preserve"> </w:t>
            </w:r>
            <w:hyperlink r:id="rId12" w:history="1">
              <w:r w:rsidRPr="002D09B1">
                <w:rPr>
                  <w:rFonts w:ascii="Calibri Light" w:eastAsia="Times New Roman" w:hAnsi="Calibri Light" w:cs="Times New Roman"/>
                  <w:color w:val="0000FF" w:themeColor="hyperlink"/>
                  <w:szCs w:val="24"/>
                  <w:u w:val="single"/>
                  <w:lang w:val="en-US" w:eastAsia="es-SV"/>
                </w:rPr>
                <w:t>amorales@cssp.gob.sv</w:t>
              </w:r>
            </w:hyperlink>
          </w:p>
          <w:p w:rsidR="002D09B1" w:rsidRPr="002D09B1" w:rsidRDefault="002D09B1" w:rsidP="002D09B1">
            <w:pPr>
              <w:pStyle w:val="Prrafodelista"/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</w:pPr>
          </w:p>
        </w:tc>
      </w:tr>
      <w:tr w:rsidR="00A36F59" w:rsidRPr="00173549" w:rsidTr="009F1717">
        <w:tc>
          <w:tcPr>
            <w:tcW w:w="1951" w:type="dxa"/>
          </w:tcPr>
          <w:p w:rsidR="002D09B1" w:rsidRDefault="002D09B1" w:rsidP="00AF65DF">
            <w:pPr>
              <w:jc w:val="both"/>
            </w:pPr>
          </w:p>
          <w:p w:rsidR="00A36F59" w:rsidRPr="002D09B1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2D09B1">
              <w:rPr>
                <w:rFonts w:ascii="Calibri Light" w:hAnsi="Calibri Light"/>
                <w:b/>
              </w:rPr>
              <w:t xml:space="preserve">4.3 Accesibilidad </w:t>
            </w:r>
          </w:p>
        </w:tc>
        <w:tc>
          <w:tcPr>
            <w:tcW w:w="851" w:type="dxa"/>
            <w:gridSpan w:val="2"/>
          </w:tcPr>
          <w:p w:rsidR="002D09B1" w:rsidRDefault="002D09B1" w:rsidP="00AF65DF">
            <w:pPr>
              <w:jc w:val="both"/>
            </w:pPr>
          </w:p>
          <w:p w:rsidR="00A36F59" w:rsidRPr="00173549" w:rsidRDefault="002D09B1" w:rsidP="002D09B1">
            <w:pPr>
              <w:jc w:val="both"/>
            </w:pPr>
            <w:r>
              <w:t>P</w:t>
            </w:r>
            <w:r w:rsidR="00A36F59" w:rsidRPr="00173549">
              <w:t>. 37</w:t>
            </w:r>
          </w:p>
        </w:tc>
        <w:tc>
          <w:tcPr>
            <w:tcW w:w="6606" w:type="dxa"/>
          </w:tcPr>
          <w:p w:rsidR="002D09B1" w:rsidRDefault="002D09B1" w:rsidP="00AF65DF">
            <w:pPr>
              <w:jc w:val="both"/>
              <w:rPr>
                <w:rFonts w:eastAsia="Times New Roman" w:cs="Times New Roman"/>
                <w:lang w:eastAsia="es-SV"/>
              </w:rPr>
            </w:pPr>
          </w:p>
          <w:p w:rsidR="002D09B1" w:rsidRPr="008E54FA" w:rsidRDefault="002D09B1" w:rsidP="00AF65DF">
            <w:p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>
              <w:rPr>
                <w:rFonts w:eastAsia="Times New Roman" w:cs="Times New Roman"/>
                <w:lang w:eastAsia="es-SV"/>
              </w:rPr>
              <w:t xml:space="preserve">      </w:t>
            </w:r>
            <w:r w:rsidR="00A36F59"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El servicio de autobuses es por medio de las Rutas: </w:t>
            </w:r>
          </w:p>
          <w:p w:rsidR="00A36F59" w:rsidRPr="008E54FA" w:rsidRDefault="00A36F59" w:rsidP="002D09B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52 (autobús) que hace su recorrido desde su punto ubicado 50 metros atrás de las instalaciones de la División Anti Narcóticos hasta el Paseo General Escalón. </w:t>
            </w:r>
          </w:p>
          <w:p w:rsidR="008E54FA" w:rsidRPr="008E54FA" w:rsidRDefault="008E54FA" w:rsidP="008E54FA">
            <w:pPr>
              <w:pStyle w:val="Prrafodelista"/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8E54FA" w:rsidRPr="008E54FA" w:rsidRDefault="00A36F59" w:rsidP="008E54F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>Ruta 52 (microbús) que hace su recorrido desde su punto ubicado entre calle Celis y Avenida Juan Pablo II, hasta el Paseo General Escalón.</w:t>
            </w:r>
          </w:p>
          <w:p w:rsidR="008E54FA" w:rsidRPr="008E54FA" w:rsidRDefault="008E54FA" w:rsidP="008E54FA">
            <w:pPr>
              <w:pStyle w:val="Prrafodelista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8E54FA" w:rsidRPr="008E54FA" w:rsidRDefault="008E54FA" w:rsidP="008E54FA">
            <w:pPr>
              <w:pStyle w:val="Prrafodelista"/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A36F59" w:rsidRPr="008E54FA" w:rsidRDefault="00A36F59" w:rsidP="008E54F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>Ruta 16 (autobús y microbús) que hace su recorrido desde su punto ubicado en Colonia San Antonio Abad, sobre la 75 Avenida Norte y Calle Mano de León hasta el Parque Centenario.</w:t>
            </w:r>
          </w:p>
          <w:p w:rsidR="008E54FA" w:rsidRPr="008E54FA" w:rsidRDefault="008E54FA" w:rsidP="008E54FA">
            <w:pPr>
              <w:pStyle w:val="Prrafodelista"/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A36F59" w:rsidRPr="008E54FA" w:rsidRDefault="00A36F59" w:rsidP="008E54F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Ruta 7 que hace su recorrido desde su punto ubicado en Colonia Guadalupe, Soyapango hasta Centro Comercial Galerías Escalón. </w:t>
            </w:r>
          </w:p>
          <w:p w:rsidR="008E54FA" w:rsidRPr="008E54FA" w:rsidRDefault="008E54FA" w:rsidP="008E54FA">
            <w:pPr>
              <w:pStyle w:val="Prrafodelista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8E54FA" w:rsidRPr="008E54FA" w:rsidRDefault="008E54FA" w:rsidP="008E54FA">
            <w:pPr>
              <w:pStyle w:val="Prrafodelista"/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A36F59" w:rsidRPr="008E54FA" w:rsidRDefault="00A36F59" w:rsidP="008E54F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>Ruta 7D que hace su recorrido desde su punto ubicado en Colonia Los Conacastes, Soyapango hasta Centro Comercial Galerías Escalón.</w:t>
            </w:r>
          </w:p>
          <w:p w:rsidR="008E54FA" w:rsidRPr="008E54FA" w:rsidRDefault="008E54FA" w:rsidP="008E54FA">
            <w:pPr>
              <w:pStyle w:val="Prrafodelista"/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</w:p>
          <w:p w:rsidR="00A36F59" w:rsidRPr="008E54FA" w:rsidRDefault="00A36F59" w:rsidP="008E54F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Ruta 30B, que hace su recorrido desde su punto ubicado en Colonia Las </w:t>
            </w:r>
            <w:r w:rsidR="008E54FA"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Terrazas, </w:t>
            </w:r>
            <w:proofErr w:type="spellStart"/>
            <w:r w:rsidR="008E54FA" w:rsidRPr="008E54FA">
              <w:rPr>
                <w:rFonts w:ascii="Calibri Light" w:eastAsia="Times New Roman" w:hAnsi="Calibri Light" w:cs="Times New Roman"/>
                <w:lang w:eastAsia="es-SV"/>
              </w:rPr>
              <w:t>Ayutuxtepeque</w:t>
            </w:r>
            <w:proofErr w:type="spellEnd"/>
            <w:r w:rsidR="008E54FA" w:rsidRPr="008E54FA">
              <w:rPr>
                <w:rFonts w:ascii="Calibri Light" w:eastAsia="Times New Roman" w:hAnsi="Calibri Light" w:cs="Times New Roman"/>
                <w:lang w:eastAsia="es-SV"/>
              </w:rPr>
              <w:t>, hasta HOSPITAL EL SALVADOR</w:t>
            </w:r>
          </w:p>
          <w:p w:rsidR="00A36F59" w:rsidRPr="008E54FA" w:rsidRDefault="008E54FA" w:rsidP="00AF65DF">
            <w:pPr>
              <w:jc w:val="both"/>
              <w:rPr>
                <w:rFonts w:ascii="Calibri Light" w:eastAsia="Times New Roman" w:hAnsi="Calibri Light" w:cs="Times New Roman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       </w:t>
            </w:r>
            <w:r w:rsidR="00A36F59" w:rsidRPr="008E54FA">
              <w:rPr>
                <w:rFonts w:ascii="Calibri Light" w:eastAsia="Times New Roman" w:hAnsi="Calibri Light" w:cs="Times New Roman"/>
                <w:lang w:eastAsia="es-SV"/>
              </w:rPr>
              <w:t xml:space="preserve">El acceso principal y las instalaciones internas no tienen condiciones para personas con movilidad reducida y discapacidad. En el interior de las oficinas no existen obstáculos en la circulación.   </w:t>
            </w:r>
          </w:p>
          <w:p w:rsidR="00A36F59" w:rsidRPr="0065033D" w:rsidRDefault="00A36F59" w:rsidP="00AF65DF">
            <w:pPr>
              <w:jc w:val="both"/>
            </w:pP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C000"/>
          </w:tcPr>
          <w:p w:rsidR="00A36F59" w:rsidRPr="00173549" w:rsidRDefault="00194150" w:rsidP="00194150">
            <w:pPr>
              <w:tabs>
                <w:tab w:val="left" w:pos="5094"/>
              </w:tabs>
              <w:jc w:val="both"/>
            </w:pPr>
            <w:r>
              <w:lastRenderedPageBreak/>
              <w:tab/>
            </w: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FF99"/>
          </w:tcPr>
          <w:p w:rsidR="00A36F59" w:rsidRPr="00173549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785B23">
              <w:rPr>
                <w:rFonts w:ascii="Euphemia" w:hAnsi="Euphemia"/>
                <w:b/>
              </w:rPr>
              <w:t>ÁREA DE SERVICIOS</w:t>
            </w:r>
            <w:r w:rsidRPr="00173549">
              <w:rPr>
                <w:b/>
              </w:rPr>
              <w:t xml:space="preserve"> </w:t>
            </w:r>
          </w:p>
        </w:tc>
      </w:tr>
      <w:tr w:rsidR="00A36F59" w:rsidRPr="00173549" w:rsidTr="008E54FA">
        <w:tc>
          <w:tcPr>
            <w:tcW w:w="1951" w:type="dxa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>5.1 Servicios de ayuda a la investigación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8E54FA" w:rsidP="008E54FA">
            <w:pPr>
              <w:jc w:val="both"/>
              <w:rPr>
                <w:rFonts w:ascii="Calibri Light" w:hAnsi="Calibri Light"/>
              </w:rPr>
            </w:pPr>
            <w:r w:rsidRPr="008E54FA">
              <w:rPr>
                <w:rFonts w:ascii="Calibri Light" w:hAnsi="Calibri Light"/>
              </w:rPr>
              <w:t>P</w:t>
            </w:r>
            <w:r w:rsidR="00A36F59" w:rsidRPr="008E54FA">
              <w:rPr>
                <w:rFonts w:ascii="Calibri Light" w:hAnsi="Calibri Light"/>
              </w:rPr>
              <w:t>. 39</w:t>
            </w:r>
          </w:p>
        </w:tc>
        <w:tc>
          <w:tcPr>
            <w:tcW w:w="6606" w:type="dxa"/>
          </w:tcPr>
          <w:p w:rsidR="008E54FA" w:rsidRPr="008E54FA" w:rsidRDefault="008E54FA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Pr="008E54FA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No se cuenta con sala de consultas, no obstante, se pueden habilitar espacios para consulta de ser requeridos por el solicitante. </w:t>
            </w:r>
          </w:p>
          <w:p w:rsidR="00A36F59" w:rsidRPr="008E54FA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8E54FA">
              <w:rPr>
                <w:rFonts w:ascii="Calibri Light" w:eastAsia="Times New Roman" w:hAnsi="Calibri Light" w:cs="Times New Roman"/>
                <w:szCs w:val="24"/>
                <w:lang w:eastAsia="es-SV"/>
              </w:rPr>
              <w:t>Los servicios de referencia, orientación y ayuda a la investigación se hacen a través del Oficial de Información.</w:t>
            </w:r>
          </w:p>
          <w:p w:rsidR="008E54FA" w:rsidRPr="008E54FA" w:rsidRDefault="008E54FA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34"/>
              <w:jc w:val="both"/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>5.2 Servicios de reproducción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8E54FA" w:rsidP="008E54FA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8E54FA">
              <w:rPr>
                <w:rFonts w:ascii="Calibri Light" w:hAnsi="Calibri Light"/>
              </w:rPr>
              <w:t>. 41</w:t>
            </w:r>
          </w:p>
        </w:tc>
        <w:tc>
          <w:tcPr>
            <w:tcW w:w="6606" w:type="dxa"/>
          </w:tcPr>
          <w:p w:rsidR="008E54FA" w:rsidRPr="008E54FA" w:rsidRDefault="008E54FA" w:rsidP="008E54F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20" w:right="66"/>
              <w:contextualSpacing/>
              <w:jc w:val="both"/>
              <w:rPr>
                <w:rFonts w:ascii="Calibri Light" w:hAnsi="Calibri Light"/>
              </w:rPr>
            </w:pPr>
          </w:p>
          <w:p w:rsidR="00A36F59" w:rsidRPr="008E54FA" w:rsidRDefault="00A36F59" w:rsidP="00A36F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39" w:lineRule="auto"/>
              <w:ind w:right="66"/>
              <w:contextualSpacing/>
              <w:jc w:val="both"/>
              <w:rPr>
                <w:rFonts w:ascii="Calibri Light" w:hAnsi="Calibri Light"/>
              </w:rPr>
            </w:pPr>
            <w:r w:rsidRPr="008E54FA">
              <w:rPr>
                <w:rFonts w:ascii="Calibri Light" w:hAnsi="Calibri Light"/>
              </w:rPr>
              <w:t>Servicio de fotocopia y certificación de documentos (previo pago de precio o derechos respectivamente)</w:t>
            </w:r>
          </w:p>
          <w:p w:rsidR="00A36F59" w:rsidRDefault="00A36F59" w:rsidP="00A36F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39" w:lineRule="auto"/>
              <w:ind w:right="66"/>
              <w:contextualSpacing/>
              <w:jc w:val="both"/>
              <w:rPr>
                <w:rFonts w:ascii="Calibri Light" w:hAnsi="Calibri Light"/>
              </w:rPr>
            </w:pPr>
            <w:r w:rsidRPr="008E54FA">
              <w:rPr>
                <w:rFonts w:ascii="Calibri Light" w:hAnsi="Calibri Light"/>
              </w:rPr>
              <w:t>El envío de documentación por vía electrónica, es un servicio gratuito</w:t>
            </w:r>
          </w:p>
          <w:p w:rsidR="008E54FA" w:rsidRPr="008E54FA" w:rsidRDefault="008E54FA" w:rsidP="008E54F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20" w:right="66"/>
              <w:contextualSpacing/>
              <w:jc w:val="both"/>
              <w:rPr>
                <w:rFonts w:ascii="Calibri Light" w:hAnsi="Calibri Light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 xml:space="preserve">5.3 Espacios </w:t>
            </w:r>
            <w:r w:rsidRPr="008E54FA">
              <w:rPr>
                <w:rFonts w:ascii="Calibri Light" w:hAnsi="Calibri Light"/>
                <w:b/>
              </w:rPr>
              <w:lastRenderedPageBreak/>
              <w:t xml:space="preserve">públicos 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8E54FA" w:rsidP="00AF65DF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P</w:t>
            </w:r>
            <w:r w:rsidR="00A36F59" w:rsidRPr="008E54FA">
              <w:rPr>
                <w:rFonts w:ascii="Calibri Light" w:hAnsi="Calibri Light"/>
              </w:rPr>
              <w:t>. 42</w:t>
            </w:r>
          </w:p>
        </w:tc>
        <w:tc>
          <w:tcPr>
            <w:tcW w:w="6606" w:type="dxa"/>
          </w:tcPr>
          <w:p w:rsidR="008E54FA" w:rsidRPr="008E54FA" w:rsidRDefault="008E54FA" w:rsidP="008E54F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20" w:right="115"/>
              <w:contextualSpacing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8E54FA" w:rsidRDefault="00A36F59" w:rsidP="00A36F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8E54FA">
              <w:rPr>
                <w:rFonts w:ascii="Calibri Light" w:eastAsia="Times New Roman" w:hAnsi="Calibri Light" w:cs="Calibri"/>
                <w:lang w:eastAsia="es-SV"/>
              </w:rPr>
              <w:t>Acceso a internet en salas comunes (se proporcionará la clave)</w:t>
            </w:r>
          </w:p>
          <w:p w:rsidR="00A36F59" w:rsidRPr="008E54FA" w:rsidRDefault="008E54FA" w:rsidP="00A36F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>
              <w:rPr>
                <w:rFonts w:ascii="Calibri Light" w:eastAsia="Times New Roman" w:hAnsi="Calibri Light" w:cs="Calibri"/>
                <w:lang w:eastAsia="es-SV"/>
              </w:rPr>
              <w:t>Baños exclusivos para usuarios</w:t>
            </w:r>
          </w:p>
          <w:p w:rsidR="00A36F59" w:rsidRPr="008E54FA" w:rsidRDefault="00A36F59" w:rsidP="00A36F5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39" w:lineRule="auto"/>
              <w:ind w:right="115"/>
              <w:contextualSpacing/>
              <w:jc w:val="both"/>
              <w:rPr>
                <w:rFonts w:ascii="Calibri Light" w:hAnsi="Calibri Light"/>
              </w:rPr>
            </w:pPr>
            <w:r w:rsidRPr="008E54FA">
              <w:rPr>
                <w:rFonts w:ascii="Calibri Light" w:eastAsia="Times New Roman" w:hAnsi="Calibri Light" w:cs="Calibri"/>
                <w:lang w:eastAsia="es-SV"/>
              </w:rPr>
              <w:lastRenderedPageBreak/>
              <w:t>No se cuenta con baños para personas con discapacidad</w:t>
            </w:r>
          </w:p>
          <w:p w:rsidR="008E54FA" w:rsidRPr="008E54FA" w:rsidRDefault="008E54FA" w:rsidP="008E54F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720" w:right="115"/>
              <w:contextualSpacing/>
              <w:jc w:val="both"/>
              <w:rPr>
                <w:rFonts w:ascii="Calibri Light" w:hAnsi="Calibri Light"/>
              </w:rPr>
            </w:pP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C000"/>
          </w:tcPr>
          <w:p w:rsidR="00A36F59" w:rsidRPr="00173549" w:rsidRDefault="00A36F59" w:rsidP="00194150">
            <w:pPr>
              <w:jc w:val="center"/>
            </w:pP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FF99"/>
          </w:tcPr>
          <w:p w:rsidR="00A36F59" w:rsidRPr="00173549" w:rsidRDefault="00A36F59" w:rsidP="00A36F5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/>
              </w:rPr>
            </w:pPr>
            <w:r w:rsidRPr="00785B23">
              <w:rPr>
                <w:rFonts w:ascii="Euphemia" w:hAnsi="Euphemia"/>
                <w:b/>
              </w:rPr>
              <w:t>ÁREA DE CONTROL</w:t>
            </w:r>
            <w:r w:rsidRPr="00173549">
              <w:rPr>
                <w:b/>
              </w:rPr>
              <w:t xml:space="preserve"> </w:t>
            </w:r>
          </w:p>
        </w:tc>
      </w:tr>
      <w:tr w:rsidR="00A36F59" w:rsidRPr="00173549" w:rsidTr="008E54FA">
        <w:tc>
          <w:tcPr>
            <w:tcW w:w="1951" w:type="dxa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 xml:space="preserve">6.1 Identificador de descripción 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8E54FA" w:rsidP="008E54FA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8E54FA">
              <w:rPr>
                <w:rFonts w:ascii="Calibri Light" w:hAnsi="Calibri Light"/>
              </w:rPr>
              <w:t>. 43</w:t>
            </w:r>
          </w:p>
        </w:tc>
        <w:tc>
          <w:tcPr>
            <w:tcW w:w="6606" w:type="dxa"/>
          </w:tcPr>
          <w:p w:rsidR="00A36F59" w:rsidRPr="008E54FA" w:rsidRDefault="00A36F59" w:rsidP="00AF65DF">
            <w:pPr>
              <w:widowControl w:val="0"/>
              <w:autoSpaceDE w:val="0"/>
              <w:autoSpaceDN w:val="0"/>
              <w:adjustRightInd w:val="0"/>
              <w:ind w:right="208"/>
              <w:jc w:val="both"/>
              <w:rPr>
                <w:rFonts w:ascii="Calibri Light" w:eastAsia="Times New Roman" w:hAnsi="Calibri Light" w:cs="Calibri"/>
                <w:b/>
                <w:spacing w:val="1"/>
                <w:lang w:eastAsia="es-SV"/>
              </w:rPr>
            </w:pPr>
          </w:p>
          <w:p w:rsidR="00A36F59" w:rsidRPr="008E54FA" w:rsidRDefault="00A36F59" w:rsidP="00AF65DF">
            <w:pPr>
              <w:widowControl w:val="0"/>
              <w:autoSpaceDE w:val="0"/>
              <w:autoSpaceDN w:val="0"/>
              <w:adjustRightInd w:val="0"/>
              <w:ind w:right="208"/>
              <w:jc w:val="both"/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es-SV"/>
              </w:rPr>
            </w:pPr>
            <w:r w:rsidRPr="008E54FA">
              <w:rPr>
                <w:rFonts w:ascii="Calibri Light" w:eastAsia="Times New Roman" w:hAnsi="Calibri Light" w:cs="Calibri"/>
                <w:b/>
                <w:spacing w:val="1"/>
                <w:lang w:eastAsia="es-SV"/>
              </w:rPr>
              <w:t>SV-CSSP</w:t>
            </w:r>
          </w:p>
        </w:tc>
      </w:tr>
      <w:tr w:rsidR="00A36F59" w:rsidRPr="00173549" w:rsidTr="008E54FA">
        <w:tc>
          <w:tcPr>
            <w:tcW w:w="1951" w:type="dxa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  <w:b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 xml:space="preserve">6.2 Identificador de la institución 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8E54FA" w:rsidP="00AF65DF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8E54FA">
              <w:rPr>
                <w:rFonts w:ascii="Calibri Light" w:hAnsi="Calibri Light"/>
              </w:rPr>
              <w:t>. 44</w:t>
            </w:r>
          </w:p>
        </w:tc>
        <w:tc>
          <w:tcPr>
            <w:tcW w:w="6606" w:type="dxa"/>
          </w:tcPr>
          <w:p w:rsidR="008E54FA" w:rsidRDefault="008E54FA" w:rsidP="00AF65DF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Calibri Light" w:eastAsia="Times New Roman" w:hAnsi="Calibri Light" w:cs="Calibri"/>
                <w:spacing w:val="1"/>
                <w:lang w:eastAsia="es-SV"/>
              </w:rPr>
            </w:pPr>
          </w:p>
          <w:p w:rsidR="00A36F59" w:rsidRPr="008E54FA" w:rsidRDefault="00A36F59" w:rsidP="00AF65DF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Calibri Light" w:eastAsia="Times New Roman" w:hAnsi="Calibri Light" w:cs="Calibri"/>
                <w:spacing w:val="1"/>
                <w:lang w:eastAsia="es-SV"/>
              </w:rPr>
            </w:pPr>
            <w:r w:rsidRPr="008E54FA">
              <w:rPr>
                <w:rFonts w:ascii="Calibri Light" w:eastAsia="Times New Roman" w:hAnsi="Calibri Light" w:cs="Calibri"/>
                <w:spacing w:val="1"/>
                <w:lang w:eastAsia="es-SV"/>
              </w:rPr>
              <w:t>Consejo Superior de Salud Pública</w:t>
            </w:r>
          </w:p>
          <w:p w:rsidR="00A36F59" w:rsidRDefault="00A36F59" w:rsidP="00AF65DF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Calibri Light" w:eastAsia="Times New Roman" w:hAnsi="Calibri Light" w:cs="Calibri"/>
                <w:spacing w:val="1"/>
                <w:lang w:eastAsia="es-SV"/>
              </w:rPr>
            </w:pPr>
            <w:r w:rsidRPr="008E54FA">
              <w:rPr>
                <w:rFonts w:ascii="Calibri Light" w:eastAsia="Times New Roman" w:hAnsi="Calibri Light" w:cs="Calibri"/>
                <w:spacing w:val="1"/>
                <w:lang w:eastAsia="es-SV"/>
              </w:rPr>
              <w:t>Unidad de Gestión Documental y Archivos</w:t>
            </w:r>
          </w:p>
          <w:p w:rsidR="008E54FA" w:rsidRPr="008E54FA" w:rsidRDefault="008E54FA" w:rsidP="00AF65DF">
            <w:pPr>
              <w:widowControl w:val="0"/>
              <w:autoSpaceDE w:val="0"/>
              <w:autoSpaceDN w:val="0"/>
              <w:adjustRightInd w:val="0"/>
              <w:ind w:right="102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eastAsia="es-SV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A36F59" w:rsidRPr="008E54FA" w:rsidRDefault="00A36F59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8E54FA">
              <w:rPr>
                <w:rFonts w:ascii="Calibri Light" w:hAnsi="Calibri Light"/>
                <w:b/>
              </w:rPr>
              <w:t xml:space="preserve">6.3 Reglas o convenciones </w:t>
            </w:r>
          </w:p>
        </w:tc>
        <w:tc>
          <w:tcPr>
            <w:tcW w:w="851" w:type="dxa"/>
            <w:gridSpan w:val="2"/>
          </w:tcPr>
          <w:p w:rsidR="008E54FA" w:rsidRPr="008E54FA" w:rsidRDefault="008E54F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8E54FA" w:rsidRDefault="009A1BD0" w:rsidP="00AF65DF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8E54FA">
              <w:rPr>
                <w:rFonts w:ascii="Calibri Light" w:hAnsi="Calibri Light"/>
              </w:rPr>
              <w:t>. 45</w:t>
            </w:r>
          </w:p>
        </w:tc>
        <w:tc>
          <w:tcPr>
            <w:tcW w:w="6606" w:type="dxa"/>
          </w:tcPr>
          <w:p w:rsidR="009A1BD0" w:rsidRDefault="009A1BD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8E54FA" w:rsidRDefault="009A1BD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>
              <w:rPr>
                <w:rFonts w:ascii="Calibri Light" w:eastAsia="Times New Roman" w:hAnsi="Calibri Light" w:cs="Calibri"/>
                <w:lang w:eastAsia="es-SV"/>
              </w:rPr>
              <w:t xml:space="preserve">     </w:t>
            </w:r>
            <w:r w:rsidR="00A36F59" w:rsidRPr="008E54FA">
              <w:rPr>
                <w:rFonts w:ascii="Calibri Light" w:eastAsia="Times New Roman" w:hAnsi="Calibri Light" w:cs="Calibri"/>
                <w:lang w:eastAsia="es-SV"/>
              </w:rPr>
              <w:t xml:space="preserve">ISDIAH, Norma Internacional para la Descripción de Instituciones que Custodian Fondos de Archivos. </w:t>
            </w:r>
          </w:p>
          <w:p w:rsidR="00A36F59" w:rsidRPr="008E54FA" w:rsidRDefault="009A1BD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>
              <w:rPr>
                <w:rFonts w:ascii="Calibri Light" w:eastAsia="Times New Roman" w:hAnsi="Calibri Light" w:cs="Calibri"/>
                <w:i/>
                <w:lang w:eastAsia="es-SV"/>
              </w:rPr>
              <w:t xml:space="preserve">     </w:t>
            </w:r>
            <w:r w:rsidR="00A36F59" w:rsidRPr="008E54FA">
              <w:rPr>
                <w:rFonts w:ascii="Calibri Light" w:eastAsia="Times New Roman" w:hAnsi="Calibri Light" w:cs="Calibri"/>
                <w:i/>
                <w:lang w:eastAsia="es-SV"/>
              </w:rPr>
              <w:t xml:space="preserve">En cumplimiento al Lineamiento 4, Art. 6, para la ordenación y descripción documental. </w:t>
            </w:r>
            <w:r w:rsidR="00A36F59" w:rsidRPr="008E54FA">
              <w:rPr>
                <w:rFonts w:ascii="Calibri Light" w:eastAsia="Times New Roman" w:hAnsi="Calibri Light" w:cs="Calibri"/>
                <w:lang w:eastAsia="es-SV"/>
              </w:rPr>
              <w:t>Diario Oficial, N° 147, Tomo N° 408, San Salvador: 17 de agosto de 2015</w:t>
            </w:r>
          </w:p>
          <w:p w:rsidR="00A36F59" w:rsidRPr="008E54FA" w:rsidRDefault="009A1BD0" w:rsidP="00AF65DF">
            <w:pPr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</w:rPr>
              <w:t xml:space="preserve">     </w:t>
            </w:r>
            <w:r w:rsidR="00A36F59" w:rsidRPr="008E54FA">
              <w:rPr>
                <w:rFonts w:ascii="Calibri Light" w:hAnsi="Calibri Light"/>
              </w:rPr>
              <w:t xml:space="preserve">Consejo Superior de Salud Pública. San Salvador: octubre 2019. </w:t>
            </w:r>
          </w:p>
          <w:p w:rsidR="00A36F59" w:rsidRPr="008E54FA" w:rsidRDefault="009A1BD0" w:rsidP="00AF65DF">
            <w:pPr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</w:t>
            </w:r>
            <w:r w:rsidR="00A36F59" w:rsidRPr="008E54FA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Guía de Archivo del Consejo Superior de Salud Pública. Consejo Superior de Salud Pública, San Salvador: versión 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4</w:t>
            </w:r>
            <w:r w:rsidR="00A36F59" w:rsidRPr="008E54FA">
              <w:rPr>
                <w:rFonts w:ascii="Calibri Light" w:eastAsia="Times New Roman" w:hAnsi="Calibri Light" w:cs="Times New Roman"/>
                <w:szCs w:val="24"/>
                <w:lang w:eastAsia="es-SV"/>
              </w:rPr>
              <w:t>/20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22</w:t>
            </w:r>
            <w:r w:rsidR="00A36F59" w:rsidRPr="008E54FA">
              <w:rPr>
                <w:rFonts w:ascii="Calibri Light" w:eastAsia="Times New Roman" w:hAnsi="Calibri Light" w:cs="Times New Roman"/>
                <w:szCs w:val="24"/>
                <w:lang w:eastAsia="es-SV"/>
              </w:rPr>
              <w:t>.</w:t>
            </w:r>
          </w:p>
          <w:p w:rsidR="00A36F59" w:rsidRPr="008E54FA" w:rsidRDefault="00A36F59" w:rsidP="00AF65DF">
            <w:pPr>
              <w:jc w:val="both"/>
              <w:rPr>
                <w:rFonts w:ascii="Calibri Light" w:eastAsia="Times New Roman" w:hAnsi="Calibri Light" w:cs="Times New Roman"/>
                <w:b/>
                <w:szCs w:val="24"/>
                <w:lang w:eastAsia="es-SV"/>
              </w:rPr>
            </w:pPr>
          </w:p>
        </w:tc>
      </w:tr>
      <w:tr w:rsidR="00A36F59" w:rsidRPr="00173549" w:rsidTr="008E54FA">
        <w:trPr>
          <w:trHeight w:val="789"/>
        </w:trPr>
        <w:tc>
          <w:tcPr>
            <w:tcW w:w="1951" w:type="dxa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A1BD0">
              <w:rPr>
                <w:rFonts w:ascii="Calibri Light" w:hAnsi="Calibri Light"/>
                <w:b/>
              </w:rPr>
              <w:t xml:space="preserve">6.4 Estado de elaboración </w:t>
            </w:r>
          </w:p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851" w:type="dxa"/>
            <w:gridSpan w:val="2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9A1BD0" w:rsidP="009A1BD0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>P</w:t>
            </w:r>
            <w:r w:rsidR="00A36F59" w:rsidRPr="009A1BD0">
              <w:rPr>
                <w:rFonts w:ascii="Calibri Light" w:hAnsi="Calibri Light"/>
              </w:rPr>
              <w:t>. 46</w:t>
            </w:r>
          </w:p>
        </w:tc>
        <w:tc>
          <w:tcPr>
            <w:tcW w:w="6606" w:type="dxa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>Finalizada</w:t>
            </w:r>
          </w:p>
        </w:tc>
      </w:tr>
      <w:tr w:rsidR="00A36F59" w:rsidRPr="00173549" w:rsidTr="008E54FA">
        <w:tc>
          <w:tcPr>
            <w:tcW w:w="1951" w:type="dxa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9A1BD0" w:rsidRPr="009A1BD0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A1BD0">
              <w:rPr>
                <w:rFonts w:ascii="Calibri Light" w:hAnsi="Calibri Light"/>
                <w:b/>
              </w:rPr>
              <w:t>6.5 Nivel de detalle</w:t>
            </w: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9A1BD0" w:rsidP="009A1BD0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>P</w:t>
            </w:r>
            <w:r w:rsidR="00A36F59" w:rsidRPr="009A1BD0">
              <w:rPr>
                <w:rFonts w:ascii="Calibri Light" w:hAnsi="Calibri Light"/>
              </w:rPr>
              <w:t>. 46</w:t>
            </w:r>
          </w:p>
        </w:tc>
        <w:tc>
          <w:tcPr>
            <w:tcW w:w="6606" w:type="dxa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>Completa</w:t>
            </w:r>
          </w:p>
        </w:tc>
      </w:tr>
      <w:tr w:rsidR="00A36F59" w:rsidRPr="00173549" w:rsidTr="008E54FA">
        <w:trPr>
          <w:trHeight w:val="983"/>
        </w:trPr>
        <w:tc>
          <w:tcPr>
            <w:tcW w:w="1951" w:type="dxa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A1BD0">
              <w:rPr>
                <w:rFonts w:ascii="Calibri Light" w:hAnsi="Calibri Light"/>
                <w:b/>
              </w:rPr>
              <w:t xml:space="preserve">6.6 Fecha de creación, revisión o eliminación </w:t>
            </w:r>
          </w:p>
        </w:tc>
        <w:tc>
          <w:tcPr>
            <w:tcW w:w="851" w:type="dxa"/>
            <w:gridSpan w:val="2"/>
          </w:tcPr>
          <w:p w:rsidR="009A1BD0" w:rsidRP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9A1BD0" w:rsidP="009A1BD0">
            <w:pPr>
              <w:jc w:val="both"/>
              <w:rPr>
                <w:rFonts w:ascii="Calibri Light" w:hAnsi="Calibri Light"/>
              </w:rPr>
            </w:pPr>
            <w:r w:rsidRPr="009A1BD0">
              <w:rPr>
                <w:rFonts w:ascii="Calibri Light" w:hAnsi="Calibri Light"/>
              </w:rPr>
              <w:t>P</w:t>
            </w:r>
            <w:r w:rsidR="00A36F59" w:rsidRPr="009A1BD0">
              <w:rPr>
                <w:rFonts w:ascii="Calibri Light" w:hAnsi="Calibri Light"/>
              </w:rPr>
              <w:t>. 47</w:t>
            </w:r>
          </w:p>
        </w:tc>
        <w:tc>
          <w:tcPr>
            <w:tcW w:w="6606" w:type="dxa"/>
          </w:tcPr>
          <w:p w:rsidR="009A1BD0" w:rsidRPr="009A1BD0" w:rsidRDefault="009A1BD0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9A1BD0" w:rsidRDefault="00A36F59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9A1BD0">
              <w:rPr>
                <w:rFonts w:ascii="Calibri Light" w:eastAsia="Times New Roman" w:hAnsi="Calibri Light" w:cs="Calibri"/>
                <w:lang w:eastAsia="es-SV"/>
              </w:rPr>
              <w:t xml:space="preserve">Fecha de creación de la descripción: </w:t>
            </w:r>
          </w:p>
          <w:p w:rsidR="00A36F59" w:rsidRPr="009A1BD0" w:rsidRDefault="00A36F59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9A1BD0">
              <w:rPr>
                <w:rFonts w:ascii="Calibri Light" w:eastAsia="Times New Roman" w:hAnsi="Calibri Light" w:cs="Calibri"/>
                <w:lang w:eastAsia="es-SV"/>
              </w:rPr>
              <w:t>2016-06-08 [ISO8601]</w:t>
            </w:r>
          </w:p>
          <w:p w:rsidR="00A36F59" w:rsidRPr="009A1BD0" w:rsidRDefault="00A36F59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lastRenderedPageBreak/>
              <w:t xml:space="preserve">2017-02-10 Versión 2/2017 </w:t>
            </w:r>
          </w:p>
          <w:p w:rsidR="00A36F59" w:rsidRDefault="00A36F59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 w:rsidRPr="009A1BD0">
              <w:rPr>
                <w:rFonts w:ascii="Calibri Light" w:eastAsia="Times New Roman" w:hAnsi="Calibri Light" w:cs="Calibri"/>
                <w:lang w:eastAsia="es-SV"/>
              </w:rPr>
              <w:t>2019-10-01</w:t>
            </w:r>
            <w:r w:rsidR="009A1BD0">
              <w:rPr>
                <w:rFonts w:ascii="Calibri Light" w:eastAsia="Times New Roman" w:hAnsi="Calibri Light" w:cs="Calibri"/>
                <w:lang w:eastAsia="es-SV"/>
              </w:rPr>
              <w:t xml:space="preserve"> </w:t>
            </w:r>
            <w:r w:rsidR="009A1BD0" w:rsidRP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Versión </w:t>
            </w:r>
            <w:r w:rsid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>3</w:t>
            </w:r>
            <w:r w:rsidR="009A1BD0" w:rsidRP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>/201</w:t>
            </w:r>
            <w:r w:rsid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>9</w:t>
            </w:r>
          </w:p>
          <w:p w:rsidR="009A1BD0" w:rsidRPr="009A1BD0" w:rsidRDefault="009A1BD0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2022-12-01 </w:t>
            </w:r>
            <w:r w:rsidRP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Versión 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4</w:t>
            </w:r>
            <w:r w:rsidRPr="009A1BD0">
              <w:rPr>
                <w:rFonts w:ascii="Calibri Light" w:eastAsia="Times New Roman" w:hAnsi="Calibri Light" w:cs="Times New Roman"/>
                <w:szCs w:val="24"/>
                <w:lang w:eastAsia="es-SV"/>
              </w:rPr>
              <w:t>/20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22</w:t>
            </w:r>
          </w:p>
          <w:p w:rsidR="009A1BD0" w:rsidRPr="009A1BD0" w:rsidRDefault="009A1BD0" w:rsidP="00AF65DF">
            <w:pPr>
              <w:widowControl w:val="0"/>
              <w:autoSpaceDE w:val="0"/>
              <w:autoSpaceDN w:val="0"/>
              <w:adjustRightInd w:val="0"/>
              <w:ind w:right="503"/>
              <w:jc w:val="both"/>
              <w:rPr>
                <w:rFonts w:ascii="Calibri Light" w:eastAsia="Times New Roman" w:hAnsi="Calibri Light" w:cs="Calibri"/>
                <w:b/>
                <w:lang w:eastAsia="es-SV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9A1BD0">
              <w:rPr>
                <w:rFonts w:ascii="Calibri Light" w:hAnsi="Calibri Light"/>
                <w:b/>
              </w:rPr>
              <w:t xml:space="preserve">6.7 Lenguas y escrituras </w:t>
            </w:r>
          </w:p>
        </w:tc>
        <w:tc>
          <w:tcPr>
            <w:tcW w:w="851" w:type="dxa"/>
            <w:gridSpan w:val="2"/>
          </w:tcPr>
          <w:p w:rsidR="009A1BD0" w:rsidRDefault="009A1BD0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9A1BD0" w:rsidRDefault="009A1BD0" w:rsidP="00AF65DF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9A1BD0">
              <w:rPr>
                <w:rFonts w:ascii="Calibri Light" w:hAnsi="Calibri Light"/>
              </w:rPr>
              <w:t xml:space="preserve">. 48 </w:t>
            </w:r>
          </w:p>
        </w:tc>
        <w:tc>
          <w:tcPr>
            <w:tcW w:w="6606" w:type="dxa"/>
          </w:tcPr>
          <w:p w:rsidR="009A1BD0" w:rsidRDefault="009A1BD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</w:p>
          <w:p w:rsidR="00A36F59" w:rsidRPr="009A1BD0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9A1BD0">
              <w:rPr>
                <w:rFonts w:ascii="Calibri Light" w:eastAsia="Times New Roman" w:hAnsi="Calibri Light" w:cs="Calibri"/>
                <w:iCs/>
                <w:lang w:eastAsia="es-SV"/>
              </w:rPr>
              <w:t>Español</w:t>
            </w:r>
          </w:p>
          <w:p w:rsidR="00A36F59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Calibri Light" w:eastAsia="Times New Roman" w:hAnsi="Calibri Light" w:cs="Calibri"/>
                <w:iCs/>
                <w:lang w:eastAsia="es-SV"/>
              </w:rPr>
            </w:pPr>
            <w:r w:rsidRPr="009A1BD0">
              <w:rPr>
                <w:rFonts w:ascii="Calibri Light" w:eastAsia="Times New Roman" w:hAnsi="Calibri Light" w:cs="Calibri"/>
                <w:iCs/>
                <w:lang w:eastAsia="es-SV"/>
              </w:rPr>
              <w:t>Spa [ISO639-2]</w:t>
            </w:r>
          </w:p>
          <w:p w:rsidR="009A1BD0" w:rsidRPr="009A1BD0" w:rsidRDefault="009A1BD0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84"/>
              <w:jc w:val="both"/>
              <w:rPr>
                <w:rFonts w:ascii="Calibri Light" w:eastAsia="Times New Roman" w:hAnsi="Calibri Light" w:cs="Times New Roman"/>
                <w:b/>
                <w:sz w:val="24"/>
                <w:szCs w:val="24"/>
                <w:lang w:eastAsia="es-SV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51129A" w:rsidRPr="0051129A" w:rsidRDefault="0051129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51129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51129A">
              <w:rPr>
                <w:rFonts w:ascii="Calibri Light" w:hAnsi="Calibri Light"/>
                <w:b/>
              </w:rPr>
              <w:t xml:space="preserve">6.8 Fuentes </w:t>
            </w:r>
          </w:p>
        </w:tc>
        <w:tc>
          <w:tcPr>
            <w:tcW w:w="851" w:type="dxa"/>
            <w:gridSpan w:val="2"/>
          </w:tcPr>
          <w:p w:rsidR="0051129A" w:rsidRPr="0051129A" w:rsidRDefault="0051129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51129A" w:rsidRDefault="0051129A" w:rsidP="0051129A">
            <w:pPr>
              <w:jc w:val="both"/>
              <w:rPr>
                <w:rFonts w:ascii="Calibri Light" w:hAnsi="Calibri Light"/>
              </w:rPr>
            </w:pPr>
            <w:r w:rsidRPr="0051129A">
              <w:rPr>
                <w:rFonts w:ascii="Calibri Light" w:hAnsi="Calibri Light"/>
              </w:rPr>
              <w:t>P</w:t>
            </w:r>
            <w:r w:rsidR="00A36F59" w:rsidRPr="0051129A">
              <w:rPr>
                <w:rFonts w:ascii="Calibri Light" w:hAnsi="Calibri Light"/>
              </w:rPr>
              <w:t>. 48</w:t>
            </w:r>
          </w:p>
        </w:tc>
        <w:tc>
          <w:tcPr>
            <w:tcW w:w="6606" w:type="dxa"/>
          </w:tcPr>
          <w:p w:rsidR="00A36F59" w:rsidRPr="0051129A" w:rsidRDefault="00A36F59" w:rsidP="00AF65DF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Consultas al sitio web del CSSP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Constitución de la República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Código de Salud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Ley del Consejo y Juntas de Vigilancia de las Profesiones de Salud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Ley del Ejercicio de la Profesión Odontológica y sus actividades auxiliares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Ley de Medicamentos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Ley de Deberes y Derechos de los Pacientes y Prestadores de Servicios de Salud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Decreto 373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18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Decreto 752</w:t>
            </w:r>
          </w:p>
          <w:p w:rsidR="00A36F59" w:rsidRPr="0051129A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>Reglamento Interno del Consejo Superior de Salud Pública</w:t>
            </w:r>
          </w:p>
          <w:p w:rsidR="00A36F59" w:rsidRDefault="00A36F59" w:rsidP="0051129A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  <w:r w:rsidRPr="0051129A">
              <w:rPr>
                <w:rFonts w:ascii="Calibri Light" w:eastAsia="Times New Roman" w:hAnsi="Calibri Light" w:cs="Calibri"/>
                <w:lang w:eastAsia="es-SV"/>
              </w:rPr>
              <w:t xml:space="preserve">Reglamentos Internos de las Juntas de Vigilancia de las Profesiones de Salud </w:t>
            </w:r>
          </w:p>
          <w:p w:rsidR="0051129A" w:rsidRPr="0051129A" w:rsidRDefault="0051129A" w:rsidP="0051129A">
            <w:pPr>
              <w:pStyle w:val="Prrafodelista"/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Calibri Light" w:eastAsia="Times New Roman" w:hAnsi="Calibri Light" w:cs="Calibri"/>
                <w:lang w:eastAsia="es-SV"/>
              </w:rPr>
            </w:pPr>
          </w:p>
        </w:tc>
      </w:tr>
      <w:tr w:rsidR="00A36F59" w:rsidRPr="00173549" w:rsidTr="008E54FA">
        <w:tc>
          <w:tcPr>
            <w:tcW w:w="1951" w:type="dxa"/>
          </w:tcPr>
          <w:p w:rsidR="0051129A" w:rsidRPr="0051129A" w:rsidRDefault="0051129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51129A" w:rsidRDefault="00A36F59" w:rsidP="00AF65DF">
            <w:pPr>
              <w:jc w:val="both"/>
              <w:rPr>
                <w:rFonts w:ascii="Calibri Light" w:hAnsi="Calibri Light"/>
                <w:b/>
              </w:rPr>
            </w:pPr>
            <w:r w:rsidRPr="0051129A">
              <w:rPr>
                <w:rFonts w:ascii="Calibri Light" w:hAnsi="Calibri Light"/>
                <w:b/>
              </w:rPr>
              <w:t>6.9 Notas de mantenimiento</w:t>
            </w:r>
          </w:p>
        </w:tc>
        <w:tc>
          <w:tcPr>
            <w:tcW w:w="851" w:type="dxa"/>
            <w:gridSpan w:val="2"/>
          </w:tcPr>
          <w:p w:rsidR="0051129A" w:rsidRDefault="0051129A" w:rsidP="00AF65DF">
            <w:pPr>
              <w:jc w:val="both"/>
              <w:rPr>
                <w:rFonts w:ascii="Calibri Light" w:hAnsi="Calibri Light"/>
              </w:rPr>
            </w:pPr>
          </w:p>
          <w:p w:rsidR="00A36F59" w:rsidRPr="0051129A" w:rsidRDefault="0051129A" w:rsidP="0051129A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A36F59" w:rsidRPr="0051129A">
              <w:rPr>
                <w:rFonts w:ascii="Calibri Light" w:hAnsi="Calibri Light"/>
              </w:rPr>
              <w:t>. 49</w:t>
            </w:r>
          </w:p>
        </w:tc>
        <w:tc>
          <w:tcPr>
            <w:tcW w:w="6606" w:type="dxa"/>
          </w:tcPr>
          <w:p w:rsidR="0051129A" w:rsidRDefault="0051129A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</w:p>
          <w:p w:rsidR="00A36F59" w:rsidRPr="0051129A" w:rsidRDefault="0051129A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 </w:t>
            </w:r>
            <w:r w:rsidR="00A36F59" w:rsidRPr="0051129A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Responsable: 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Jacqueline </w:t>
            </w:r>
            <w:r w:rsidR="00A36F59" w:rsidRPr="0051129A">
              <w:rPr>
                <w:rFonts w:ascii="Calibri Light" w:eastAsia="Times New Roman" w:hAnsi="Calibri Light" w:cs="Times New Roman"/>
                <w:szCs w:val="24"/>
                <w:lang w:eastAsia="es-SV"/>
              </w:rPr>
              <w:t>E</w:t>
            </w: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>lizabeth Flores Cartagena</w:t>
            </w:r>
            <w:r w:rsidR="00A36F59" w:rsidRPr="0051129A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, Oficial de Gestión Documental y Archivo. </w:t>
            </w:r>
          </w:p>
          <w:p w:rsidR="00A36F59" w:rsidRPr="0051129A" w:rsidRDefault="0051129A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ascii="Calibri Light" w:eastAsia="Times New Roman" w:hAnsi="Calibri Light" w:cs="Times New Roman"/>
                <w:szCs w:val="24"/>
                <w:lang w:eastAsia="es-SV"/>
              </w:rPr>
            </w:pPr>
            <w:r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      </w:t>
            </w:r>
            <w:r w:rsidR="00A36F59" w:rsidRPr="0051129A">
              <w:rPr>
                <w:rFonts w:ascii="Calibri Light" w:eastAsia="Times New Roman" w:hAnsi="Calibri Light" w:cs="Times New Roman"/>
                <w:szCs w:val="24"/>
                <w:lang w:eastAsia="es-SV"/>
              </w:rPr>
              <w:t xml:space="preserve">Con la colaboración de la Unidad de Acceso a la Información Pública, Unidad de Servicios Generales y Juntas de Vigilancia de las Profesiones en Salud. </w:t>
            </w:r>
          </w:p>
          <w:p w:rsidR="00A36F59" w:rsidRPr="0051129A" w:rsidRDefault="00A36F59" w:rsidP="00AF65DF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02"/>
              <w:jc w:val="both"/>
              <w:rPr>
                <w:rFonts w:ascii="Calibri Light" w:hAnsi="Calibri Light"/>
              </w:rPr>
            </w:pPr>
          </w:p>
        </w:tc>
      </w:tr>
      <w:tr w:rsidR="00A36F59" w:rsidRPr="00173549" w:rsidTr="00194150">
        <w:tc>
          <w:tcPr>
            <w:tcW w:w="9408" w:type="dxa"/>
            <w:gridSpan w:val="4"/>
            <w:shd w:val="clear" w:color="auto" w:fill="FFC000"/>
          </w:tcPr>
          <w:p w:rsidR="00A36F59" w:rsidRPr="00173549" w:rsidRDefault="00A36F59" w:rsidP="00194150">
            <w:pPr>
              <w:jc w:val="center"/>
            </w:pPr>
          </w:p>
        </w:tc>
      </w:tr>
    </w:tbl>
    <w:p w:rsidR="0094595B" w:rsidRDefault="0094595B"/>
    <w:sectPr w:rsidR="0094595B" w:rsidSect="0094595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F6" w:rsidRDefault="007A51F6" w:rsidP="00A36F59">
      <w:pPr>
        <w:spacing w:after="0" w:line="240" w:lineRule="auto"/>
      </w:pPr>
      <w:r>
        <w:separator/>
      </w:r>
    </w:p>
  </w:endnote>
  <w:endnote w:type="continuationSeparator" w:id="0">
    <w:p w:rsidR="007A51F6" w:rsidRDefault="007A51F6" w:rsidP="00A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F59" w:rsidRPr="00785B23" w:rsidRDefault="00A36F59" w:rsidP="00A36F59">
    <w:pPr>
      <w:pStyle w:val="Sinespaciado"/>
      <w:jc w:val="center"/>
      <w:rPr>
        <w:rFonts w:ascii="Gill Sans MT" w:eastAsia="Times New Roman" w:hAnsi="Gill Sans MT" w:cs="Times New Roman"/>
        <w:b/>
        <w:color w:val="215868" w:themeColor="accent5" w:themeShade="80"/>
        <w:sz w:val="18"/>
        <w:szCs w:val="18"/>
      </w:rPr>
    </w:pPr>
    <w:r w:rsidRPr="00785B23">
      <w:rPr>
        <w:rFonts w:ascii="Gill Sans MT" w:eastAsia="Times New Roman" w:hAnsi="Gill Sans MT" w:cs="Times New Roman"/>
        <w:b/>
        <w:color w:val="215868" w:themeColor="accent5" w:themeShade="80"/>
        <w:sz w:val="18"/>
        <w:szCs w:val="18"/>
      </w:rPr>
      <w:t>UNIDAD DE GESTION DOCUMENTAL Y ARCHIVO</w:t>
    </w:r>
  </w:p>
  <w:p w:rsidR="00A36F59" w:rsidRPr="00E45446" w:rsidRDefault="00A36F59" w:rsidP="00A36F59">
    <w:pPr>
      <w:pStyle w:val="Sinespaciado"/>
      <w:jc w:val="center"/>
      <w:rPr>
        <w:rFonts w:ascii="Gill Sans MT" w:eastAsia="Times New Roman" w:hAnsi="Gill Sans MT" w:cs="Times New Roman"/>
        <w:color w:val="1F497D"/>
        <w:sz w:val="18"/>
        <w:szCs w:val="18"/>
      </w:rPr>
    </w:pPr>
    <w:r w:rsidRPr="00E45446">
      <w:rPr>
        <w:rFonts w:ascii="Gill Sans MT" w:eastAsia="Times New Roman" w:hAnsi="Gill Sans MT" w:cs="Times New Roman"/>
        <w:color w:val="1F497D"/>
        <w:sz w:val="18"/>
        <w:szCs w:val="18"/>
      </w:rPr>
      <w:t xml:space="preserve">Inicio Paseo General Escalón #3551 – San Salvador.  </w:t>
    </w:r>
    <w:proofErr w:type="spellStart"/>
    <w:r w:rsidRPr="00E45446">
      <w:rPr>
        <w:rFonts w:ascii="Gill Sans MT" w:eastAsia="Times New Roman" w:hAnsi="Gill Sans MT" w:cs="Times New Roman"/>
        <w:color w:val="1F497D"/>
        <w:sz w:val="18"/>
        <w:szCs w:val="18"/>
      </w:rPr>
      <w:t>Pbx</w:t>
    </w:r>
    <w:proofErr w:type="spellEnd"/>
    <w:r w:rsidRPr="00E45446">
      <w:rPr>
        <w:rFonts w:ascii="Gill Sans MT" w:eastAsia="Times New Roman" w:hAnsi="Gill Sans MT" w:cs="Times New Roman"/>
        <w:color w:val="1F497D"/>
        <w:sz w:val="18"/>
        <w:szCs w:val="18"/>
      </w:rPr>
      <w:t xml:space="preserve">.: 2561-2525  </w:t>
    </w:r>
  </w:p>
  <w:p w:rsidR="00A36F59" w:rsidRPr="00E45446" w:rsidRDefault="00A36F59" w:rsidP="00A36F59">
    <w:pPr>
      <w:pStyle w:val="Sinespaciado"/>
      <w:jc w:val="center"/>
      <w:rPr>
        <w:rFonts w:ascii="Gill Sans MT" w:eastAsia="Times New Roman" w:hAnsi="Gill Sans MT" w:cs="Times New Roman"/>
        <w:color w:val="1F497D"/>
        <w:sz w:val="18"/>
        <w:szCs w:val="18"/>
      </w:rPr>
    </w:pPr>
    <w:r w:rsidRPr="00E45446">
      <w:rPr>
        <w:rFonts w:ascii="Gill Sans MT" w:eastAsia="Times New Roman" w:hAnsi="Gill Sans MT" w:cs="Times New Roman"/>
        <w:color w:val="1F497D"/>
        <w:sz w:val="18"/>
        <w:szCs w:val="18"/>
      </w:rPr>
      <w:t>www.cssp.gob.sv</w:t>
    </w:r>
  </w:p>
  <w:p w:rsidR="00A36F59" w:rsidRDefault="00A36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F6" w:rsidRDefault="007A51F6" w:rsidP="00A36F59">
      <w:pPr>
        <w:spacing w:after="0" w:line="240" w:lineRule="auto"/>
      </w:pPr>
      <w:r>
        <w:separator/>
      </w:r>
    </w:p>
  </w:footnote>
  <w:footnote w:type="continuationSeparator" w:id="0">
    <w:p w:rsidR="007A51F6" w:rsidRDefault="007A51F6" w:rsidP="00A3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F59" w:rsidRDefault="00A36F5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-730669</wp:posOffset>
          </wp:positionH>
          <wp:positionV relativeFrom="paragraph">
            <wp:posOffset>-249795</wp:posOffset>
          </wp:positionV>
          <wp:extent cx="1417865" cy="760719"/>
          <wp:effectExtent l="19050" t="0" r="0" b="0"/>
          <wp:wrapNone/>
          <wp:docPr id="1" name="Imagen 1" descr="IMG-20201119-WA0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01119-WA0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865" cy="76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13A3"/>
    <w:multiLevelType w:val="hybridMultilevel"/>
    <w:tmpl w:val="2B4C5A9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5B3F"/>
    <w:multiLevelType w:val="hybridMultilevel"/>
    <w:tmpl w:val="52F27AF4"/>
    <w:lvl w:ilvl="0" w:tplc="7EB698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924615"/>
    <w:multiLevelType w:val="hybridMultilevel"/>
    <w:tmpl w:val="CFE4E77E"/>
    <w:lvl w:ilvl="0" w:tplc="E392D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F274D"/>
    <w:multiLevelType w:val="hybridMultilevel"/>
    <w:tmpl w:val="C660E346"/>
    <w:lvl w:ilvl="0" w:tplc="E392D3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064D0"/>
    <w:multiLevelType w:val="hybridMultilevel"/>
    <w:tmpl w:val="9BBC0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1928"/>
    <w:multiLevelType w:val="hybridMultilevel"/>
    <w:tmpl w:val="EE62B97E"/>
    <w:lvl w:ilvl="0" w:tplc="E392D3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F42B5"/>
    <w:multiLevelType w:val="hybridMultilevel"/>
    <w:tmpl w:val="846EE6EA"/>
    <w:lvl w:ilvl="0" w:tplc="63EA5DD0">
      <w:start w:val="1"/>
      <w:numFmt w:val="decimal"/>
      <w:lvlText w:val="%1."/>
      <w:lvlJc w:val="left"/>
      <w:pPr>
        <w:ind w:left="720" w:hanging="360"/>
      </w:pPr>
      <w:rPr>
        <w:rFonts w:ascii="Euphemia" w:hAnsi="Euphemia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4180"/>
    <w:multiLevelType w:val="hybridMultilevel"/>
    <w:tmpl w:val="F6FCCB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6D4B"/>
    <w:multiLevelType w:val="hybridMultilevel"/>
    <w:tmpl w:val="2BF247F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6F20B9"/>
    <w:multiLevelType w:val="hybridMultilevel"/>
    <w:tmpl w:val="F162C1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0098C"/>
    <w:multiLevelType w:val="hybridMultilevel"/>
    <w:tmpl w:val="FAD2E6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97A"/>
    <w:multiLevelType w:val="hybridMultilevel"/>
    <w:tmpl w:val="571A05F8"/>
    <w:lvl w:ilvl="0" w:tplc="E392D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4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E1B0E88"/>
    <w:multiLevelType w:val="hybridMultilevel"/>
    <w:tmpl w:val="530C77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C40F9"/>
    <w:multiLevelType w:val="hybridMultilevel"/>
    <w:tmpl w:val="A6CEB73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E72D8C"/>
    <w:multiLevelType w:val="hybridMultilevel"/>
    <w:tmpl w:val="6DFCC172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16E4BA5"/>
    <w:multiLevelType w:val="hybridMultilevel"/>
    <w:tmpl w:val="B0903396"/>
    <w:lvl w:ilvl="0" w:tplc="E392D3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F372D7"/>
    <w:multiLevelType w:val="hybridMultilevel"/>
    <w:tmpl w:val="C046E2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307EC"/>
    <w:multiLevelType w:val="hybridMultilevel"/>
    <w:tmpl w:val="E49253CA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706DD0"/>
    <w:multiLevelType w:val="hybridMultilevel"/>
    <w:tmpl w:val="448AE8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33F96"/>
    <w:multiLevelType w:val="hybridMultilevel"/>
    <w:tmpl w:val="3E884A3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18"/>
  </w:num>
  <w:num w:numId="7">
    <w:abstractNumId w:val="19"/>
  </w:num>
  <w:num w:numId="8">
    <w:abstractNumId w:val="0"/>
  </w:num>
  <w:num w:numId="9">
    <w:abstractNumId w:val="1"/>
  </w:num>
  <w:num w:numId="10">
    <w:abstractNumId w:val="8"/>
  </w:num>
  <w:num w:numId="11">
    <w:abstractNumId w:val="14"/>
  </w:num>
  <w:num w:numId="12">
    <w:abstractNumId w:val="17"/>
  </w:num>
  <w:num w:numId="13">
    <w:abstractNumId w:val="15"/>
  </w:num>
  <w:num w:numId="14">
    <w:abstractNumId w:val="11"/>
  </w:num>
  <w:num w:numId="15">
    <w:abstractNumId w:val="2"/>
  </w:num>
  <w:num w:numId="16">
    <w:abstractNumId w:val="3"/>
  </w:num>
  <w:num w:numId="17">
    <w:abstractNumId w:val="5"/>
  </w:num>
  <w:num w:numId="18">
    <w:abstractNumId w:val="13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59"/>
    <w:rsid w:val="0008418B"/>
    <w:rsid w:val="000F07D7"/>
    <w:rsid w:val="00175EF3"/>
    <w:rsid w:val="00194150"/>
    <w:rsid w:val="00214840"/>
    <w:rsid w:val="002D09B1"/>
    <w:rsid w:val="0049332F"/>
    <w:rsid w:val="0051129A"/>
    <w:rsid w:val="00610373"/>
    <w:rsid w:val="00785B23"/>
    <w:rsid w:val="007A51F6"/>
    <w:rsid w:val="008A56FE"/>
    <w:rsid w:val="008E54FA"/>
    <w:rsid w:val="0094595B"/>
    <w:rsid w:val="009A1BD0"/>
    <w:rsid w:val="009F1717"/>
    <w:rsid w:val="009F53A8"/>
    <w:rsid w:val="00A36F59"/>
    <w:rsid w:val="00AF12C5"/>
    <w:rsid w:val="00B40A49"/>
    <w:rsid w:val="00B75A13"/>
    <w:rsid w:val="00BF667E"/>
    <w:rsid w:val="00C3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3ACA1-2E24-4311-B75B-89E418F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5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F5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36F59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6F59"/>
    <w:rPr>
      <w:rFonts w:eastAsiaTheme="minorEastAsia"/>
      <w:lang w:eastAsia="es-SV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A36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3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A36F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A36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F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36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6F59"/>
  </w:style>
  <w:style w:type="paragraph" w:styleId="Piedepgina">
    <w:name w:val="footer"/>
    <w:basedOn w:val="Normal"/>
    <w:link w:val="PiedepginaCar"/>
    <w:uiPriority w:val="99"/>
    <w:semiHidden/>
    <w:unhideWhenUsed/>
    <w:rsid w:val="00A36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p.gob.s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sp.gob.sv" TargetMode="External"/><Relationship Id="rId12" Type="http://schemas.openxmlformats.org/officeDocument/2006/relationships/hyperlink" Target="mailto:vhernandez@iaip.gob.s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hernandez@iaip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lores@cssp.gob.s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2598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Flores</dc:creator>
  <cp:lastModifiedBy>Aura Ivette Morales</cp:lastModifiedBy>
  <cp:revision>2</cp:revision>
  <dcterms:created xsi:type="dcterms:W3CDTF">2022-02-25T19:10:00Z</dcterms:created>
  <dcterms:modified xsi:type="dcterms:W3CDTF">2022-02-25T19:10:00Z</dcterms:modified>
</cp:coreProperties>
</file>