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779" w:rsidRDefault="00A512E7">
      <w:r w:rsidRPr="00604265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EFBF90A" wp14:editId="338DD84A">
            <wp:simplePos x="0" y="0"/>
            <wp:positionH relativeFrom="column">
              <wp:posOffset>73660</wp:posOffset>
            </wp:positionH>
            <wp:positionV relativeFrom="paragraph">
              <wp:posOffset>981710</wp:posOffset>
            </wp:positionV>
            <wp:extent cx="1819910" cy="1579880"/>
            <wp:effectExtent l="0" t="0" r="889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C91" w:rsidRDefault="00170C91" w:rsidP="00170C91">
      <w:pPr>
        <w:jc w:val="center"/>
      </w:pPr>
    </w:p>
    <w:p w:rsidR="00170C91" w:rsidRDefault="00170C91" w:rsidP="00170C91">
      <w:pPr>
        <w:jc w:val="center"/>
      </w:pPr>
    </w:p>
    <w:p w:rsidR="00170C91" w:rsidRDefault="002B595E" w:rsidP="00170C91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7620</wp:posOffset>
            </wp:positionV>
            <wp:extent cx="1943100" cy="1694180"/>
            <wp:effectExtent l="0" t="0" r="0" b="1270"/>
            <wp:wrapNone/>
            <wp:docPr id="5" name="Imagen 5" descr="C:\Users\CSSP17\AppData\Local\Microsoft\Windows\INetCacheContent.Word\cssp_logo_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SP17\AppData\Local\Microsoft\Windows\INetCacheContent.Word\cssp_logo_v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417" cy="169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2E7" w:rsidRDefault="00A512E7" w:rsidP="00170C91">
      <w:pPr>
        <w:jc w:val="center"/>
        <w:rPr>
          <w:b/>
          <w:sz w:val="72"/>
          <w:szCs w:val="72"/>
        </w:rPr>
      </w:pPr>
    </w:p>
    <w:p w:rsidR="00A512E7" w:rsidRDefault="00A512E7" w:rsidP="00170C91">
      <w:pPr>
        <w:jc w:val="center"/>
        <w:rPr>
          <w:b/>
          <w:sz w:val="72"/>
          <w:szCs w:val="72"/>
        </w:rPr>
      </w:pPr>
    </w:p>
    <w:p w:rsidR="00A512E7" w:rsidRDefault="00A512E7" w:rsidP="00170C91">
      <w:pPr>
        <w:jc w:val="center"/>
        <w:rPr>
          <w:b/>
          <w:sz w:val="72"/>
          <w:szCs w:val="72"/>
        </w:rPr>
      </w:pPr>
    </w:p>
    <w:p w:rsidR="00170C91" w:rsidRPr="008D573D" w:rsidRDefault="008D573D" w:rsidP="00170C91">
      <w:pPr>
        <w:jc w:val="center"/>
        <w:rPr>
          <w:b/>
          <w:sz w:val="72"/>
          <w:szCs w:val="72"/>
        </w:rPr>
      </w:pPr>
      <w:r w:rsidRPr="008D573D">
        <w:rPr>
          <w:b/>
          <w:sz w:val="72"/>
          <w:szCs w:val="72"/>
        </w:rPr>
        <w:t xml:space="preserve">GUIA DE ARCHIVO </w:t>
      </w:r>
      <w:r w:rsidR="00FD5994">
        <w:rPr>
          <w:b/>
          <w:sz w:val="72"/>
          <w:szCs w:val="72"/>
        </w:rPr>
        <w:t>D</w:t>
      </w:r>
      <w:r w:rsidRPr="008D573D">
        <w:rPr>
          <w:b/>
          <w:sz w:val="72"/>
          <w:szCs w:val="72"/>
        </w:rPr>
        <w:t>EL CONSEJO SUPERIOR DE SALUD PÚBLICA</w:t>
      </w:r>
    </w:p>
    <w:p w:rsidR="008D573D" w:rsidRDefault="008D573D" w:rsidP="00170C91">
      <w:pPr>
        <w:jc w:val="center"/>
        <w:rPr>
          <w:b/>
          <w:sz w:val="40"/>
          <w:szCs w:val="40"/>
        </w:rPr>
      </w:pPr>
    </w:p>
    <w:p w:rsidR="008D573D" w:rsidRDefault="008D573D" w:rsidP="00170C91">
      <w:pPr>
        <w:jc w:val="center"/>
        <w:rPr>
          <w:b/>
          <w:sz w:val="40"/>
          <w:szCs w:val="40"/>
        </w:rPr>
      </w:pPr>
    </w:p>
    <w:p w:rsidR="008D573D" w:rsidRDefault="008D573D" w:rsidP="00170C91">
      <w:pPr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REDACTADO CONFORME A LA GUIA INTERNACIONAL PARA DESCRIBIR INSTITUCIONES QUE CUSTODIAN FONDOS DE ARCHIVOS, ISDIAH</w:t>
      </w:r>
    </w:p>
    <w:p w:rsidR="001B793D" w:rsidRDefault="001B793D" w:rsidP="00170C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Versión 02</w:t>
      </w:r>
    </w:p>
    <w:bookmarkEnd w:id="0"/>
    <w:p w:rsidR="008D573D" w:rsidRPr="008D573D" w:rsidRDefault="008D573D" w:rsidP="00170C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San Salvador, </w:t>
      </w:r>
      <w:r w:rsidR="001B793D">
        <w:rPr>
          <w:b/>
          <w:sz w:val="40"/>
          <w:szCs w:val="40"/>
        </w:rPr>
        <w:t>10</w:t>
      </w:r>
      <w:r w:rsidR="003B6F37">
        <w:rPr>
          <w:b/>
          <w:sz w:val="40"/>
          <w:szCs w:val="40"/>
        </w:rPr>
        <w:t xml:space="preserve"> de </w:t>
      </w:r>
      <w:r w:rsidR="001B793D">
        <w:rPr>
          <w:b/>
          <w:sz w:val="40"/>
          <w:szCs w:val="40"/>
        </w:rPr>
        <w:t>febrero de 2017</w:t>
      </w:r>
      <w:r>
        <w:rPr>
          <w:b/>
          <w:sz w:val="40"/>
          <w:szCs w:val="40"/>
        </w:rPr>
        <w:t xml:space="preserve"> </w:t>
      </w:r>
    </w:p>
    <w:p w:rsidR="00170C91" w:rsidRDefault="00170C91"/>
    <w:p w:rsidR="00170C91" w:rsidRDefault="00170C91"/>
    <w:p w:rsidR="00170C91" w:rsidRDefault="00170C91"/>
    <w:p w:rsidR="00170C91" w:rsidRDefault="00170C91"/>
    <w:p w:rsidR="00AC119F" w:rsidRDefault="00AC119F" w:rsidP="00AC119F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4145F">
        <w:rPr>
          <w:rFonts w:ascii="Arial" w:hAnsi="Arial" w:cs="Arial"/>
          <w:b/>
          <w:sz w:val="24"/>
          <w:szCs w:val="24"/>
        </w:rPr>
        <w:t>Elaborado por:</w:t>
      </w:r>
      <w:r w:rsidRPr="0084145F">
        <w:rPr>
          <w:rFonts w:ascii="Arial" w:hAnsi="Arial" w:cs="Arial"/>
          <w:b/>
          <w:sz w:val="24"/>
          <w:szCs w:val="24"/>
        </w:rPr>
        <w:tab/>
      </w:r>
      <w:r w:rsidRPr="0084145F">
        <w:rPr>
          <w:rFonts w:ascii="Arial" w:hAnsi="Arial" w:cs="Arial"/>
          <w:b/>
          <w:sz w:val="24"/>
          <w:szCs w:val="24"/>
        </w:rPr>
        <w:tab/>
      </w:r>
      <w:r w:rsidRPr="0084145F">
        <w:rPr>
          <w:rFonts w:ascii="Arial" w:hAnsi="Arial" w:cs="Arial"/>
          <w:b/>
          <w:sz w:val="24"/>
          <w:szCs w:val="24"/>
        </w:rPr>
        <w:tab/>
        <w:t>Licda. Cecilia de Lino</w:t>
      </w:r>
    </w:p>
    <w:p w:rsidR="00AC119F" w:rsidRPr="0084145F" w:rsidRDefault="00AC119F" w:rsidP="00AC119F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C119F" w:rsidRPr="0084145F" w:rsidRDefault="00AC119F" w:rsidP="00AC119F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4145F">
        <w:rPr>
          <w:rFonts w:ascii="Arial" w:hAnsi="Arial" w:cs="Arial"/>
          <w:b/>
          <w:sz w:val="24"/>
          <w:szCs w:val="24"/>
        </w:rPr>
        <w:t>Fecha de elaboración:</w:t>
      </w:r>
      <w:r w:rsidRPr="0084145F">
        <w:rPr>
          <w:rFonts w:ascii="Arial" w:hAnsi="Arial" w:cs="Arial"/>
          <w:b/>
          <w:sz w:val="24"/>
          <w:szCs w:val="24"/>
        </w:rPr>
        <w:tab/>
      </w:r>
      <w:r w:rsidRPr="0084145F">
        <w:rPr>
          <w:rFonts w:ascii="Arial" w:hAnsi="Arial" w:cs="Arial"/>
          <w:b/>
          <w:sz w:val="24"/>
          <w:szCs w:val="24"/>
        </w:rPr>
        <w:tab/>
      </w:r>
      <w:r w:rsidR="00121DE6">
        <w:rPr>
          <w:rFonts w:ascii="Arial" w:hAnsi="Arial" w:cs="Arial"/>
          <w:b/>
          <w:sz w:val="24"/>
          <w:szCs w:val="24"/>
        </w:rPr>
        <w:t xml:space="preserve">Versión 02, </w:t>
      </w:r>
      <w:r w:rsidR="001470D8">
        <w:rPr>
          <w:rFonts w:ascii="Arial" w:hAnsi="Arial" w:cs="Arial"/>
          <w:b/>
          <w:sz w:val="24"/>
          <w:szCs w:val="24"/>
        </w:rPr>
        <w:t>10-02</w:t>
      </w:r>
      <w:r w:rsidR="00D25EC1">
        <w:rPr>
          <w:rFonts w:ascii="Arial" w:hAnsi="Arial" w:cs="Arial"/>
          <w:b/>
          <w:sz w:val="24"/>
          <w:szCs w:val="24"/>
        </w:rPr>
        <w:t>-2017</w:t>
      </w:r>
    </w:p>
    <w:p w:rsidR="00AC119F" w:rsidRPr="0084145F" w:rsidRDefault="00AC119F" w:rsidP="00AC119F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C119F" w:rsidRPr="0084145F" w:rsidRDefault="00AC119F" w:rsidP="00AC119F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4145F">
        <w:rPr>
          <w:rFonts w:ascii="Arial" w:hAnsi="Arial" w:cs="Arial"/>
          <w:b/>
          <w:sz w:val="24"/>
          <w:szCs w:val="24"/>
        </w:rPr>
        <w:t>Revisado y aprobado por:</w:t>
      </w:r>
      <w:r w:rsidRPr="0084145F">
        <w:rPr>
          <w:rFonts w:ascii="Arial" w:hAnsi="Arial" w:cs="Arial"/>
          <w:b/>
          <w:sz w:val="24"/>
          <w:szCs w:val="24"/>
        </w:rPr>
        <w:tab/>
        <w:t>Lic. Pedro Rosalío Escobar Castaneda</w:t>
      </w:r>
    </w:p>
    <w:p w:rsidR="00AC119F" w:rsidRPr="0084145F" w:rsidRDefault="00AC119F" w:rsidP="00AC119F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4145F">
        <w:rPr>
          <w:rFonts w:ascii="Arial" w:hAnsi="Arial" w:cs="Arial"/>
          <w:b/>
          <w:sz w:val="24"/>
          <w:szCs w:val="24"/>
        </w:rPr>
        <w:tab/>
      </w:r>
      <w:r w:rsidRPr="0084145F">
        <w:rPr>
          <w:rFonts w:ascii="Arial" w:hAnsi="Arial" w:cs="Arial"/>
          <w:b/>
          <w:sz w:val="24"/>
          <w:szCs w:val="24"/>
        </w:rPr>
        <w:tab/>
      </w:r>
      <w:r w:rsidRPr="0084145F">
        <w:rPr>
          <w:rFonts w:ascii="Arial" w:hAnsi="Arial" w:cs="Arial"/>
          <w:b/>
          <w:sz w:val="24"/>
          <w:szCs w:val="24"/>
        </w:rPr>
        <w:tab/>
      </w:r>
      <w:r w:rsidRPr="0084145F">
        <w:rPr>
          <w:rFonts w:ascii="Arial" w:hAnsi="Arial" w:cs="Arial"/>
          <w:b/>
          <w:sz w:val="24"/>
          <w:szCs w:val="24"/>
        </w:rPr>
        <w:tab/>
      </w:r>
      <w:r w:rsidRPr="0084145F">
        <w:rPr>
          <w:rFonts w:ascii="Arial" w:hAnsi="Arial" w:cs="Arial"/>
          <w:b/>
          <w:sz w:val="24"/>
          <w:szCs w:val="24"/>
        </w:rPr>
        <w:tab/>
        <w:t>Presidente del CSSP</w:t>
      </w:r>
    </w:p>
    <w:p w:rsidR="00AC119F" w:rsidRPr="0084145F" w:rsidRDefault="00AC119F" w:rsidP="00AC119F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C119F" w:rsidRPr="0084145F" w:rsidRDefault="00AC119F" w:rsidP="00AC119F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4145F">
        <w:rPr>
          <w:rFonts w:ascii="Arial" w:hAnsi="Arial" w:cs="Arial"/>
          <w:b/>
          <w:sz w:val="24"/>
          <w:szCs w:val="24"/>
        </w:rPr>
        <w:t>Fecha de aprobación:</w:t>
      </w:r>
      <w:r w:rsidRPr="0084145F">
        <w:rPr>
          <w:rFonts w:ascii="Arial" w:hAnsi="Arial" w:cs="Arial"/>
          <w:b/>
          <w:sz w:val="24"/>
          <w:szCs w:val="24"/>
        </w:rPr>
        <w:tab/>
      </w:r>
      <w:r w:rsidRPr="0084145F">
        <w:rPr>
          <w:rFonts w:ascii="Arial" w:hAnsi="Arial" w:cs="Arial"/>
          <w:b/>
          <w:sz w:val="24"/>
          <w:szCs w:val="24"/>
        </w:rPr>
        <w:tab/>
      </w:r>
    </w:p>
    <w:p w:rsidR="00AC119F" w:rsidRDefault="00AC119F" w:rsidP="00AC119F"/>
    <w:p w:rsidR="00857EA5" w:rsidRDefault="00857EA5" w:rsidP="00134B11">
      <w:pPr>
        <w:jc w:val="center"/>
        <w:rPr>
          <w:b/>
          <w:sz w:val="28"/>
          <w:szCs w:val="28"/>
        </w:rPr>
      </w:pPr>
    </w:p>
    <w:p w:rsidR="00857EA5" w:rsidRDefault="00857EA5" w:rsidP="00134B11">
      <w:pPr>
        <w:jc w:val="center"/>
        <w:rPr>
          <w:b/>
          <w:sz w:val="28"/>
          <w:szCs w:val="28"/>
        </w:rPr>
      </w:pPr>
    </w:p>
    <w:p w:rsidR="00857EA5" w:rsidRDefault="00857EA5" w:rsidP="00134B11">
      <w:pPr>
        <w:jc w:val="center"/>
        <w:rPr>
          <w:b/>
          <w:sz w:val="28"/>
          <w:szCs w:val="28"/>
        </w:rPr>
      </w:pPr>
    </w:p>
    <w:p w:rsidR="00857EA5" w:rsidRDefault="00857EA5" w:rsidP="00134B11">
      <w:pPr>
        <w:jc w:val="center"/>
        <w:rPr>
          <w:b/>
          <w:sz w:val="28"/>
          <w:szCs w:val="28"/>
        </w:rPr>
      </w:pPr>
    </w:p>
    <w:p w:rsidR="00857EA5" w:rsidRDefault="00857EA5" w:rsidP="00134B11">
      <w:pPr>
        <w:jc w:val="center"/>
        <w:rPr>
          <w:b/>
          <w:sz w:val="28"/>
          <w:szCs w:val="28"/>
        </w:rPr>
      </w:pPr>
    </w:p>
    <w:p w:rsidR="00857EA5" w:rsidRDefault="00857EA5" w:rsidP="00134B11">
      <w:pPr>
        <w:jc w:val="center"/>
        <w:rPr>
          <w:b/>
          <w:sz w:val="28"/>
          <w:szCs w:val="28"/>
        </w:rPr>
      </w:pPr>
    </w:p>
    <w:p w:rsidR="00857EA5" w:rsidRDefault="00857EA5" w:rsidP="00134B11">
      <w:pPr>
        <w:jc w:val="center"/>
        <w:rPr>
          <w:b/>
          <w:sz w:val="28"/>
          <w:szCs w:val="28"/>
        </w:rPr>
      </w:pPr>
    </w:p>
    <w:p w:rsidR="00857EA5" w:rsidRDefault="00857EA5" w:rsidP="00134B11">
      <w:pPr>
        <w:jc w:val="center"/>
        <w:rPr>
          <w:b/>
          <w:sz w:val="28"/>
          <w:szCs w:val="28"/>
        </w:rPr>
      </w:pPr>
    </w:p>
    <w:p w:rsidR="00857EA5" w:rsidRDefault="00857EA5" w:rsidP="00134B11">
      <w:pPr>
        <w:jc w:val="center"/>
        <w:rPr>
          <w:b/>
          <w:sz w:val="28"/>
          <w:szCs w:val="28"/>
        </w:rPr>
      </w:pPr>
    </w:p>
    <w:p w:rsidR="00857EA5" w:rsidRDefault="00857EA5" w:rsidP="00134B11">
      <w:pPr>
        <w:jc w:val="center"/>
        <w:rPr>
          <w:b/>
          <w:sz w:val="28"/>
          <w:szCs w:val="28"/>
        </w:rPr>
      </w:pPr>
    </w:p>
    <w:p w:rsidR="00857EA5" w:rsidRDefault="00857EA5" w:rsidP="00134B11">
      <w:pPr>
        <w:jc w:val="center"/>
        <w:rPr>
          <w:b/>
          <w:sz w:val="28"/>
          <w:szCs w:val="28"/>
        </w:rPr>
      </w:pPr>
    </w:p>
    <w:p w:rsidR="00C11745" w:rsidRDefault="00C11745" w:rsidP="00134B11">
      <w:pPr>
        <w:jc w:val="center"/>
        <w:rPr>
          <w:b/>
          <w:sz w:val="28"/>
          <w:szCs w:val="28"/>
        </w:rPr>
        <w:sectPr w:rsidR="00C11745" w:rsidSect="00C11745">
          <w:headerReference w:type="default" r:id="rId10"/>
          <w:pgSz w:w="12240" w:h="15840"/>
          <w:pgMar w:top="709" w:right="1701" w:bottom="1417" w:left="1701" w:header="708" w:footer="708" w:gutter="0"/>
          <w:cols w:space="708"/>
          <w:titlePg/>
          <w:docGrid w:linePitch="360"/>
        </w:sectPr>
      </w:pPr>
    </w:p>
    <w:p w:rsidR="001B793D" w:rsidRDefault="001B793D" w:rsidP="00134B11">
      <w:pPr>
        <w:jc w:val="center"/>
        <w:rPr>
          <w:b/>
          <w:sz w:val="28"/>
          <w:szCs w:val="28"/>
        </w:rPr>
      </w:pPr>
    </w:p>
    <w:p w:rsidR="00134B11" w:rsidRDefault="00134B11" w:rsidP="00134B11">
      <w:pPr>
        <w:jc w:val="center"/>
        <w:rPr>
          <w:b/>
          <w:sz w:val="28"/>
          <w:szCs w:val="28"/>
        </w:rPr>
      </w:pPr>
      <w:r w:rsidRPr="00134B11">
        <w:rPr>
          <w:b/>
          <w:sz w:val="28"/>
          <w:szCs w:val="28"/>
        </w:rPr>
        <w:t>INTRODUCCIÓN</w:t>
      </w:r>
    </w:p>
    <w:p w:rsidR="00134B11" w:rsidRDefault="00134B11" w:rsidP="00134B11">
      <w:pPr>
        <w:jc w:val="center"/>
        <w:rPr>
          <w:b/>
          <w:sz w:val="28"/>
          <w:szCs w:val="28"/>
        </w:rPr>
      </w:pPr>
    </w:p>
    <w:p w:rsidR="00134B11" w:rsidRDefault="00134B11" w:rsidP="00134B1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La presente Guía de </w:t>
      </w:r>
      <w:r w:rsidRPr="00134B11">
        <w:rPr>
          <w:rFonts w:eastAsia="Calibri" w:cstheme="minorHAnsi"/>
          <w:color w:val="000000"/>
          <w:sz w:val="24"/>
          <w:szCs w:val="24"/>
        </w:rPr>
        <w:t xml:space="preserve">Archivo Institucional del </w:t>
      </w:r>
      <w:r>
        <w:rPr>
          <w:rFonts w:eastAsia="Calibri" w:cstheme="minorHAnsi"/>
          <w:color w:val="000000"/>
          <w:sz w:val="24"/>
          <w:szCs w:val="24"/>
        </w:rPr>
        <w:t>Consejo Superior de Salud Pública</w:t>
      </w:r>
      <w:r w:rsidRPr="00134B11">
        <w:rPr>
          <w:rFonts w:eastAsia="Calibri" w:cstheme="minorHAnsi"/>
          <w:color w:val="000000"/>
          <w:sz w:val="24"/>
          <w:szCs w:val="24"/>
        </w:rPr>
        <w:t xml:space="preserve"> (</w:t>
      </w:r>
      <w:r>
        <w:rPr>
          <w:rFonts w:eastAsia="Calibri" w:cstheme="minorHAnsi"/>
          <w:color w:val="000000"/>
          <w:sz w:val="24"/>
          <w:szCs w:val="24"/>
        </w:rPr>
        <w:t>CSSP</w:t>
      </w:r>
      <w:r w:rsidRPr="00134B11">
        <w:rPr>
          <w:rFonts w:eastAsia="Calibri" w:cstheme="minorHAnsi"/>
          <w:color w:val="000000"/>
          <w:sz w:val="24"/>
          <w:szCs w:val="24"/>
        </w:rPr>
        <w:t xml:space="preserve">), </w:t>
      </w:r>
      <w:r>
        <w:rPr>
          <w:rFonts w:eastAsia="Calibri" w:cstheme="minorHAnsi"/>
          <w:color w:val="000000"/>
          <w:sz w:val="24"/>
          <w:szCs w:val="24"/>
        </w:rPr>
        <w:t xml:space="preserve">ha sido </w:t>
      </w:r>
      <w:r w:rsidRPr="00134B11">
        <w:rPr>
          <w:rFonts w:eastAsia="Calibri" w:cstheme="minorHAnsi"/>
          <w:color w:val="000000"/>
          <w:sz w:val="24"/>
          <w:szCs w:val="24"/>
        </w:rPr>
        <w:t>elaborada en cumplimiento de la Ley de Acceso a la Información Pública</w:t>
      </w:r>
      <w:r>
        <w:rPr>
          <w:rFonts w:eastAsia="Calibri" w:cstheme="minorHAnsi"/>
          <w:color w:val="000000"/>
          <w:sz w:val="24"/>
          <w:szCs w:val="24"/>
        </w:rPr>
        <w:t>, Decreto L</w:t>
      </w:r>
      <w:r w:rsidRPr="00134B11">
        <w:rPr>
          <w:rFonts w:eastAsia="Calibri" w:cstheme="minorHAnsi"/>
          <w:color w:val="000000"/>
          <w:sz w:val="24"/>
          <w:szCs w:val="24"/>
        </w:rPr>
        <w:t xml:space="preserve">egislativo N°534 de fecha 2 de diciembre de 2010, publicada </w:t>
      </w:r>
      <w:r w:rsidR="00071CAD">
        <w:rPr>
          <w:rFonts w:eastAsia="Calibri" w:cstheme="minorHAnsi"/>
          <w:color w:val="000000"/>
          <w:sz w:val="24"/>
          <w:szCs w:val="24"/>
        </w:rPr>
        <w:t>en el Diario oficial tomo 371, N</w:t>
      </w:r>
      <w:r w:rsidRPr="00134B11">
        <w:rPr>
          <w:rFonts w:eastAsia="Calibri" w:cstheme="minorHAnsi"/>
          <w:color w:val="000000"/>
          <w:sz w:val="24"/>
          <w:szCs w:val="24"/>
        </w:rPr>
        <w:t>°70 del 8 de abril de 2011, tomando como base a la Norma Internacional para Descripción de Instituciones con Acervo Archivístico ISDIAH.</w:t>
      </w:r>
    </w:p>
    <w:p w:rsidR="00134B11" w:rsidRDefault="00134B11" w:rsidP="00134B1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4B7610" w:rsidRPr="004B7610" w:rsidRDefault="00134B11" w:rsidP="00AC24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7610">
        <w:rPr>
          <w:rFonts w:cstheme="minorHAnsi"/>
          <w:sz w:val="24"/>
          <w:szCs w:val="24"/>
        </w:rPr>
        <w:t xml:space="preserve">Con esta guía, se brindará a la ciudadanía una descripción </w:t>
      </w:r>
      <w:r w:rsidR="00AC24D8">
        <w:rPr>
          <w:rFonts w:cstheme="minorHAnsi"/>
          <w:sz w:val="24"/>
          <w:szCs w:val="24"/>
        </w:rPr>
        <w:t xml:space="preserve">clara y precisa </w:t>
      </w:r>
      <w:r w:rsidRPr="004B7610">
        <w:rPr>
          <w:rFonts w:cstheme="minorHAnsi"/>
          <w:sz w:val="24"/>
          <w:szCs w:val="24"/>
        </w:rPr>
        <w:t>de la institución</w:t>
      </w:r>
      <w:r w:rsidR="00AC24D8">
        <w:rPr>
          <w:rFonts w:cstheme="minorHAnsi"/>
          <w:sz w:val="24"/>
          <w:szCs w:val="24"/>
        </w:rPr>
        <w:t>, proporcionándole</w:t>
      </w:r>
      <w:r w:rsidRPr="004B7610">
        <w:rPr>
          <w:rFonts w:cstheme="minorHAnsi"/>
          <w:sz w:val="24"/>
          <w:szCs w:val="24"/>
        </w:rPr>
        <w:t xml:space="preserve"> </w:t>
      </w:r>
      <w:r w:rsidR="00AC24D8">
        <w:rPr>
          <w:rFonts w:cstheme="minorHAnsi"/>
          <w:sz w:val="24"/>
          <w:szCs w:val="24"/>
        </w:rPr>
        <w:t>información sobre la historia institucional, marcos legales, área de acceso, área de servicios y contacto entre otros, facilitando de esa manera</w:t>
      </w:r>
      <w:r w:rsidR="004B7610" w:rsidRPr="004B7610">
        <w:rPr>
          <w:rFonts w:eastAsia="Calibri" w:cstheme="minorHAnsi"/>
          <w:sz w:val="24"/>
          <w:szCs w:val="24"/>
        </w:rPr>
        <w:t xml:space="preserve"> la consulta ciudadana y </w:t>
      </w:r>
      <w:r w:rsidR="00AC24D8">
        <w:rPr>
          <w:rFonts w:eastAsia="Calibri" w:cstheme="minorHAnsi"/>
          <w:sz w:val="24"/>
          <w:szCs w:val="24"/>
        </w:rPr>
        <w:t xml:space="preserve">promoviendo el acceso a la información y </w:t>
      </w:r>
      <w:r w:rsidR="004B7610" w:rsidRPr="004B7610">
        <w:rPr>
          <w:rFonts w:eastAsia="Calibri" w:cstheme="minorHAnsi"/>
          <w:sz w:val="24"/>
          <w:szCs w:val="24"/>
        </w:rPr>
        <w:t>transparen</w:t>
      </w:r>
      <w:r w:rsidR="00AC24D8">
        <w:rPr>
          <w:rFonts w:eastAsia="Calibri" w:cstheme="minorHAnsi"/>
          <w:sz w:val="24"/>
          <w:szCs w:val="24"/>
        </w:rPr>
        <w:t>cia en la gestión pública</w:t>
      </w:r>
      <w:r w:rsidR="004B7610" w:rsidRPr="004B7610">
        <w:rPr>
          <w:rFonts w:eastAsia="Calibri" w:cstheme="minorHAnsi"/>
          <w:sz w:val="24"/>
          <w:szCs w:val="24"/>
        </w:rPr>
        <w:t>.</w:t>
      </w:r>
    </w:p>
    <w:p w:rsidR="004B7610" w:rsidRPr="004B7610" w:rsidRDefault="004B7610" w:rsidP="004B761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:rsidR="00134B11" w:rsidRPr="00134B11" w:rsidRDefault="00134B11" w:rsidP="004B761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:rsidR="00134B11" w:rsidRPr="00134B11" w:rsidRDefault="00134B11" w:rsidP="00134B1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3"/>
          <w:szCs w:val="23"/>
        </w:rPr>
      </w:pPr>
    </w:p>
    <w:p w:rsidR="00134B11" w:rsidRPr="00134B11" w:rsidRDefault="00134B11" w:rsidP="00134B11">
      <w:pPr>
        <w:jc w:val="center"/>
        <w:rPr>
          <w:b/>
        </w:rPr>
      </w:pPr>
    </w:p>
    <w:p w:rsidR="00134B11" w:rsidRDefault="00134B11"/>
    <w:p w:rsidR="00134B11" w:rsidRDefault="00134B11"/>
    <w:p w:rsidR="00C11745" w:rsidRDefault="00C11745"/>
    <w:p w:rsidR="00C11745" w:rsidRDefault="00C11745"/>
    <w:p w:rsidR="00C11745" w:rsidRDefault="00C11745"/>
    <w:p w:rsidR="00C11745" w:rsidRDefault="00C11745"/>
    <w:p w:rsidR="00C11745" w:rsidRDefault="00C11745"/>
    <w:p w:rsidR="00C11745" w:rsidRDefault="00C11745"/>
    <w:p w:rsidR="00C11745" w:rsidRDefault="00C11745"/>
    <w:p w:rsidR="00134B11" w:rsidRDefault="00134B11"/>
    <w:p w:rsidR="00134B11" w:rsidRDefault="00134B11"/>
    <w:p w:rsidR="00134B11" w:rsidRDefault="00134B11"/>
    <w:p w:rsidR="00134B11" w:rsidRDefault="00134B11"/>
    <w:p w:rsidR="00C11745" w:rsidRDefault="00C11745"/>
    <w:p w:rsidR="00C11745" w:rsidRDefault="00C11745"/>
    <w:p w:rsidR="00C11745" w:rsidRDefault="00C11745"/>
    <w:p w:rsidR="00C11745" w:rsidRDefault="00C11745"/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603"/>
        <w:gridCol w:w="566"/>
        <w:gridCol w:w="6697"/>
      </w:tblGrid>
      <w:tr w:rsidR="00170C91" w:rsidRPr="00173549" w:rsidTr="00D03388">
        <w:tc>
          <w:tcPr>
            <w:tcW w:w="8828" w:type="dxa"/>
            <w:gridSpan w:val="3"/>
            <w:shd w:val="clear" w:color="auto" w:fill="4F81BD" w:themeFill="accent1"/>
          </w:tcPr>
          <w:p w:rsidR="00170C91" w:rsidRPr="00173549" w:rsidRDefault="00170C91" w:rsidP="00D03388">
            <w:pPr>
              <w:jc w:val="both"/>
              <w:rPr>
                <w14:textOutline w14:w="9525" w14:cap="rnd" w14:cmpd="sng" w14:algn="ctr">
                  <w14:solidFill>
                    <w14:schemeClr w14:val="accent1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170C91" w:rsidRPr="00173549" w:rsidTr="00D03388">
        <w:tc>
          <w:tcPr>
            <w:tcW w:w="8828" w:type="dxa"/>
            <w:gridSpan w:val="3"/>
          </w:tcPr>
          <w:p w:rsidR="00170C91" w:rsidRPr="00173549" w:rsidRDefault="00170C91" w:rsidP="00D03388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b/>
              </w:rPr>
            </w:pPr>
            <w:r w:rsidRPr="00173549">
              <w:rPr>
                <w:b/>
              </w:rPr>
              <w:t xml:space="preserve">ÁREA DE IDENTIFICACIÓN </w:t>
            </w:r>
          </w:p>
        </w:tc>
      </w:tr>
      <w:tr w:rsidR="00121DE6" w:rsidRPr="00173549" w:rsidTr="003B6F37">
        <w:trPr>
          <w:trHeight w:val="1349"/>
        </w:trPr>
        <w:tc>
          <w:tcPr>
            <w:tcW w:w="1603" w:type="dxa"/>
          </w:tcPr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lang w:eastAsia="es-SV"/>
              </w:rPr>
              <w:t>1.1</w:t>
            </w:r>
            <w:r w:rsidRPr="00173549">
              <w:rPr>
                <w:rFonts w:ascii="Calibri" w:eastAsia="Times New Roman" w:hAnsi="Calibri" w:cs="Calibri"/>
                <w:spacing w:val="1"/>
                <w:lang w:eastAsia="es-SV"/>
              </w:rPr>
              <w:t xml:space="preserve"> </w:t>
            </w:r>
            <w:r w:rsidRPr="00173549">
              <w:rPr>
                <w:rFonts w:ascii="Calibri" w:eastAsia="Times New Roman" w:hAnsi="Calibri" w:cs="Calibri"/>
                <w:lang w:eastAsia="es-SV"/>
              </w:rPr>
              <w:t>Identif</w:t>
            </w:r>
            <w:r w:rsidRPr="00173549">
              <w:rPr>
                <w:rFonts w:ascii="Calibri" w:eastAsia="Times New Roman" w:hAnsi="Calibri" w:cs="Calibri"/>
                <w:spacing w:val="-3"/>
                <w:lang w:eastAsia="es-SV"/>
              </w:rPr>
              <w:t>i</w:t>
            </w:r>
            <w:r w:rsidRPr="00173549">
              <w:rPr>
                <w:rFonts w:ascii="Calibri" w:eastAsia="Times New Roman" w:hAnsi="Calibri" w:cs="Calibri"/>
                <w:lang w:eastAsia="es-SV"/>
              </w:rPr>
              <w:t>cador</w:t>
            </w:r>
          </w:p>
          <w:p w:rsidR="00170C91" w:rsidRPr="00173549" w:rsidRDefault="00170C91" w:rsidP="00D03388">
            <w:pPr>
              <w:jc w:val="both"/>
            </w:pP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16</w:t>
            </w:r>
          </w:p>
        </w:tc>
        <w:tc>
          <w:tcPr>
            <w:tcW w:w="6659" w:type="dxa"/>
          </w:tcPr>
          <w:p w:rsidR="003E1975" w:rsidRDefault="003E1975" w:rsidP="003B6F37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</w:p>
          <w:p w:rsidR="00170C91" w:rsidRPr="00173549" w:rsidRDefault="003B6F37" w:rsidP="003B6F37">
            <w:pPr>
              <w:widowControl w:val="0"/>
              <w:autoSpaceDE w:val="0"/>
              <w:autoSpaceDN w:val="0"/>
              <w:adjustRightInd w:val="0"/>
              <w:ind w:right="241"/>
              <w:jc w:val="both"/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SV-CSSP</w:t>
            </w:r>
            <w:r w:rsidR="00170C91" w:rsidRPr="00173549">
              <w:rPr>
                <w:rFonts w:ascii="Calibri" w:eastAsia="Times New Roman" w:hAnsi="Calibri" w:cs="Calibri"/>
                <w:b/>
                <w:lang w:eastAsia="es-SV"/>
              </w:rPr>
              <w:t xml:space="preserve">           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1.2 Forma autorizada del nombre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p. 16 </w:t>
            </w:r>
          </w:p>
        </w:tc>
        <w:tc>
          <w:tcPr>
            <w:tcW w:w="6659" w:type="dxa"/>
          </w:tcPr>
          <w:p w:rsidR="00170C91" w:rsidRPr="00173549" w:rsidRDefault="00EE72A6" w:rsidP="00D03388">
            <w:pPr>
              <w:widowControl w:val="0"/>
              <w:autoSpaceDE w:val="0"/>
              <w:autoSpaceDN w:val="0"/>
              <w:adjustRightInd w:val="0"/>
              <w:ind w:right="151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>
              <w:rPr>
                <w:rFonts w:eastAsia="Times New Roman" w:cs="Times New Roman"/>
                <w:b/>
                <w:szCs w:val="24"/>
                <w:lang w:eastAsia="es-SV"/>
              </w:rPr>
              <w:t>Consejo Superior de Salud Pública</w:t>
            </w:r>
            <w:r w:rsidR="00170C91"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. </w:t>
            </w:r>
          </w:p>
          <w:p w:rsidR="00170C91" w:rsidRPr="00173549" w:rsidRDefault="00170C91" w:rsidP="00D03388">
            <w:pPr>
              <w:jc w:val="both"/>
            </w:pP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1.3 Formas paralelas del nombre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p. 17 </w:t>
            </w:r>
          </w:p>
        </w:tc>
        <w:tc>
          <w:tcPr>
            <w:tcW w:w="6659" w:type="dxa"/>
          </w:tcPr>
          <w:p w:rsidR="00170C91" w:rsidRPr="00173549" w:rsidRDefault="00170C91" w:rsidP="00D03388">
            <w:pPr>
              <w:jc w:val="both"/>
            </w:pPr>
            <w:r w:rsidRPr="00173549">
              <w:rPr>
                <w:rFonts w:ascii="Calibri" w:eastAsia="Times New Roman" w:hAnsi="Calibri" w:cs="Calibri"/>
              </w:rPr>
              <w:t xml:space="preserve"> </w:t>
            </w:r>
            <w:r w:rsidR="00EE72A6">
              <w:rPr>
                <w:rFonts w:ascii="Calibri" w:eastAsia="Times New Roman" w:hAnsi="Calibri" w:cs="Calibri"/>
                <w:b/>
              </w:rPr>
              <w:t>no posee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1.4 Otras formas del nombre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17</w:t>
            </w:r>
          </w:p>
        </w:tc>
        <w:tc>
          <w:tcPr>
            <w:tcW w:w="6659" w:type="dxa"/>
          </w:tcPr>
          <w:p w:rsidR="00170C91" w:rsidRPr="00173549" w:rsidRDefault="00EE72A6" w:rsidP="00D03388">
            <w:pPr>
              <w:jc w:val="both"/>
              <w:rPr>
                <w:b/>
              </w:rPr>
            </w:pPr>
            <w:r>
              <w:rPr>
                <w:b/>
              </w:rPr>
              <w:t>CSSP</w:t>
            </w:r>
            <w:r w:rsidR="00170C91" w:rsidRPr="00173549">
              <w:rPr>
                <w:b/>
              </w:rPr>
              <w:t xml:space="preserve">, </w:t>
            </w:r>
            <w:r>
              <w:rPr>
                <w:b/>
              </w:rPr>
              <w:t>siglas d</w:t>
            </w:r>
            <w:r w:rsidR="00170C91" w:rsidRPr="00173549">
              <w:rPr>
                <w:b/>
              </w:rPr>
              <w:t xml:space="preserve">e </w:t>
            </w:r>
            <w:r>
              <w:rPr>
                <w:b/>
              </w:rPr>
              <w:t>Consejo Superior de Salud Pública</w:t>
            </w:r>
            <w:r w:rsidR="00170C91" w:rsidRPr="00173549">
              <w:rPr>
                <w:b/>
              </w:rPr>
              <w:t xml:space="preserve"> </w:t>
            </w:r>
          </w:p>
          <w:p w:rsidR="00170C91" w:rsidRPr="00173549" w:rsidRDefault="00170C91" w:rsidP="007C58C3">
            <w:pPr>
              <w:jc w:val="both"/>
              <w:rPr>
                <w:b/>
              </w:rPr>
            </w:pPr>
            <w:r w:rsidRPr="001C15C0">
              <w:rPr>
                <w:b/>
              </w:rPr>
              <w:t xml:space="preserve">El </w:t>
            </w:r>
            <w:r w:rsidR="007C58C3" w:rsidRPr="001C15C0">
              <w:rPr>
                <w:b/>
              </w:rPr>
              <w:t>Consejo</w:t>
            </w:r>
            <w:r w:rsidRPr="001C15C0">
              <w:rPr>
                <w:b/>
              </w:rPr>
              <w:t xml:space="preserve">, según artículo </w:t>
            </w:r>
            <w:r w:rsidR="00DB65A9">
              <w:rPr>
                <w:b/>
              </w:rPr>
              <w:t>6</w:t>
            </w:r>
            <w:r w:rsidR="007C58C3" w:rsidRPr="001C15C0">
              <w:rPr>
                <w:b/>
              </w:rPr>
              <w:t xml:space="preserve"> de</w:t>
            </w:r>
            <w:r w:rsidRPr="001C15C0">
              <w:rPr>
                <w:b/>
              </w:rPr>
              <w:t xml:space="preserve">l </w:t>
            </w:r>
            <w:r w:rsidR="007C58C3" w:rsidRPr="001C15C0">
              <w:rPr>
                <w:b/>
              </w:rPr>
              <w:t>Código de Salud</w:t>
            </w:r>
            <w:r w:rsidRPr="00173549">
              <w:rPr>
                <w:b/>
              </w:rPr>
              <w:t xml:space="preserve">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1.5 Tipo de Institución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18</w:t>
            </w:r>
          </w:p>
        </w:tc>
        <w:tc>
          <w:tcPr>
            <w:tcW w:w="6659" w:type="dxa"/>
          </w:tcPr>
          <w:p w:rsidR="00170C91" w:rsidRPr="00173549" w:rsidRDefault="00170C91" w:rsidP="001C15C0">
            <w:pPr>
              <w:jc w:val="both"/>
            </w:pPr>
            <w:r w:rsidRPr="001C15C0">
              <w:rPr>
                <w:rFonts w:ascii="Calibri" w:eastAsia="Times New Roman" w:hAnsi="Calibri" w:cs="Calibri"/>
                <w:b/>
                <w:lang w:eastAsia="es-SV"/>
              </w:rPr>
              <w:t xml:space="preserve">Institución pública autónoma </w:t>
            </w:r>
            <w:r w:rsidR="001C15C0">
              <w:rPr>
                <w:rFonts w:ascii="Calibri" w:eastAsia="Times New Roman" w:hAnsi="Calibri" w:cs="Calibri"/>
                <w:b/>
                <w:lang w:eastAsia="es-SV"/>
              </w:rPr>
              <w:t xml:space="preserve">de </w:t>
            </w:r>
            <w:r w:rsidRPr="001C15C0">
              <w:rPr>
                <w:rFonts w:ascii="Calibri" w:eastAsia="Times New Roman" w:hAnsi="Calibri" w:cs="Calibri"/>
                <w:b/>
                <w:lang w:eastAsia="es-SV"/>
              </w:rPr>
              <w:t>crea</w:t>
            </w:r>
            <w:r w:rsidR="001C15C0">
              <w:rPr>
                <w:rFonts w:ascii="Calibri" w:eastAsia="Times New Roman" w:hAnsi="Calibri" w:cs="Calibri"/>
                <w:b/>
                <w:lang w:eastAsia="es-SV"/>
              </w:rPr>
              <w:t xml:space="preserve">ción Constitucional </w:t>
            </w:r>
            <w:r w:rsidR="007C58C3" w:rsidRPr="001C15C0">
              <w:rPr>
                <w:rFonts w:ascii="Calibri" w:eastAsia="Times New Roman" w:hAnsi="Calibri" w:cs="Calibri"/>
                <w:b/>
                <w:lang w:eastAsia="es-SV"/>
              </w:rPr>
              <w:t>(Art. 68)</w:t>
            </w:r>
          </w:p>
        </w:tc>
      </w:tr>
      <w:tr w:rsidR="00170C91" w:rsidRPr="00173549" w:rsidTr="00D03388">
        <w:tc>
          <w:tcPr>
            <w:tcW w:w="8828" w:type="dxa"/>
            <w:gridSpan w:val="3"/>
            <w:shd w:val="clear" w:color="auto" w:fill="4F81BD" w:themeFill="accent1"/>
          </w:tcPr>
          <w:p w:rsidR="00170C91" w:rsidRPr="00173549" w:rsidRDefault="00170C91" w:rsidP="00D03388">
            <w:pPr>
              <w:jc w:val="both"/>
            </w:pPr>
          </w:p>
        </w:tc>
      </w:tr>
      <w:tr w:rsidR="00170C91" w:rsidRPr="00173549" w:rsidTr="00D03388">
        <w:tc>
          <w:tcPr>
            <w:tcW w:w="8828" w:type="dxa"/>
            <w:gridSpan w:val="3"/>
          </w:tcPr>
          <w:p w:rsidR="00170C91" w:rsidRPr="00173549" w:rsidRDefault="00170C91" w:rsidP="00D03388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b/>
              </w:rPr>
            </w:pPr>
            <w:r w:rsidRPr="00173549">
              <w:rPr>
                <w:b/>
              </w:rPr>
              <w:t xml:space="preserve">ÁREA DE CONTACTO </w:t>
            </w:r>
          </w:p>
        </w:tc>
      </w:tr>
      <w:tr w:rsidR="00121DE6" w:rsidRPr="00CB2E4B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2.1 Localización y direcciones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19</w:t>
            </w:r>
          </w:p>
        </w:tc>
        <w:tc>
          <w:tcPr>
            <w:tcW w:w="6659" w:type="dxa"/>
          </w:tcPr>
          <w:p w:rsidR="007C58C3" w:rsidRPr="00173549" w:rsidRDefault="007C58C3" w:rsidP="007C58C3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20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Inicio del Paseo General Escalón, Nº 3551, San Salvador</w:t>
            </w:r>
          </w:p>
          <w:p w:rsidR="00170C91" w:rsidRPr="00173549" w:rsidRDefault="00170C91" w:rsidP="007C58C3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20"/>
              <w:jc w:val="both"/>
              <w:rPr>
                <w:lang w:val="en-US"/>
              </w:rPr>
            </w:pPr>
            <w:r w:rsidRPr="00A012D2">
              <w:rPr>
                <w:rFonts w:eastAsia="Times New Roman" w:cs="Times New Roman"/>
                <w:b/>
                <w:szCs w:val="24"/>
                <w:lang w:eastAsia="es-SV"/>
              </w:rPr>
              <w:t xml:space="preserve"> </w:t>
            </w:r>
            <w:r w:rsidRPr="00173549">
              <w:rPr>
                <w:rFonts w:eastAsia="Times New Roman" w:cs="Times New Roman"/>
                <w:b/>
                <w:szCs w:val="24"/>
                <w:lang w:val="en-US" w:eastAsia="es-SV"/>
              </w:rPr>
              <w:t>URL:</w:t>
            </w:r>
            <w:r w:rsidRPr="00173549">
              <w:rPr>
                <w:rFonts w:eastAsia="Times New Roman" w:cs="Times New Roman"/>
                <w:szCs w:val="24"/>
                <w:lang w:val="en-US" w:eastAsia="es-SV"/>
              </w:rPr>
              <w:t xml:space="preserve"> </w:t>
            </w:r>
            <w:hyperlink r:id="rId11" w:history="1">
              <w:r w:rsidR="007C58C3" w:rsidRPr="00775A29">
                <w:rPr>
                  <w:rStyle w:val="Hipervnculo"/>
                  <w:rFonts w:eastAsia="Times New Roman" w:cs="Times New Roman"/>
                  <w:szCs w:val="24"/>
                  <w:lang w:val="en-US" w:eastAsia="es-SV"/>
                </w:rPr>
                <w:t>www.cssp.gob.sv</w:t>
              </w:r>
            </w:hyperlink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2.2 Teléfono, fax y correo electrónico    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20</w:t>
            </w:r>
          </w:p>
        </w:tc>
        <w:tc>
          <w:tcPr>
            <w:tcW w:w="6659" w:type="dxa"/>
          </w:tcPr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ind w:right="115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>Teléfono: (503) 2</w:t>
            </w:r>
            <w:r w:rsidR="007C58C3">
              <w:rPr>
                <w:rFonts w:ascii="Calibri" w:eastAsia="Times New Roman" w:hAnsi="Calibri" w:cs="Calibri"/>
                <w:b/>
                <w:lang w:eastAsia="es-SV"/>
              </w:rPr>
              <w:t>561-2525</w:t>
            </w:r>
          </w:p>
          <w:p w:rsidR="00170C91" w:rsidRPr="00173549" w:rsidRDefault="007C58C3" w:rsidP="00D03388">
            <w:pPr>
              <w:widowControl w:val="0"/>
              <w:autoSpaceDE w:val="0"/>
              <w:autoSpaceDN w:val="0"/>
              <w:adjustRightInd w:val="0"/>
              <w:ind w:right="115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Fax: 2561-2556</w:t>
            </w:r>
            <w:r w:rsidR="00170C91" w:rsidRPr="00173549">
              <w:rPr>
                <w:rFonts w:ascii="Calibri" w:eastAsia="Times New Roman" w:hAnsi="Calibri" w:cs="Calibri"/>
                <w:b/>
                <w:lang w:eastAsia="es-SV"/>
              </w:rPr>
              <w:t xml:space="preserve">  </w:t>
            </w:r>
          </w:p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ind w:right="115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>Correo electrónico:</w:t>
            </w:r>
            <w:r w:rsidRPr="00173549">
              <w:rPr>
                <w:rFonts w:ascii="Calibri" w:eastAsia="Times New Roman" w:hAnsi="Calibri" w:cs="Calibri"/>
                <w:lang w:eastAsia="es-SV"/>
              </w:rPr>
              <w:t xml:space="preserve"> </w:t>
            </w:r>
            <w:hyperlink r:id="rId12" w:history="1">
              <w:r w:rsidR="007C58C3" w:rsidRPr="00775A29">
                <w:rPr>
                  <w:rStyle w:val="Hipervnculo"/>
                  <w:rFonts w:ascii="Calibri" w:eastAsia="Times New Roman" w:hAnsi="Calibri" w:cs="Calibri"/>
                  <w:lang w:eastAsia="es-SV"/>
                </w:rPr>
                <w:t>www.cssp.gob.sv</w:t>
              </w:r>
            </w:hyperlink>
            <w:r w:rsidRPr="00173549">
              <w:rPr>
                <w:rFonts w:ascii="Calibri" w:eastAsia="Times New Roman" w:hAnsi="Calibri" w:cs="Calibri"/>
                <w:lang w:eastAsia="es-SV"/>
              </w:rPr>
              <w:t xml:space="preserve"> </w:t>
            </w:r>
          </w:p>
          <w:p w:rsidR="00170C91" w:rsidRPr="00173549" w:rsidRDefault="007C58C3" w:rsidP="00D03388">
            <w:pPr>
              <w:widowControl w:val="0"/>
              <w:autoSpaceDE w:val="0"/>
              <w:autoSpaceDN w:val="0"/>
              <w:adjustRightInd w:val="0"/>
              <w:ind w:right="115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El Salvador, Consejo Superior de Salud</w:t>
            </w:r>
            <w:r w:rsidR="00170C91" w:rsidRPr="00173549">
              <w:rPr>
                <w:rFonts w:ascii="Calibri" w:eastAsia="Times New Roman" w:hAnsi="Calibri" w:cs="Calibri"/>
                <w:b/>
                <w:lang w:eastAsia="es-SV"/>
              </w:rPr>
              <w:t xml:space="preserve"> Pública. </w:t>
            </w:r>
          </w:p>
          <w:p w:rsidR="00170C91" w:rsidRPr="00173549" w:rsidRDefault="00170C91" w:rsidP="00D03388">
            <w:pPr>
              <w:jc w:val="both"/>
            </w:pP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2.3 Personas de contacto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21</w:t>
            </w:r>
          </w:p>
        </w:tc>
        <w:tc>
          <w:tcPr>
            <w:tcW w:w="6659" w:type="dxa"/>
          </w:tcPr>
          <w:p w:rsidR="00170C91" w:rsidRPr="00173549" w:rsidRDefault="007C58C3" w:rsidP="00D03388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b/>
                <w:iCs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es-SV"/>
              </w:rPr>
              <w:t>Cecilia Ávila de Lino</w:t>
            </w:r>
          </w:p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b/>
                <w:iCs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iCs/>
                <w:lang w:eastAsia="es-SV"/>
              </w:rPr>
              <w:t xml:space="preserve">Oficial de Gestión Documental y Archivos </w:t>
            </w:r>
          </w:p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b/>
                <w:iCs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iCs/>
                <w:lang w:eastAsia="es-SV"/>
              </w:rPr>
              <w:t>Unidad de Gestión Documental y Archivo</w:t>
            </w:r>
          </w:p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iCs/>
                <w:lang w:eastAsia="es-SV"/>
              </w:rPr>
            </w:pPr>
            <w:r w:rsidRPr="0034587D">
              <w:rPr>
                <w:rFonts w:ascii="Calibri" w:eastAsia="Times New Roman" w:hAnsi="Calibri" w:cs="Calibri"/>
                <w:b/>
                <w:iCs/>
                <w:lang w:eastAsia="es-SV"/>
              </w:rPr>
              <w:t>Teléfono:</w:t>
            </w:r>
            <w:r w:rsidR="0034587D">
              <w:rPr>
                <w:rFonts w:ascii="Calibri" w:eastAsia="Times New Roman" w:hAnsi="Calibri" w:cs="Calibri"/>
                <w:b/>
                <w:iCs/>
                <w:lang w:eastAsia="es-SV"/>
              </w:rPr>
              <w:t xml:space="preserve"> 2561-2525</w:t>
            </w:r>
            <w:r w:rsidRPr="00173549">
              <w:rPr>
                <w:rFonts w:ascii="Calibri" w:eastAsia="Times New Roman" w:hAnsi="Calibri" w:cs="Calibri"/>
                <w:b/>
                <w:iCs/>
                <w:lang w:eastAsia="es-SV"/>
              </w:rPr>
              <w:t xml:space="preserve"> </w:t>
            </w:r>
          </w:p>
          <w:p w:rsidR="00170C91" w:rsidRPr="00173549" w:rsidRDefault="009D2ACB" w:rsidP="00D03388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iCs/>
                <w:lang w:eastAsia="es-SV"/>
              </w:rPr>
            </w:pPr>
            <w:hyperlink r:id="rId13" w:history="1">
              <w:r w:rsidR="00D03187" w:rsidRPr="00775A29">
                <w:rPr>
                  <w:rStyle w:val="Hipervnculo"/>
                  <w:rFonts w:ascii="Calibri" w:eastAsia="Times New Roman" w:hAnsi="Calibri" w:cs="Calibri"/>
                  <w:iCs/>
                  <w:lang w:eastAsia="es-SV"/>
                </w:rPr>
                <w:t>cavila@cssp.gob.sv</w:t>
              </w:r>
            </w:hyperlink>
            <w:r w:rsidR="00170C91" w:rsidRPr="00173549">
              <w:rPr>
                <w:rFonts w:ascii="Calibri" w:eastAsia="Times New Roman" w:hAnsi="Calibri" w:cs="Calibri"/>
                <w:iCs/>
                <w:lang w:eastAsia="es-SV"/>
              </w:rPr>
              <w:t xml:space="preserve"> </w:t>
            </w:r>
          </w:p>
          <w:p w:rsidR="00047D58" w:rsidRDefault="00047D58" w:rsidP="00D03388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b/>
                <w:iCs/>
                <w:lang w:eastAsia="es-SV"/>
              </w:rPr>
            </w:pPr>
          </w:p>
          <w:p w:rsidR="00170C91" w:rsidRPr="00173549" w:rsidRDefault="00D03187" w:rsidP="00D03388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b/>
                <w:iCs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es-SV"/>
              </w:rPr>
              <w:lastRenderedPageBreak/>
              <w:t>Gregorio Guardado</w:t>
            </w:r>
            <w:r w:rsidR="00170C91" w:rsidRPr="00173549">
              <w:rPr>
                <w:rFonts w:ascii="Calibri" w:eastAsia="Times New Roman" w:hAnsi="Calibri" w:cs="Calibri"/>
                <w:b/>
                <w:iCs/>
                <w:lang w:eastAsia="es-SV"/>
              </w:rPr>
              <w:t xml:space="preserve"> </w:t>
            </w:r>
          </w:p>
          <w:p w:rsidR="00170C91" w:rsidRPr="00173549" w:rsidRDefault="001C15C0" w:rsidP="00D03388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b/>
                <w:iCs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es-SV"/>
              </w:rPr>
              <w:t xml:space="preserve">Encargado de </w:t>
            </w:r>
            <w:r w:rsidR="009A7501">
              <w:rPr>
                <w:rFonts w:ascii="Calibri" w:eastAsia="Times New Roman" w:hAnsi="Calibri" w:cs="Calibri"/>
                <w:b/>
                <w:iCs/>
                <w:lang w:eastAsia="es-SV"/>
              </w:rPr>
              <w:t>Archivo Central</w:t>
            </w:r>
          </w:p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b/>
                <w:iCs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iCs/>
                <w:lang w:eastAsia="es-SV"/>
              </w:rPr>
              <w:t xml:space="preserve">Unidad de Gestión Documental y Archivo </w:t>
            </w:r>
          </w:p>
          <w:p w:rsidR="001B793D" w:rsidRDefault="00170C91" w:rsidP="0034587D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iCs/>
                <w:lang w:eastAsia="es-SV"/>
              </w:rPr>
            </w:pPr>
            <w:r w:rsidRPr="0034587D">
              <w:rPr>
                <w:rFonts w:ascii="Calibri" w:eastAsia="Times New Roman" w:hAnsi="Calibri" w:cs="Calibri"/>
                <w:b/>
                <w:iCs/>
                <w:lang w:eastAsia="es-SV"/>
              </w:rPr>
              <w:t>Teléfono:</w:t>
            </w:r>
            <w:r w:rsidR="0034587D">
              <w:rPr>
                <w:rFonts w:ascii="Calibri" w:eastAsia="Times New Roman" w:hAnsi="Calibri" w:cs="Calibri"/>
                <w:b/>
                <w:iCs/>
                <w:lang w:eastAsia="es-SV"/>
              </w:rPr>
              <w:t xml:space="preserve"> 2561-2525</w:t>
            </w:r>
            <w:r w:rsidRPr="00173549">
              <w:rPr>
                <w:rFonts w:ascii="Calibri" w:eastAsia="Times New Roman" w:hAnsi="Calibri" w:cs="Calibri"/>
                <w:iCs/>
                <w:lang w:eastAsia="es-SV"/>
              </w:rPr>
              <w:t xml:space="preserve">  </w:t>
            </w:r>
          </w:p>
          <w:p w:rsidR="003E1975" w:rsidRPr="00047D58" w:rsidRDefault="003E1975" w:rsidP="0034587D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" w:eastAsia="Times New Roman" w:hAnsi="Calibri" w:cs="Calibri"/>
                <w:iCs/>
                <w:lang w:eastAsia="es-SV"/>
              </w:rPr>
            </w:pPr>
          </w:p>
        </w:tc>
      </w:tr>
      <w:tr w:rsidR="00170C91" w:rsidRPr="00173549" w:rsidTr="00D03388">
        <w:tc>
          <w:tcPr>
            <w:tcW w:w="8828" w:type="dxa"/>
            <w:gridSpan w:val="3"/>
            <w:shd w:val="clear" w:color="auto" w:fill="4F81BD" w:themeFill="accent1"/>
          </w:tcPr>
          <w:p w:rsidR="00170C91" w:rsidRPr="00173549" w:rsidRDefault="00170C91" w:rsidP="00D03388">
            <w:pPr>
              <w:jc w:val="both"/>
            </w:pPr>
          </w:p>
        </w:tc>
      </w:tr>
      <w:tr w:rsidR="00170C91" w:rsidRPr="00173549" w:rsidTr="00D03388">
        <w:tc>
          <w:tcPr>
            <w:tcW w:w="8828" w:type="dxa"/>
            <w:gridSpan w:val="3"/>
          </w:tcPr>
          <w:p w:rsidR="00170C91" w:rsidRPr="00173549" w:rsidRDefault="00170C91" w:rsidP="00D03388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b/>
              </w:rPr>
            </w:pPr>
            <w:r w:rsidRPr="00173549">
              <w:rPr>
                <w:b/>
              </w:rPr>
              <w:t xml:space="preserve">ÁREA DE DESCRIPCIÓN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>3.1 Historia de la institución que custodia los fondos de archivo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22</w:t>
            </w:r>
          </w:p>
        </w:tc>
        <w:tc>
          <w:tcPr>
            <w:tcW w:w="6659" w:type="dxa"/>
          </w:tcPr>
          <w:p w:rsidR="00A012D2" w:rsidRPr="00A012D2" w:rsidRDefault="00A012D2" w:rsidP="00A012D2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 mandato constitucional, El Consejo Superior de Salud Pública fue creado el 24 de agosto de 1956, tomando protesta de Ley e instalándose el primer Consejo Directivo el día 11 de septiembre de ese mismo año.</w:t>
            </w:r>
          </w:p>
          <w:p w:rsidR="00A012D2" w:rsidRPr="00A012D2" w:rsidRDefault="00A012D2" w:rsidP="00A012D2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Inicialmente, el Consejo Superior de Salud</w:t>
            </w:r>
            <w:r w:rsidR="009428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Pública estaba conformado por 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="009428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428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Presidente, Serafín   Quiteño, 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="009428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Secretario, el Br. Rosendo Aguilar Chavarría, y nueve miembros propietarios, y sus respectivos suplentes, quienes conformaban el Consejo Directivo, estos pertenecían a las profesiones de Medicina, Odontología y Químic</w:t>
            </w:r>
            <w:r w:rsidR="005660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660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 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Farmac</w:t>
            </w:r>
            <w:r w:rsidR="005660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ia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A012D2" w:rsidRPr="00A012D2" w:rsidRDefault="00A012D2" w:rsidP="00A012D2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Para su funcionamiento contaba con la subvención del Ministerio de Salud Pública y Asistencia Social, quien además había donado la mayor parte del equipo con que se trabajaba. Fue en noviembre de 1992, que la Asamblea Legislativa aprueba </w:t>
            </w:r>
            <w:r w:rsidR="00A261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 Decreto 373: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“Tabla de Ingresos por Derechos”</w:t>
            </w:r>
            <w:r w:rsidR="00A261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que cobraría el Consejo Superior de Salud Pública; a partir de esa fecha le permite contar con nuevas fuentes de ingresos para su funcionamiento, fortaleciendo de esa forma sus unidades organizativas.</w:t>
            </w:r>
          </w:p>
          <w:p w:rsidR="00A012D2" w:rsidRDefault="005D4ABC" w:rsidP="00A012D2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 la Constitución de la República promulgada por la Asamblea Constituyente de 1983, se reformó el Artículo </w:t>
            </w:r>
            <w:r w:rsidR="00FB3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 en el cual se incluye al Gremio Médico Veterinario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como una profesión más en el área de Salud y por lo tanto con representación en el Consejo Directivo. </w:t>
            </w:r>
            <w:r w:rsidR="00A012D2"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 el pasar de los años y </w:t>
            </w:r>
            <w:r w:rsidR="00953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conformidad al Acuerdo de Reformas Constitucionales Nº 2, emitido por la Legislatura 2000-2003, en fecha veintitrés de abril del año dos mil tres, se estableció la reforma a los incisos primero y segundo del Artículo 68 de la Constitución de la República, a fin de que los Gremios de Profesionales en Laboratorio Clínico, Psicología y Enfermería, tuvieran representación en el Consejo Superior de Salud Pública</w:t>
            </w:r>
            <w:r w:rsidR="00622E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r w:rsidR="00A012D2"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 Consejo Directivo se constituyó </w:t>
            </w:r>
            <w:r w:rsidR="00953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partir de ese momento </w:t>
            </w:r>
            <w:r w:rsidR="00A012D2"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 21 miembros, tres de cada profesión relacionada a la salud, más su Presidente y Secretario.</w:t>
            </w:r>
          </w:p>
          <w:p w:rsidR="00170C91" w:rsidRDefault="00A012D2" w:rsidP="00953515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1996, gracias al ahorro sostenido desde la entrada en vigen</w:t>
            </w:r>
            <w:r w:rsidR="00622E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cia del decreto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se </w:t>
            </w:r>
            <w:r w:rsidR="00622E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logró </w:t>
            </w:r>
            <w:r w:rsidRPr="00A0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adquirir el edificio que actualmente alberga las oficinas administrativas y sus siete Juntas de Vigilancia.</w:t>
            </w:r>
          </w:p>
          <w:p w:rsidR="00953515" w:rsidRPr="00173549" w:rsidRDefault="00953515" w:rsidP="00953515">
            <w:pPr>
              <w:pStyle w:val="NormalWeb"/>
              <w:jc w:val="both"/>
            </w:pP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lastRenderedPageBreak/>
              <w:t>3.2 Contexto cultural y geográfico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p. 24 </w:t>
            </w:r>
          </w:p>
        </w:tc>
        <w:tc>
          <w:tcPr>
            <w:tcW w:w="6659" w:type="dxa"/>
          </w:tcPr>
          <w:p w:rsidR="00170C91" w:rsidRDefault="00170C91" w:rsidP="00B60100">
            <w:pPr>
              <w:widowControl w:val="0"/>
              <w:autoSpaceDE w:val="0"/>
              <w:autoSpaceDN w:val="0"/>
              <w:adjustRightInd w:val="0"/>
              <w:ind w:right="735"/>
              <w:jc w:val="both"/>
              <w:rPr>
                <w:b/>
                <w:color w:val="000000"/>
              </w:rPr>
            </w:pPr>
            <w:r w:rsidRPr="00173549">
              <w:rPr>
                <w:rFonts w:ascii="Calibri" w:eastAsia="Times New Roman" w:hAnsi="Calibri" w:cs="Calibri"/>
                <w:b/>
                <w:spacing w:val="1"/>
                <w:lang w:eastAsia="es-SV"/>
              </w:rPr>
              <w:t xml:space="preserve">El </w:t>
            </w:r>
            <w:r w:rsidR="00572C1F">
              <w:rPr>
                <w:rFonts w:ascii="Calibri" w:eastAsia="Times New Roman" w:hAnsi="Calibri" w:cs="Calibri"/>
                <w:b/>
                <w:spacing w:val="1"/>
                <w:lang w:eastAsia="es-SV"/>
              </w:rPr>
              <w:t>Consejo Superior de Salud Pública</w:t>
            </w:r>
            <w:r w:rsidRPr="00173549">
              <w:rPr>
                <w:rFonts w:ascii="Calibri" w:eastAsia="Times New Roman" w:hAnsi="Calibri" w:cs="Calibri"/>
                <w:b/>
                <w:spacing w:val="1"/>
                <w:lang w:eastAsia="es-SV"/>
              </w:rPr>
              <w:t xml:space="preserve"> está ubicado en la ciudad de San Salvador, capital de la República de El Salvador. Es una </w:t>
            </w:r>
            <w:r w:rsidR="00572C1F">
              <w:rPr>
                <w:rFonts w:ascii="Calibri" w:eastAsia="Times New Roman" w:hAnsi="Calibri" w:cs="Calibri"/>
                <w:b/>
                <w:spacing w:val="1"/>
                <w:lang w:eastAsia="es-SV"/>
              </w:rPr>
              <w:t xml:space="preserve">Corporación de derecho público con capacidad jurídica, </w:t>
            </w:r>
            <w:r w:rsidRPr="00173549">
              <w:rPr>
                <w:rFonts w:eastAsiaTheme="minorEastAsia"/>
                <w:b/>
                <w:lang w:eastAsia="es-SV"/>
              </w:rPr>
              <w:t xml:space="preserve">creada para </w:t>
            </w:r>
            <w:r w:rsidR="00572C1F">
              <w:rPr>
                <w:rFonts w:eastAsiaTheme="minorEastAsia"/>
                <w:b/>
                <w:lang w:eastAsia="es-SV"/>
              </w:rPr>
              <w:t>velar por la salud del pueblo</w:t>
            </w:r>
            <w:r w:rsidR="00E6661C">
              <w:rPr>
                <w:rFonts w:eastAsiaTheme="minorEastAsia"/>
                <w:b/>
                <w:lang w:eastAsia="es-SV"/>
              </w:rPr>
              <w:t xml:space="preserve">, así mismo, es </w:t>
            </w:r>
            <w:r w:rsidR="00E6661C" w:rsidRPr="00E6661C">
              <w:rPr>
                <w:b/>
                <w:color w:val="000000"/>
              </w:rPr>
              <w:t>la autoridad reguladora competente para la autorización, vigilancia y control del ejercicio de los profesionales de la salud y de establecimientos de salud no farmacéuticos</w:t>
            </w:r>
            <w:r w:rsidR="00B60100">
              <w:rPr>
                <w:b/>
                <w:color w:val="000000"/>
              </w:rPr>
              <w:t xml:space="preserve"> que ejercen y funcionan a nivel nacional</w:t>
            </w:r>
            <w:r w:rsidR="00E6661C" w:rsidRPr="00E6661C">
              <w:rPr>
                <w:b/>
                <w:color w:val="000000"/>
              </w:rPr>
              <w:t>.</w:t>
            </w:r>
          </w:p>
          <w:p w:rsidR="00083CCC" w:rsidRPr="00B60100" w:rsidRDefault="00083CCC" w:rsidP="00B60100">
            <w:pPr>
              <w:widowControl w:val="0"/>
              <w:autoSpaceDE w:val="0"/>
              <w:autoSpaceDN w:val="0"/>
              <w:adjustRightInd w:val="0"/>
              <w:ind w:right="735"/>
              <w:jc w:val="both"/>
              <w:rPr>
                <w:rFonts w:eastAsiaTheme="minorEastAsia"/>
                <w:b/>
                <w:lang w:eastAsia="es-SV"/>
              </w:rPr>
            </w:pP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>3.3 Atribuciones/ fuentes legales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p. 25 </w:t>
            </w:r>
          </w:p>
        </w:tc>
        <w:tc>
          <w:tcPr>
            <w:tcW w:w="6659" w:type="dxa"/>
          </w:tcPr>
          <w:p w:rsidR="00083CCC" w:rsidRDefault="00083CCC" w:rsidP="00083CCC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</w:p>
          <w:p w:rsidR="00327B7E" w:rsidRDefault="00327B7E" w:rsidP="00E5338A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Constitución de la República</w:t>
            </w:r>
          </w:p>
          <w:p w:rsidR="00327B7E" w:rsidRPr="00E5338A" w:rsidRDefault="00327B7E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E5338A">
              <w:rPr>
                <w:rFonts w:ascii="Calibri" w:eastAsia="Times New Roman" w:hAnsi="Calibri" w:cs="Calibri"/>
                <w:lang w:eastAsia="es-SV"/>
              </w:rPr>
              <w:t>Sección Cuarta Art. 68</w:t>
            </w:r>
          </w:p>
          <w:p w:rsidR="00E5338A" w:rsidRDefault="00E5338A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</w:p>
          <w:p w:rsidR="006F4BE1" w:rsidRDefault="006F4BE1" w:rsidP="00E5338A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Código de Salud</w:t>
            </w:r>
          </w:p>
          <w:p w:rsidR="008051CE" w:rsidRPr="008051CE" w:rsidRDefault="008051CE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color w:val="FF0000"/>
                <w:lang w:eastAsia="es-SV"/>
              </w:rPr>
            </w:pPr>
            <w:r w:rsidRPr="001470D8">
              <w:rPr>
                <w:rFonts w:ascii="Calibri" w:eastAsia="Times New Roman" w:hAnsi="Calibri" w:cs="Calibri"/>
                <w:lang w:eastAsia="es-SV"/>
              </w:rPr>
              <w:t>Capítulo I, Naturaleza e Integración del Consejo y las Juntas, Art. 7 al Art. 13</w:t>
            </w:r>
          </w:p>
          <w:p w:rsidR="00993307" w:rsidRPr="001438AD" w:rsidRDefault="00327B7E" w:rsidP="001438AD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E5338A">
              <w:rPr>
                <w:rFonts w:ascii="Calibri" w:eastAsia="Times New Roman" w:hAnsi="Calibri" w:cs="Calibri"/>
                <w:lang w:eastAsia="es-SV"/>
              </w:rPr>
              <w:t xml:space="preserve">Capítulo II, Atribuciones del Consejo, </w:t>
            </w:r>
            <w:r w:rsidR="001438AD">
              <w:rPr>
                <w:rFonts w:ascii="Calibri" w:eastAsia="Times New Roman" w:hAnsi="Calibri" w:cs="Calibri"/>
                <w:lang w:eastAsia="es-SV"/>
              </w:rPr>
              <w:t xml:space="preserve">del Presidente del Consejo y del Secretario del Consejo, </w:t>
            </w:r>
            <w:r w:rsidRPr="00E5338A">
              <w:rPr>
                <w:rFonts w:ascii="Calibri" w:eastAsia="Times New Roman" w:hAnsi="Calibri" w:cs="Calibri"/>
                <w:lang w:eastAsia="es-SV"/>
              </w:rPr>
              <w:t>Art. 14</w:t>
            </w:r>
            <w:r w:rsidR="001438AD">
              <w:rPr>
                <w:rFonts w:ascii="Calibri" w:eastAsia="Times New Roman" w:hAnsi="Calibri" w:cs="Calibri"/>
                <w:lang w:eastAsia="es-SV"/>
              </w:rPr>
              <w:t xml:space="preserve"> al 16</w:t>
            </w:r>
          </w:p>
          <w:p w:rsidR="008051CE" w:rsidRDefault="00327B7E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E5338A">
              <w:rPr>
                <w:rFonts w:ascii="Calibri" w:eastAsia="Times New Roman" w:hAnsi="Calibri" w:cs="Calibri"/>
                <w:lang w:eastAsia="es-SV"/>
              </w:rPr>
              <w:t>Capítulo III, Atribuciones de las Juntas, Art. 17, literales de la “a” a la “l”</w:t>
            </w:r>
          </w:p>
          <w:p w:rsidR="008051CE" w:rsidRPr="001470D8" w:rsidRDefault="008051CE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1470D8">
              <w:rPr>
                <w:rFonts w:ascii="Calibri" w:eastAsia="Times New Roman" w:hAnsi="Calibri" w:cs="Calibri"/>
                <w:lang w:eastAsia="es-SV"/>
              </w:rPr>
              <w:t>Capítulo IV, Patrimonio y Control Fiscal, Art. 18 al Art. 20.</w:t>
            </w:r>
          </w:p>
          <w:p w:rsidR="008051CE" w:rsidRPr="001470D8" w:rsidRDefault="008051CE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1470D8">
              <w:rPr>
                <w:rFonts w:ascii="Calibri" w:eastAsia="Times New Roman" w:hAnsi="Calibri" w:cs="Calibri"/>
                <w:lang w:eastAsia="es-SV"/>
              </w:rPr>
              <w:t>Capítulo V, Fiscalización de la Corte de Cuentas de la República, Art. 21 y Art. 22.</w:t>
            </w:r>
          </w:p>
          <w:p w:rsidR="00A87109" w:rsidRPr="001470D8" w:rsidRDefault="00A87109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1470D8">
              <w:rPr>
                <w:rFonts w:ascii="Calibri" w:eastAsia="Times New Roman" w:hAnsi="Calibri" w:cs="Calibri"/>
                <w:lang w:eastAsia="es-SV"/>
              </w:rPr>
              <w:t>Capítulo VI, Del Ejercicio de las Profesiones, Art. 23 al Art. 29</w:t>
            </w:r>
          </w:p>
          <w:p w:rsidR="00A87109" w:rsidRPr="001470D8" w:rsidRDefault="00A87109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1470D8">
              <w:rPr>
                <w:rFonts w:ascii="Calibri" w:eastAsia="Times New Roman" w:hAnsi="Calibri" w:cs="Calibri"/>
                <w:lang w:eastAsia="es-SV"/>
              </w:rPr>
              <w:t>Capítulo VII, Requisitos para la Autorización del Ejercicio Profesional, Art. 30 al 32</w:t>
            </w:r>
          </w:p>
          <w:p w:rsidR="00A87109" w:rsidRPr="001470D8" w:rsidRDefault="00A87109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1470D8">
              <w:rPr>
                <w:rFonts w:ascii="Calibri" w:eastAsia="Times New Roman" w:hAnsi="Calibri" w:cs="Calibri"/>
                <w:lang w:eastAsia="es-SV"/>
              </w:rPr>
              <w:t>Capítulo VIII, Obligaciones, Derechos y Prohibiciones, Art. 33 y 34</w:t>
            </w:r>
          </w:p>
          <w:p w:rsidR="006F4BE1" w:rsidRDefault="00A87109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1470D8">
              <w:rPr>
                <w:rFonts w:ascii="Calibri" w:eastAsia="Times New Roman" w:hAnsi="Calibri" w:cs="Calibri"/>
                <w:lang w:eastAsia="es-SV"/>
              </w:rPr>
              <w:t>Capítulo IX, Prohibiciones, Art. 35 al 39</w:t>
            </w:r>
            <w:r w:rsidR="00327B7E" w:rsidRPr="001470D8">
              <w:rPr>
                <w:rFonts w:ascii="Calibri" w:eastAsia="Times New Roman" w:hAnsi="Calibri" w:cs="Calibri"/>
                <w:b/>
                <w:lang w:eastAsia="es-SV"/>
              </w:rPr>
              <w:t xml:space="preserve"> </w:t>
            </w:r>
          </w:p>
          <w:p w:rsidR="00E5338A" w:rsidRPr="00E5338A" w:rsidRDefault="00E5338A" w:rsidP="00E5338A">
            <w:pPr>
              <w:pStyle w:val="Sinespaciado"/>
              <w:numPr>
                <w:ilvl w:val="0"/>
                <w:numId w:val="23"/>
              </w:numPr>
              <w:jc w:val="both"/>
              <w:rPr>
                <w:rFonts w:eastAsia="Times New Roman"/>
                <w:b/>
              </w:rPr>
            </w:pPr>
            <w:r w:rsidRPr="00E5338A">
              <w:rPr>
                <w:rFonts w:eastAsia="Times New Roman"/>
                <w:b/>
              </w:rPr>
              <w:t>Ley del Consejo Superior de Salud Pública y de las Juntas de Vigilancia de las Profesiones de Salud</w:t>
            </w:r>
          </w:p>
          <w:p w:rsidR="00E5338A" w:rsidRPr="00E5338A" w:rsidRDefault="00E5338A" w:rsidP="00E5338A">
            <w:pPr>
              <w:pStyle w:val="Sinespaciado"/>
              <w:jc w:val="both"/>
              <w:rPr>
                <w:rFonts w:eastAsia="Times New Roman"/>
              </w:rPr>
            </w:pPr>
            <w:r w:rsidRPr="00E5338A">
              <w:rPr>
                <w:rFonts w:eastAsia="Times New Roman"/>
              </w:rPr>
              <w:t xml:space="preserve">               Decreto 2699, 28 de agosto de 1958, publicado en el D.O. </w:t>
            </w:r>
          </w:p>
          <w:p w:rsidR="00E5338A" w:rsidRPr="00E5338A" w:rsidRDefault="00E5338A" w:rsidP="00E5338A">
            <w:pPr>
              <w:pStyle w:val="Sinespaciado"/>
              <w:jc w:val="both"/>
              <w:rPr>
                <w:rFonts w:eastAsia="Times New Roman"/>
              </w:rPr>
            </w:pPr>
            <w:r w:rsidRPr="00E5338A">
              <w:rPr>
                <w:rFonts w:eastAsia="Times New Roman"/>
              </w:rPr>
              <w:t xml:space="preserve">               Nº 168, tomo 180, de diez de septiembre de 1958. </w:t>
            </w:r>
          </w:p>
          <w:p w:rsidR="00E5338A" w:rsidRPr="00E5338A" w:rsidRDefault="00E5338A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</w:p>
          <w:p w:rsidR="000502B4" w:rsidRDefault="000502B4" w:rsidP="00E5338A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Ley del Ejercicio de la Profesión Odontológica y sus actividades auxiliares</w:t>
            </w:r>
          </w:p>
          <w:p w:rsidR="000502B4" w:rsidRDefault="000502B4" w:rsidP="000502B4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 xml:space="preserve">Decreto 218, publicado en el D.O. Nº 76, </w:t>
            </w:r>
            <w:r w:rsidR="000278E3" w:rsidRPr="001470D8">
              <w:rPr>
                <w:rFonts w:ascii="Calibri" w:eastAsia="Times New Roman" w:hAnsi="Calibri" w:cs="Calibri"/>
                <w:lang w:eastAsia="es-SV"/>
              </w:rPr>
              <w:t>Tomo 239,</w:t>
            </w:r>
            <w:r w:rsidR="000278E3">
              <w:rPr>
                <w:rFonts w:ascii="Calibri" w:eastAsia="Times New Roman" w:hAnsi="Calibri" w:cs="Calibri"/>
                <w:color w:val="FF0000"/>
                <w:lang w:eastAsia="es-SV"/>
              </w:rPr>
              <w:t xml:space="preserve"> </w:t>
            </w:r>
            <w:r>
              <w:rPr>
                <w:rFonts w:ascii="Calibri" w:eastAsia="Times New Roman" w:hAnsi="Calibri" w:cs="Calibri"/>
                <w:lang w:eastAsia="es-SV"/>
              </w:rPr>
              <w:t xml:space="preserve">de fecha 26 de abril de </w:t>
            </w:r>
            <w:r w:rsidR="000278E3" w:rsidRPr="001470D8">
              <w:rPr>
                <w:rFonts w:ascii="Calibri" w:eastAsia="Times New Roman" w:hAnsi="Calibri" w:cs="Calibri"/>
                <w:lang w:eastAsia="es-SV"/>
              </w:rPr>
              <w:t>1973</w:t>
            </w:r>
            <w:r w:rsidRPr="001470D8">
              <w:rPr>
                <w:rFonts w:ascii="Calibri" w:eastAsia="Times New Roman" w:hAnsi="Calibri" w:cs="Calibri"/>
                <w:lang w:eastAsia="es-SV"/>
              </w:rPr>
              <w:t>.</w:t>
            </w:r>
          </w:p>
          <w:p w:rsidR="007222D3" w:rsidRDefault="007222D3" w:rsidP="000502B4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7222D3" w:rsidRPr="007222D3" w:rsidRDefault="007222D3" w:rsidP="007222D3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Ley de Medicamentos</w:t>
            </w:r>
          </w:p>
          <w:p w:rsidR="0050610F" w:rsidRDefault="003E3F69" w:rsidP="007222D3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>D</w:t>
            </w:r>
            <w:r w:rsidR="002F1622">
              <w:rPr>
                <w:rFonts w:ascii="Calibri" w:eastAsia="Times New Roman" w:hAnsi="Calibri" w:cs="Calibri"/>
                <w:lang w:eastAsia="es-SV"/>
              </w:rPr>
              <w:t>.</w:t>
            </w:r>
            <w:r>
              <w:rPr>
                <w:rFonts w:ascii="Calibri" w:eastAsia="Times New Roman" w:hAnsi="Calibri" w:cs="Calibri"/>
                <w:lang w:eastAsia="es-SV"/>
              </w:rPr>
              <w:t>L</w:t>
            </w:r>
            <w:r w:rsidR="002F1622">
              <w:rPr>
                <w:rFonts w:ascii="Calibri" w:eastAsia="Times New Roman" w:hAnsi="Calibri" w:cs="Calibri"/>
                <w:lang w:eastAsia="es-SV"/>
              </w:rPr>
              <w:t>.</w:t>
            </w:r>
            <w:r>
              <w:rPr>
                <w:rFonts w:ascii="Calibri" w:eastAsia="Times New Roman" w:hAnsi="Calibri" w:cs="Calibri"/>
                <w:lang w:eastAsia="es-SV"/>
              </w:rPr>
              <w:t xml:space="preserve"> 1008, publicado en el D.O. Nº 43, Tomo 394 de fecha 2 de marzo de 2012.</w:t>
            </w:r>
            <w:r w:rsidR="0050610F">
              <w:rPr>
                <w:rFonts w:ascii="Calibri" w:eastAsia="Times New Roman" w:hAnsi="Calibri" w:cs="Calibri"/>
                <w:lang w:eastAsia="es-SV"/>
              </w:rPr>
              <w:t xml:space="preserve"> </w:t>
            </w:r>
          </w:p>
          <w:p w:rsidR="000502B4" w:rsidRDefault="0050610F" w:rsidP="000502B4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>Art. 13 Conceptos y Definiciones “Dependientes”</w:t>
            </w:r>
            <w:r w:rsidR="003E3F69">
              <w:rPr>
                <w:rFonts w:ascii="Calibri" w:eastAsia="Times New Roman" w:hAnsi="Calibri" w:cs="Calibri"/>
                <w:lang w:eastAsia="es-SV"/>
              </w:rPr>
              <w:t xml:space="preserve">  </w:t>
            </w:r>
          </w:p>
          <w:p w:rsidR="00A87109" w:rsidRDefault="00A87109" w:rsidP="000502B4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7B732D" w:rsidRPr="007B732D" w:rsidRDefault="007B732D" w:rsidP="007B732D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Ley de Deberes y Derechos de los Pacientes y Prestadores de Servicios de Salud</w:t>
            </w:r>
          </w:p>
          <w:p w:rsidR="007B732D" w:rsidRPr="002F1622" w:rsidRDefault="002F1622" w:rsidP="007B732D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2F1622">
              <w:rPr>
                <w:rFonts w:ascii="Calibri" w:eastAsia="Times New Roman" w:hAnsi="Calibri" w:cs="Calibri"/>
                <w:lang w:eastAsia="es-SV"/>
              </w:rPr>
              <w:t xml:space="preserve">D.L. </w:t>
            </w:r>
            <w:r>
              <w:rPr>
                <w:rFonts w:ascii="Calibri" w:eastAsia="Times New Roman" w:hAnsi="Calibri" w:cs="Calibri"/>
                <w:lang w:eastAsia="es-SV"/>
              </w:rPr>
              <w:t>307, publicado en el D.O. Nº 64, Tomo 411, de fecha 8 de abril de 2016.</w:t>
            </w:r>
          </w:p>
          <w:p w:rsidR="007B732D" w:rsidRPr="000502B4" w:rsidRDefault="007B732D" w:rsidP="007B732D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327B7E" w:rsidRDefault="00327B7E" w:rsidP="00E5338A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Decreto 373</w:t>
            </w:r>
          </w:p>
          <w:p w:rsidR="00327B7E" w:rsidRPr="001470D8" w:rsidRDefault="00327B7E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E5338A">
              <w:rPr>
                <w:rFonts w:ascii="Calibri" w:eastAsia="Times New Roman" w:hAnsi="Calibri" w:cs="Calibri"/>
                <w:lang w:eastAsia="es-SV"/>
              </w:rPr>
              <w:t xml:space="preserve">Derechos por servicios y licencias para los establecimientos de salud, </w:t>
            </w:r>
            <w:r w:rsidR="00950D71">
              <w:rPr>
                <w:rFonts w:ascii="Calibri" w:eastAsia="Times New Roman" w:hAnsi="Calibri" w:cs="Calibri"/>
                <w:lang w:eastAsia="es-SV"/>
              </w:rPr>
              <w:t>19</w:t>
            </w:r>
            <w:r w:rsidR="00E5338A" w:rsidRPr="00E5338A">
              <w:rPr>
                <w:rFonts w:ascii="Calibri" w:eastAsia="Times New Roman" w:hAnsi="Calibri" w:cs="Calibri"/>
                <w:lang w:eastAsia="es-SV"/>
              </w:rPr>
              <w:t xml:space="preserve"> de noviembre de </w:t>
            </w:r>
            <w:r w:rsidRPr="00E5338A">
              <w:rPr>
                <w:rFonts w:ascii="Calibri" w:eastAsia="Times New Roman" w:hAnsi="Calibri" w:cs="Calibri"/>
                <w:lang w:eastAsia="es-SV"/>
              </w:rPr>
              <w:t>1992</w:t>
            </w:r>
            <w:r w:rsidR="00E5338A" w:rsidRPr="00E5338A">
              <w:rPr>
                <w:rFonts w:ascii="Calibri" w:eastAsia="Times New Roman" w:hAnsi="Calibri" w:cs="Calibri"/>
                <w:lang w:eastAsia="es-SV"/>
              </w:rPr>
              <w:t>, publicado en el D</w:t>
            </w:r>
            <w:r w:rsidR="00420567">
              <w:rPr>
                <w:rFonts w:ascii="Calibri" w:eastAsia="Times New Roman" w:hAnsi="Calibri" w:cs="Calibri"/>
                <w:lang w:eastAsia="es-SV"/>
              </w:rPr>
              <w:t>.</w:t>
            </w:r>
            <w:r w:rsidR="00E5338A" w:rsidRPr="00E5338A">
              <w:rPr>
                <w:rFonts w:ascii="Calibri" w:eastAsia="Times New Roman" w:hAnsi="Calibri" w:cs="Calibri"/>
                <w:lang w:eastAsia="es-SV"/>
              </w:rPr>
              <w:t>O</w:t>
            </w:r>
            <w:r w:rsidR="00420567">
              <w:rPr>
                <w:rFonts w:ascii="Calibri" w:eastAsia="Times New Roman" w:hAnsi="Calibri" w:cs="Calibri"/>
                <w:lang w:eastAsia="es-SV"/>
              </w:rPr>
              <w:t>.</w:t>
            </w:r>
            <w:r w:rsidR="00E5338A" w:rsidRPr="00E5338A">
              <w:rPr>
                <w:rFonts w:ascii="Calibri" w:eastAsia="Times New Roman" w:hAnsi="Calibri" w:cs="Calibri"/>
                <w:lang w:eastAsia="es-SV"/>
              </w:rPr>
              <w:t xml:space="preserve"> Nº </w:t>
            </w:r>
            <w:r w:rsidR="00950D71">
              <w:rPr>
                <w:rFonts w:ascii="Calibri" w:eastAsia="Times New Roman" w:hAnsi="Calibri" w:cs="Calibri"/>
                <w:lang w:eastAsia="es-SV"/>
              </w:rPr>
              <w:t>220</w:t>
            </w:r>
            <w:r w:rsidR="00E5338A" w:rsidRPr="00E5338A">
              <w:rPr>
                <w:rFonts w:ascii="Calibri" w:eastAsia="Times New Roman" w:hAnsi="Calibri" w:cs="Calibri"/>
                <w:lang w:eastAsia="es-SV"/>
              </w:rPr>
              <w:t xml:space="preserve">, Tomo </w:t>
            </w:r>
            <w:r w:rsidR="00950D71">
              <w:rPr>
                <w:rFonts w:ascii="Calibri" w:eastAsia="Times New Roman" w:hAnsi="Calibri" w:cs="Calibri"/>
                <w:lang w:eastAsia="es-SV"/>
              </w:rPr>
              <w:t>317</w:t>
            </w:r>
            <w:r w:rsidR="00E5338A" w:rsidRPr="00E5338A">
              <w:rPr>
                <w:rFonts w:ascii="Calibri" w:eastAsia="Times New Roman" w:hAnsi="Calibri" w:cs="Calibri"/>
                <w:lang w:eastAsia="es-SV"/>
              </w:rPr>
              <w:t>, de fecha</w:t>
            </w:r>
            <w:r w:rsidR="00950D71">
              <w:rPr>
                <w:rFonts w:ascii="Calibri" w:eastAsia="Times New Roman" w:hAnsi="Calibri" w:cs="Calibri"/>
                <w:lang w:eastAsia="es-SV"/>
              </w:rPr>
              <w:t xml:space="preserve"> 30 de noviembre de 1992</w:t>
            </w:r>
            <w:r w:rsidR="00E5338A" w:rsidRPr="00E5338A">
              <w:rPr>
                <w:rFonts w:ascii="Calibri" w:eastAsia="Times New Roman" w:hAnsi="Calibri" w:cs="Calibri"/>
                <w:lang w:eastAsia="es-SV"/>
              </w:rPr>
              <w:t>.</w:t>
            </w:r>
            <w:r w:rsidR="000278E3">
              <w:rPr>
                <w:rFonts w:ascii="Calibri" w:eastAsia="Times New Roman" w:hAnsi="Calibri" w:cs="Calibri"/>
                <w:lang w:eastAsia="es-SV"/>
              </w:rPr>
              <w:t xml:space="preserve"> </w:t>
            </w:r>
            <w:r w:rsidR="002802B6" w:rsidRPr="001470D8">
              <w:rPr>
                <w:rFonts w:ascii="Calibri" w:eastAsia="Times New Roman" w:hAnsi="Calibri" w:cs="Calibri"/>
                <w:lang w:eastAsia="es-SV"/>
              </w:rPr>
              <w:t>(DEROGADO PARCIALMENTE POR D.L. 417 DEL 11-7-2013)</w:t>
            </w:r>
          </w:p>
          <w:p w:rsidR="0050610F" w:rsidRDefault="0050610F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50610F" w:rsidRPr="0050610F" w:rsidRDefault="0050610F" w:rsidP="0050610F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Decreto 752</w:t>
            </w:r>
          </w:p>
          <w:p w:rsidR="00D43FED" w:rsidRDefault="00D43FED" w:rsidP="0050610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>Reformas a los incisos 1º, 2º y 3º del Artículo 10, del Código de Salud, “Descentralización de las Elecciones de los Representantes para Consejo Directivo y Juntas de Vigilancia de las Profesiones de Salud”</w:t>
            </w:r>
          </w:p>
          <w:p w:rsidR="007B732D" w:rsidRPr="007B732D" w:rsidRDefault="0020010D" w:rsidP="007B732D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>Publicado en el D.O. Nº 149, Tomo 404, de fecha 15 de agosto de 2014.</w:t>
            </w:r>
          </w:p>
          <w:p w:rsidR="00420567" w:rsidRPr="00E5338A" w:rsidRDefault="00420567" w:rsidP="00E5338A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E5338A" w:rsidRDefault="00420567" w:rsidP="00420567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Reglamento Interno del Consejo Superior de Salud Pública</w:t>
            </w:r>
          </w:p>
          <w:p w:rsidR="00420567" w:rsidRDefault="00420567" w:rsidP="00420567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420567">
              <w:rPr>
                <w:rFonts w:ascii="Calibri" w:eastAsia="Times New Roman" w:hAnsi="Calibri" w:cs="Calibri"/>
                <w:lang w:eastAsia="es-SV"/>
              </w:rPr>
              <w:t xml:space="preserve">D.E. Nº 56 del 10 de julio de 1997, publicado en </w:t>
            </w:r>
            <w:r w:rsidR="00C864F9">
              <w:rPr>
                <w:rFonts w:ascii="Calibri" w:eastAsia="Times New Roman" w:hAnsi="Calibri" w:cs="Calibri"/>
                <w:lang w:eastAsia="es-SV"/>
              </w:rPr>
              <w:t>e</w:t>
            </w:r>
            <w:r w:rsidRPr="00420567">
              <w:rPr>
                <w:rFonts w:ascii="Calibri" w:eastAsia="Times New Roman" w:hAnsi="Calibri" w:cs="Calibri"/>
                <w:lang w:eastAsia="es-SV"/>
              </w:rPr>
              <w:t xml:space="preserve">l D.O. Nº 127, Tomo 336, del 10 de julio de 1997.  </w:t>
            </w:r>
          </w:p>
          <w:p w:rsidR="00420567" w:rsidRDefault="00420567" w:rsidP="00420567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420567" w:rsidRDefault="00031FFB" w:rsidP="00420567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031FFB">
              <w:rPr>
                <w:rFonts w:ascii="Calibri" w:eastAsia="Times New Roman" w:hAnsi="Calibri" w:cs="Calibri"/>
                <w:b/>
                <w:lang w:eastAsia="es-SV"/>
              </w:rPr>
              <w:t>Reglamento Interno de la Junta de Vigilancia de la Profesión en Laboratorio Clínico</w:t>
            </w:r>
          </w:p>
          <w:p w:rsidR="00031FFB" w:rsidRPr="000278E3" w:rsidRDefault="0050610F" w:rsidP="00031FFB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color w:val="FF0000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 xml:space="preserve">D.E. </w:t>
            </w:r>
            <w:r w:rsidR="000278E3">
              <w:rPr>
                <w:rFonts w:ascii="Calibri" w:eastAsia="Times New Roman" w:hAnsi="Calibri" w:cs="Calibri"/>
                <w:lang w:eastAsia="es-SV"/>
              </w:rPr>
              <w:t xml:space="preserve">Nº 26, </w:t>
            </w:r>
            <w:r w:rsidR="00073D06">
              <w:rPr>
                <w:rFonts w:ascii="Calibri" w:eastAsia="Times New Roman" w:hAnsi="Calibri" w:cs="Calibri"/>
                <w:lang w:eastAsia="es-SV"/>
              </w:rPr>
              <w:t xml:space="preserve">del </w:t>
            </w:r>
            <w:r w:rsidR="000278E3">
              <w:rPr>
                <w:rFonts w:ascii="Calibri" w:eastAsia="Times New Roman" w:hAnsi="Calibri" w:cs="Calibri"/>
                <w:lang w:eastAsia="es-SV"/>
              </w:rPr>
              <w:t xml:space="preserve">2 de abril de 1991, </w:t>
            </w:r>
            <w:r w:rsidR="000278E3" w:rsidRPr="001470D8">
              <w:rPr>
                <w:rFonts w:ascii="Calibri" w:eastAsia="Times New Roman" w:hAnsi="Calibri" w:cs="Calibri"/>
                <w:lang w:eastAsia="es-SV"/>
              </w:rPr>
              <w:t>publicado en el D.O. Nº 80, Tomo 311, de fecha tres de mayo de 1991.</w:t>
            </w:r>
          </w:p>
          <w:p w:rsidR="00A665B4" w:rsidRDefault="00A665B4" w:rsidP="00031FFB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031FFB" w:rsidRPr="00031FFB" w:rsidRDefault="00031FFB" w:rsidP="00031FFB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Reglamento Interno de la Junta de Vigilancia de la Profesión Químico Farmacéutica</w:t>
            </w:r>
          </w:p>
          <w:p w:rsidR="00031FFB" w:rsidRPr="00031FFB" w:rsidRDefault="00031FFB" w:rsidP="00031FFB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031FFB">
              <w:rPr>
                <w:rFonts w:ascii="Calibri" w:eastAsia="Times New Roman" w:hAnsi="Calibri" w:cs="Calibri"/>
                <w:lang w:eastAsia="es-SV"/>
              </w:rPr>
              <w:t>D.E. Nº 23, 19 de mayo de 1972, publicado en el D.O. Nº 98, Tomo 235, de fecha 29 de mayo de 1972.</w:t>
            </w:r>
          </w:p>
          <w:p w:rsidR="007D32DF" w:rsidRDefault="00031FFB" w:rsidP="00031FFB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 w:rsidRPr="00031FFB">
              <w:rPr>
                <w:rFonts w:ascii="Calibri" w:eastAsia="Times New Roman" w:hAnsi="Calibri" w:cs="Calibri"/>
                <w:lang w:eastAsia="es-SV"/>
              </w:rPr>
              <w:t>Reformas: (1) D.L. Nº 955, del 28 de abril de 1988, publicado en el D.O. Nº 86, Tomo 299, de fecha 11 de mayo de 1988</w:t>
            </w:r>
            <w:r w:rsidR="007D32DF">
              <w:rPr>
                <w:rFonts w:ascii="Calibri" w:eastAsia="Times New Roman" w:hAnsi="Calibri" w:cs="Calibri"/>
                <w:lang w:eastAsia="es-SV"/>
              </w:rPr>
              <w:t>.</w:t>
            </w:r>
          </w:p>
          <w:p w:rsidR="00A665B4" w:rsidRDefault="00A665B4" w:rsidP="00031FFB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031FFB" w:rsidRDefault="007D32DF" w:rsidP="007D32DF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7D32DF">
              <w:rPr>
                <w:rFonts w:ascii="Calibri" w:eastAsia="Times New Roman" w:hAnsi="Calibri" w:cs="Calibri"/>
                <w:b/>
                <w:lang w:eastAsia="es-SV"/>
              </w:rPr>
              <w:t>Reglamento Interno de la Junta de Vigilancia de la Profesión Odontológica</w:t>
            </w:r>
          </w:p>
          <w:p w:rsidR="007D32DF" w:rsidRPr="00C34F22" w:rsidRDefault="00C34F22" w:rsidP="007D32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 xml:space="preserve">D.E. </w:t>
            </w:r>
            <w:r w:rsidR="004A0E8C">
              <w:rPr>
                <w:rFonts w:ascii="Calibri" w:eastAsia="Times New Roman" w:hAnsi="Calibri" w:cs="Calibri"/>
                <w:lang w:eastAsia="es-SV"/>
              </w:rPr>
              <w:t>11, publicado en el D.O Nº 33, Tomo 226, de fecha 18 de febrero de 1970.</w:t>
            </w:r>
          </w:p>
          <w:p w:rsidR="00C34F22" w:rsidRDefault="00C34F22" w:rsidP="007D32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</w:p>
          <w:p w:rsidR="007D32DF" w:rsidRPr="007D32DF" w:rsidRDefault="007D32DF" w:rsidP="007D32DF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Reglamento Interno de la Junta de Vigilancia de la Profesión Médica</w:t>
            </w:r>
          </w:p>
          <w:p w:rsidR="00A665B4" w:rsidRDefault="007D32DF" w:rsidP="007D32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>D.E. Nº 43, de fecha 9 de diciembre de 1970, publicado en el D.O. Nº 229, Tomo 229, de fecha 15 de diciembre de 1970</w:t>
            </w:r>
            <w:r w:rsidR="00A665B4">
              <w:rPr>
                <w:rFonts w:ascii="Calibri" w:eastAsia="Times New Roman" w:hAnsi="Calibri" w:cs="Calibri"/>
                <w:lang w:eastAsia="es-SV"/>
              </w:rPr>
              <w:t>.</w:t>
            </w:r>
          </w:p>
          <w:p w:rsidR="00A87109" w:rsidRDefault="00A87109" w:rsidP="007D32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A665B4" w:rsidRDefault="00A665B4" w:rsidP="007D32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7D32DF" w:rsidRDefault="00463FFC" w:rsidP="00A665B4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463FFC">
              <w:rPr>
                <w:rFonts w:ascii="Calibri" w:eastAsia="Times New Roman" w:hAnsi="Calibri" w:cs="Calibri"/>
                <w:b/>
                <w:lang w:eastAsia="es-SV"/>
              </w:rPr>
              <w:t>Reglamento Interno de la Junta de Vigilancia de la Profesión Médico Veterinaria</w:t>
            </w:r>
          </w:p>
          <w:p w:rsidR="00463FFC" w:rsidRDefault="00463FFC" w:rsidP="00463FFC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>D. Nº 71, publicado en el D.O. Nº 71, tomo 399, de fecha 19 de abril de 2013.</w:t>
            </w:r>
          </w:p>
          <w:p w:rsidR="00CB2E4B" w:rsidRDefault="00CB2E4B" w:rsidP="00463FFC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</w:p>
          <w:p w:rsidR="00170C91" w:rsidRDefault="00436E8F" w:rsidP="00D03388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436E8F">
              <w:rPr>
                <w:rFonts w:ascii="Calibri" w:eastAsia="Times New Roman" w:hAnsi="Calibri" w:cs="Calibri"/>
                <w:b/>
                <w:lang w:eastAsia="es-SV"/>
              </w:rPr>
              <w:t>Reglamento Interno de la Junta de Vigilancia de la Profesión en Psicología</w:t>
            </w:r>
          </w:p>
          <w:p w:rsidR="006B4952" w:rsidRDefault="00C142CA" w:rsidP="006B4952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 xml:space="preserve">D.E. Nº 25, publicado en el D.O. </w:t>
            </w:r>
            <w:r w:rsidR="004C48F1" w:rsidRPr="001470D8">
              <w:rPr>
                <w:rFonts w:ascii="Calibri" w:eastAsia="Times New Roman" w:hAnsi="Calibri" w:cs="Calibri"/>
                <w:lang w:eastAsia="es-SV"/>
              </w:rPr>
              <w:t>Nº 78, Tomo 311,</w:t>
            </w:r>
            <w:r w:rsidR="004C48F1" w:rsidRPr="004C48F1">
              <w:rPr>
                <w:rFonts w:ascii="Calibri" w:eastAsia="Times New Roman" w:hAnsi="Calibri" w:cs="Calibri"/>
                <w:color w:val="FF0000"/>
                <w:lang w:eastAsia="es-SV"/>
              </w:rPr>
              <w:t xml:space="preserve"> </w:t>
            </w:r>
            <w:r>
              <w:rPr>
                <w:rFonts w:ascii="Calibri" w:eastAsia="Times New Roman" w:hAnsi="Calibri" w:cs="Calibri"/>
                <w:lang w:eastAsia="es-SV"/>
              </w:rPr>
              <w:t>de fecha 30 de abril de 1991.</w:t>
            </w:r>
          </w:p>
          <w:p w:rsidR="006B4952" w:rsidRDefault="00436E8F" w:rsidP="006B4952">
            <w:pPr>
              <w:pStyle w:val="Sinespaciado"/>
              <w:numPr>
                <w:ilvl w:val="0"/>
                <w:numId w:val="23"/>
              </w:numPr>
              <w:rPr>
                <w:rFonts w:eastAsia="Times New Roman"/>
                <w:b/>
              </w:rPr>
            </w:pPr>
            <w:r w:rsidRPr="006B4952">
              <w:rPr>
                <w:rFonts w:eastAsia="Times New Roman"/>
                <w:b/>
              </w:rPr>
              <w:t>Reglamento Interno de la Junta de Vigilancia de la Profesión de Enfermería</w:t>
            </w:r>
          </w:p>
          <w:p w:rsidR="00170C91" w:rsidRDefault="006B4952" w:rsidP="006B4952">
            <w:pPr>
              <w:pStyle w:val="Sinespaciado"/>
              <w:ind w:left="720"/>
              <w:rPr>
                <w:rFonts w:eastAsia="Times New Roman"/>
              </w:rPr>
            </w:pPr>
            <w:r>
              <w:rPr>
                <w:rFonts w:eastAsia="Times New Roman"/>
              </w:rPr>
              <w:t>En etapa de elaboración</w:t>
            </w:r>
          </w:p>
          <w:p w:rsidR="00083CCC" w:rsidRDefault="00083CCC" w:rsidP="002802B6">
            <w:pPr>
              <w:pStyle w:val="Sinespaciado"/>
              <w:rPr>
                <w:rFonts w:eastAsia="Times New Roman"/>
              </w:rPr>
            </w:pPr>
          </w:p>
          <w:p w:rsidR="002802B6" w:rsidRDefault="002802B6" w:rsidP="002802B6">
            <w:pPr>
              <w:pStyle w:val="Sinespaciado"/>
              <w:rPr>
                <w:rFonts w:eastAsia="Times New Roman"/>
              </w:rPr>
            </w:pPr>
          </w:p>
          <w:p w:rsidR="002802B6" w:rsidRPr="00173549" w:rsidRDefault="002802B6" w:rsidP="002802B6">
            <w:pPr>
              <w:pStyle w:val="Sinespaciado"/>
            </w:pPr>
          </w:p>
        </w:tc>
      </w:tr>
      <w:tr w:rsidR="00121DE6" w:rsidRPr="00173549" w:rsidTr="00D03388">
        <w:tc>
          <w:tcPr>
            <w:tcW w:w="1603" w:type="dxa"/>
          </w:tcPr>
          <w:p w:rsidR="00480E89" w:rsidRDefault="00170C91" w:rsidP="00D03388">
            <w:pPr>
              <w:jc w:val="both"/>
            </w:pPr>
            <w:r w:rsidRPr="00173549">
              <w:lastRenderedPageBreak/>
              <w:t>3.4 Estructura administrativa</w:t>
            </w:r>
          </w:p>
          <w:p w:rsidR="00170C91" w:rsidRPr="00173549" w:rsidRDefault="00170C91" w:rsidP="00D03388">
            <w:pPr>
              <w:jc w:val="both"/>
            </w:pP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27</w:t>
            </w:r>
          </w:p>
        </w:tc>
        <w:tc>
          <w:tcPr>
            <w:tcW w:w="6659" w:type="dxa"/>
          </w:tcPr>
          <w:p w:rsidR="001B793D" w:rsidRDefault="00121DE6" w:rsidP="005C1899">
            <w:pPr>
              <w:widowControl w:val="0"/>
              <w:autoSpaceDE w:val="0"/>
              <w:autoSpaceDN w:val="0"/>
              <w:adjustRightInd w:val="0"/>
              <w:ind w:right="211"/>
              <w:jc w:val="both"/>
              <w:rPr>
                <w:rFonts w:eastAsia="Times New Roman" w:cs="Times New Roman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inline distT="0" distB="0" distL="0" distR="0">
                  <wp:extent cx="3790950" cy="3832965"/>
                  <wp:effectExtent l="95250" t="95250" r="95250" b="110490"/>
                  <wp:docPr id="2" name="Imagen 2" descr="C:\Users\CSSP17\AppData\Local\Microsoft\Windows\INetCache\Content.Word\Documento (254)_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SSP17\AppData\Local\Microsoft\Windows\INetCache\Content.Word\Documento (254)_0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5" t="3376" r="2268" b="5469"/>
                          <a:stretch/>
                        </pic:blipFill>
                        <pic:spPr bwMode="auto">
                          <a:xfrm rot="21424756">
                            <a:off x="0" y="0"/>
                            <a:ext cx="3825500" cy="3867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B793D" w:rsidRPr="005C1899" w:rsidRDefault="001B793D" w:rsidP="005C1899">
            <w:pPr>
              <w:widowControl w:val="0"/>
              <w:autoSpaceDE w:val="0"/>
              <w:autoSpaceDN w:val="0"/>
              <w:adjustRightInd w:val="0"/>
              <w:ind w:right="211"/>
              <w:jc w:val="both"/>
              <w:rPr>
                <w:rFonts w:eastAsia="Times New Roman" w:cs="Times New Roman"/>
                <w:szCs w:val="24"/>
                <w:lang w:eastAsia="es-SV"/>
              </w:rPr>
            </w:pP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3.5 Gestión de documentos y políticas de </w:t>
            </w:r>
            <w:r w:rsidRPr="00173549">
              <w:lastRenderedPageBreak/>
              <w:t xml:space="preserve">ingreso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lastRenderedPageBreak/>
              <w:t>p. 28</w:t>
            </w:r>
          </w:p>
        </w:tc>
        <w:tc>
          <w:tcPr>
            <w:tcW w:w="6659" w:type="dxa"/>
          </w:tcPr>
          <w:p w:rsidR="00951B9F" w:rsidRPr="00951B9F" w:rsidRDefault="00951B9F" w:rsidP="00951B9F">
            <w:pPr>
              <w:spacing w:after="200" w:line="276" w:lineRule="auto"/>
              <w:jc w:val="both"/>
              <w:rPr>
                <w:b/>
              </w:rPr>
            </w:pPr>
            <w:r w:rsidRPr="00951B9F">
              <w:rPr>
                <w:b/>
              </w:rPr>
              <w:t xml:space="preserve">Las Unidades y Juntas de Vigilancia de las Profesiones de Salud, tendrán la obligación de transferir su documentación al Archivo Central, debidamente organizada y foliada, según los lineamientos y </w:t>
            </w:r>
            <w:r w:rsidRPr="00951B9F">
              <w:rPr>
                <w:b/>
              </w:rPr>
              <w:lastRenderedPageBreak/>
              <w:t>normativas del Sistema Institucional de Archivos.</w:t>
            </w:r>
          </w:p>
          <w:p w:rsidR="00170C91" w:rsidRPr="00173549" w:rsidRDefault="00951B9F" w:rsidP="00C805CA">
            <w:pPr>
              <w:spacing w:after="200" w:line="276" w:lineRule="auto"/>
              <w:jc w:val="both"/>
            </w:pPr>
            <w:r w:rsidRPr="00951B9F">
              <w:rPr>
                <w:b/>
              </w:rPr>
              <w:t>El flujo documental se realizará entre los archivos: central, de gestión, especializados y demás que se creen en la ejecución del plan de trabajo institucional. Con el debido orden que permita la facilidad para la consulta de documentos y la dinamización en la transferencia de los mismos.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lastRenderedPageBreak/>
              <w:t xml:space="preserve">3.6 Edificios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30</w:t>
            </w:r>
          </w:p>
        </w:tc>
        <w:tc>
          <w:tcPr>
            <w:tcW w:w="6659" w:type="dxa"/>
          </w:tcPr>
          <w:p w:rsidR="00B41A8F" w:rsidRDefault="00170C91" w:rsidP="00D0338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eastAsiaTheme="minorEastAsia"/>
                <w:b/>
                <w:szCs w:val="24"/>
                <w:lang w:eastAsia="es-SV"/>
              </w:rPr>
            </w:pPr>
            <w:r w:rsidRPr="00210B43">
              <w:rPr>
                <w:rFonts w:eastAsiaTheme="minorEastAsia"/>
                <w:b/>
                <w:szCs w:val="24"/>
                <w:lang w:eastAsia="es-SV"/>
              </w:rPr>
              <w:t xml:space="preserve">Edificio </w:t>
            </w:r>
            <w:r w:rsidR="00B41A8F" w:rsidRPr="00210B43">
              <w:rPr>
                <w:rFonts w:eastAsiaTheme="minorEastAsia"/>
                <w:b/>
                <w:szCs w:val="24"/>
                <w:lang w:eastAsia="es-SV"/>
              </w:rPr>
              <w:t>1:</w:t>
            </w:r>
          </w:p>
          <w:p w:rsidR="00210B43" w:rsidRDefault="00210B43" w:rsidP="00D0338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eastAsiaTheme="minorEastAsia"/>
                <w:b/>
                <w:szCs w:val="24"/>
                <w:highlight w:val="yellow"/>
                <w:lang w:eastAsia="es-SV"/>
              </w:rPr>
            </w:pPr>
            <w:r>
              <w:rPr>
                <w:rFonts w:eastAsiaTheme="minorEastAsia"/>
                <w:b/>
                <w:szCs w:val="24"/>
                <w:lang w:eastAsia="es-SV"/>
              </w:rPr>
              <w:t xml:space="preserve">Inmueble urbano y construcciones de sistema mixto, situado </w:t>
            </w:r>
            <w:r w:rsidR="0002554C">
              <w:rPr>
                <w:rFonts w:eastAsiaTheme="minorEastAsia"/>
                <w:b/>
                <w:szCs w:val="24"/>
                <w:lang w:eastAsia="es-SV"/>
              </w:rPr>
              <w:t>al Poniente de esta capital</w:t>
            </w:r>
            <w:r w:rsidR="00DC75E0">
              <w:rPr>
                <w:rFonts w:eastAsiaTheme="minorEastAsia"/>
                <w:b/>
                <w:szCs w:val="24"/>
                <w:lang w:eastAsia="es-SV"/>
              </w:rPr>
              <w:t xml:space="preserve">, ubicado </w:t>
            </w:r>
            <w:r>
              <w:rPr>
                <w:rFonts w:eastAsiaTheme="minorEastAsia"/>
                <w:b/>
                <w:szCs w:val="24"/>
                <w:lang w:eastAsia="es-SV"/>
              </w:rPr>
              <w:t xml:space="preserve">sobre el Paseo General Escalón, </w:t>
            </w:r>
            <w:r w:rsidR="00DC75E0">
              <w:rPr>
                <w:rFonts w:eastAsiaTheme="minorEastAsia"/>
                <w:b/>
                <w:szCs w:val="24"/>
                <w:lang w:eastAsia="es-SV"/>
              </w:rPr>
              <w:t xml:space="preserve">número tres mil quinientos cincuenta y uno, </w:t>
            </w:r>
            <w:r w:rsidR="0002554C">
              <w:rPr>
                <w:rFonts w:eastAsiaTheme="minorEastAsia"/>
                <w:b/>
                <w:szCs w:val="24"/>
                <w:lang w:eastAsia="es-SV"/>
              </w:rPr>
              <w:t xml:space="preserve">Colonia Escalón, </w:t>
            </w:r>
            <w:r>
              <w:rPr>
                <w:rFonts w:eastAsiaTheme="minorEastAsia"/>
                <w:b/>
                <w:szCs w:val="24"/>
                <w:lang w:eastAsia="es-SV"/>
              </w:rPr>
              <w:t>de esta Ciudad y Departamento</w:t>
            </w:r>
            <w:r w:rsidRPr="00210B43">
              <w:rPr>
                <w:rFonts w:eastAsiaTheme="minorEastAsia"/>
                <w:b/>
                <w:szCs w:val="24"/>
                <w:lang w:eastAsia="es-SV"/>
              </w:rPr>
              <w:t>.</w:t>
            </w:r>
            <w:r w:rsidR="00170C91" w:rsidRPr="00210B43">
              <w:rPr>
                <w:rFonts w:eastAsiaTheme="minorEastAsia"/>
                <w:b/>
                <w:szCs w:val="24"/>
                <w:lang w:eastAsia="es-SV"/>
              </w:rPr>
              <w:t xml:space="preserve"> La estructura es de </w:t>
            </w:r>
            <w:r w:rsidRPr="00210B43">
              <w:rPr>
                <w:rFonts w:eastAsiaTheme="minorEastAsia"/>
                <w:b/>
                <w:szCs w:val="24"/>
                <w:lang w:eastAsia="es-SV"/>
              </w:rPr>
              <w:t>dos</w:t>
            </w:r>
            <w:r w:rsidR="00170C91" w:rsidRPr="00210B43">
              <w:rPr>
                <w:rFonts w:eastAsiaTheme="minorEastAsia"/>
                <w:b/>
                <w:szCs w:val="24"/>
                <w:lang w:eastAsia="es-SV"/>
              </w:rPr>
              <w:t xml:space="preserve"> niveles</w:t>
            </w:r>
            <w:r w:rsidR="0002554C">
              <w:rPr>
                <w:rFonts w:eastAsiaTheme="minorEastAsia"/>
                <w:b/>
                <w:szCs w:val="24"/>
                <w:lang w:eastAsia="es-SV"/>
              </w:rPr>
              <w:t xml:space="preserve"> con parqueo </w:t>
            </w:r>
            <w:r w:rsidR="00BE1B7B">
              <w:rPr>
                <w:rFonts w:eastAsiaTheme="minorEastAsia"/>
                <w:b/>
                <w:szCs w:val="24"/>
                <w:lang w:eastAsia="es-SV"/>
              </w:rPr>
              <w:t xml:space="preserve">para 13 vehículos, </w:t>
            </w:r>
            <w:r w:rsidR="0002554C">
              <w:rPr>
                <w:rFonts w:eastAsiaTheme="minorEastAsia"/>
                <w:b/>
                <w:szCs w:val="24"/>
                <w:lang w:eastAsia="es-SV"/>
              </w:rPr>
              <w:t>con un área tota</w:t>
            </w:r>
            <w:r w:rsidR="00BE1B7B">
              <w:rPr>
                <w:rFonts w:eastAsiaTheme="minorEastAsia"/>
                <w:b/>
                <w:szCs w:val="24"/>
                <w:lang w:eastAsia="es-SV"/>
              </w:rPr>
              <w:t>l</w:t>
            </w:r>
            <w:r w:rsidR="0002554C">
              <w:rPr>
                <w:rFonts w:eastAsiaTheme="minorEastAsia"/>
                <w:b/>
                <w:szCs w:val="24"/>
                <w:lang w:eastAsia="es-SV"/>
              </w:rPr>
              <w:t xml:space="preserve"> de construcción de 896.33 M2.</w:t>
            </w:r>
          </w:p>
          <w:p w:rsidR="00170C91" w:rsidRPr="00106AD6" w:rsidRDefault="00170C91" w:rsidP="00D0338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eastAsiaTheme="minorEastAsia"/>
                <w:b/>
                <w:szCs w:val="24"/>
                <w:highlight w:val="yellow"/>
                <w:lang w:eastAsia="es-SV"/>
              </w:rPr>
            </w:pPr>
            <w:r w:rsidRPr="0002554C">
              <w:rPr>
                <w:rFonts w:eastAsiaTheme="minorEastAsia"/>
                <w:b/>
                <w:szCs w:val="24"/>
                <w:lang w:eastAsia="es-SV"/>
              </w:rPr>
              <w:t>El archivo central se encuentra en fase de creación, cuyo depósito documental se encuentra en</w:t>
            </w:r>
            <w:r w:rsidR="0002554C">
              <w:rPr>
                <w:rFonts w:eastAsiaTheme="minorEastAsia"/>
                <w:b/>
                <w:szCs w:val="24"/>
                <w:lang w:eastAsia="es-SV"/>
              </w:rPr>
              <w:t xml:space="preserve"> la primera planta de este edificio,</w:t>
            </w:r>
            <w:r w:rsidRPr="0002554C">
              <w:rPr>
                <w:rFonts w:eastAsiaTheme="minorEastAsia"/>
                <w:b/>
                <w:szCs w:val="24"/>
                <w:lang w:eastAsia="es-SV"/>
              </w:rPr>
              <w:t xml:space="preserve"> posee paredes de concreto </w:t>
            </w:r>
            <w:r w:rsidR="0002554C" w:rsidRPr="0002554C">
              <w:rPr>
                <w:rFonts w:eastAsiaTheme="minorEastAsia"/>
                <w:b/>
                <w:szCs w:val="24"/>
                <w:lang w:eastAsia="es-SV"/>
              </w:rPr>
              <w:t>de sistema mixto</w:t>
            </w:r>
            <w:r w:rsidR="0002554C">
              <w:rPr>
                <w:rFonts w:eastAsiaTheme="minorEastAsia"/>
                <w:b/>
                <w:szCs w:val="24"/>
                <w:lang w:eastAsia="es-SV"/>
              </w:rPr>
              <w:t>,</w:t>
            </w:r>
            <w:r w:rsidRPr="0002554C">
              <w:rPr>
                <w:rFonts w:eastAsiaTheme="minorEastAsia"/>
                <w:b/>
                <w:szCs w:val="24"/>
                <w:lang w:eastAsia="es-SV"/>
              </w:rPr>
              <w:t xml:space="preserve"> de </w:t>
            </w:r>
            <w:r w:rsidR="0002554C" w:rsidRPr="0002554C">
              <w:rPr>
                <w:rFonts w:eastAsiaTheme="minorEastAsia"/>
                <w:b/>
                <w:szCs w:val="24"/>
                <w:lang w:eastAsia="es-SV"/>
              </w:rPr>
              <w:t>tabla roca</w:t>
            </w:r>
            <w:r w:rsidR="0002554C">
              <w:rPr>
                <w:rFonts w:eastAsiaTheme="minorEastAsia"/>
                <w:b/>
                <w:szCs w:val="24"/>
                <w:lang w:eastAsia="es-SV"/>
              </w:rPr>
              <w:t xml:space="preserve"> y vidrio</w:t>
            </w:r>
            <w:r w:rsidRPr="0002554C">
              <w:rPr>
                <w:rFonts w:eastAsiaTheme="minorEastAsia"/>
                <w:b/>
                <w:szCs w:val="24"/>
                <w:lang w:eastAsia="es-SV"/>
              </w:rPr>
              <w:t>, sin ventanas.</w:t>
            </w:r>
          </w:p>
          <w:p w:rsidR="00B41A8F" w:rsidRPr="002C1271" w:rsidRDefault="00B41A8F" w:rsidP="00D0338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eastAsiaTheme="minorEastAsia"/>
                <w:b/>
                <w:szCs w:val="24"/>
                <w:lang w:eastAsia="es-SV"/>
              </w:rPr>
            </w:pPr>
            <w:r w:rsidRPr="002C1271">
              <w:rPr>
                <w:rFonts w:eastAsiaTheme="minorEastAsia"/>
                <w:b/>
                <w:szCs w:val="24"/>
                <w:lang w:eastAsia="es-SV"/>
              </w:rPr>
              <w:t>Edificio 2:</w:t>
            </w:r>
          </w:p>
          <w:p w:rsidR="00170C91" w:rsidRDefault="0031787B" w:rsidP="00BE1B7B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>
              <w:rPr>
                <w:rFonts w:eastAsia="Times New Roman" w:cs="Times New Roman"/>
                <w:b/>
                <w:szCs w:val="24"/>
                <w:lang w:eastAsia="es-SV"/>
              </w:rPr>
              <w:t xml:space="preserve">Inmueble urbano y construcciones de sistema mixto </w:t>
            </w:r>
            <w:r w:rsidR="00BE1B7B">
              <w:rPr>
                <w:rFonts w:eastAsia="Times New Roman" w:cs="Times New Roman"/>
                <w:b/>
                <w:szCs w:val="24"/>
                <w:lang w:eastAsia="es-SV"/>
              </w:rPr>
              <w:t>y tabla roca, de dos niveles de 440 M2 de construcción, ubicado en la misma dirección con parqueo para 45 vehículos.</w:t>
            </w:r>
          </w:p>
          <w:p w:rsidR="000A4E0D" w:rsidRPr="00173549" w:rsidRDefault="000A4E0D" w:rsidP="00BE1B7B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</w:pP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>3.7 Fondos y colecciones custodiadas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31</w:t>
            </w:r>
          </w:p>
        </w:tc>
        <w:tc>
          <w:tcPr>
            <w:tcW w:w="6659" w:type="dxa"/>
          </w:tcPr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Calibri" w:eastAsia="Calibri" w:hAnsi="Calibri" w:cs="Calibri"/>
                <w:b/>
                <w:lang w:eastAsia="es-SV"/>
              </w:rPr>
            </w:pPr>
            <w:r w:rsidRPr="0074771C">
              <w:rPr>
                <w:rFonts w:ascii="Calibri" w:eastAsia="Calibri" w:hAnsi="Calibri" w:cs="Calibri"/>
                <w:b/>
                <w:lang w:eastAsia="es-SV"/>
              </w:rPr>
              <w:t>El fondo documental existente hasta el momento es de gestión</w:t>
            </w:r>
            <w:r w:rsidR="00993EC8">
              <w:rPr>
                <w:rFonts w:ascii="Calibri" w:eastAsia="Calibri" w:hAnsi="Calibri" w:cs="Calibri"/>
                <w:b/>
                <w:lang w:eastAsia="es-SV"/>
              </w:rPr>
              <w:t xml:space="preserve"> y especializado</w:t>
            </w:r>
            <w:r w:rsidRPr="0074771C">
              <w:rPr>
                <w:rFonts w:ascii="Calibri" w:eastAsia="Calibri" w:hAnsi="Calibri" w:cs="Calibri"/>
                <w:b/>
                <w:lang w:eastAsia="es-SV"/>
              </w:rPr>
              <w:t xml:space="preserve"> y concentra las actividades de las Unidades Administrativas del Consejo Superior de Salud Pública y de las Juntas de Vigilancia de las Profesiones de Salud, éstos estarán normados y organizados bajo los lineamientos que emita el Comité de Gestión Documental y Archivo. </w:t>
            </w:r>
          </w:p>
          <w:p w:rsidR="0074771C" w:rsidRPr="0074771C" w:rsidRDefault="0074771C" w:rsidP="0074771C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771C">
              <w:rPr>
                <w:rFonts w:ascii="Calibri" w:eastAsia="Calibri" w:hAnsi="Calibri" w:cs="Calibri"/>
                <w:b/>
                <w:lang w:eastAsia="es-SV"/>
              </w:rPr>
              <w:t xml:space="preserve">El Consejo posee un valioso fondo documental que data de 1956, por lo </w:t>
            </w:r>
            <w:r w:rsidR="00BA2853" w:rsidRPr="0074771C">
              <w:rPr>
                <w:rFonts w:ascii="Calibri" w:eastAsia="Calibri" w:hAnsi="Calibri" w:cs="Calibri"/>
                <w:b/>
                <w:lang w:eastAsia="es-SV"/>
              </w:rPr>
              <w:t>que,</w:t>
            </w:r>
            <w:r w:rsidRPr="0074771C">
              <w:rPr>
                <w:rFonts w:ascii="Calibri" w:eastAsia="Calibri" w:hAnsi="Calibri" w:cs="Calibri"/>
                <w:b/>
                <w:lang w:eastAsia="es-SV"/>
              </w:rPr>
              <w:t xml:space="preserve"> comprometidos con la preservación de nuestra historia, dichos documentos serán resguardados en el Archivo Central en la sección “archivo histórico institucional”.</w:t>
            </w:r>
          </w:p>
          <w:p w:rsidR="0074771C" w:rsidRDefault="0074771C" w:rsidP="0074771C">
            <w:pPr>
              <w:jc w:val="both"/>
              <w:rPr>
                <w:rFonts w:ascii="Calibri" w:eastAsia="Calibri" w:hAnsi="Calibri" w:cs="Calibri"/>
                <w:b/>
                <w:lang w:eastAsia="es-SV"/>
              </w:rPr>
            </w:pPr>
            <w:r w:rsidRPr="0074771C">
              <w:rPr>
                <w:rFonts w:ascii="Calibri" w:eastAsia="Calibri" w:hAnsi="Calibri" w:cs="Calibri"/>
                <w:b/>
                <w:lang w:eastAsia="es-SV"/>
              </w:rPr>
              <w:t>Se cuenta además con información generada según las atribuciones y competencias otorgadas por lo establecido en el Código de Salud y leyes de la materia,</w:t>
            </w:r>
            <w:r w:rsidRPr="0074771C">
              <w:t xml:space="preserve"> </w:t>
            </w:r>
            <w:r w:rsidRPr="0074771C">
              <w:rPr>
                <w:rFonts w:ascii="Calibri" w:eastAsia="Calibri" w:hAnsi="Calibri" w:cs="Calibri"/>
                <w:b/>
                <w:lang w:eastAsia="es-SV"/>
              </w:rPr>
              <w:t xml:space="preserve">documentos relacionados con la vigilancia y control de profesionales de las diferentes carreras relativas a la salud y de establecimientos de salud entre </w:t>
            </w:r>
            <w:r w:rsidR="005D3235" w:rsidRPr="0074771C">
              <w:rPr>
                <w:rFonts w:ascii="Calibri" w:eastAsia="Calibri" w:hAnsi="Calibri" w:cs="Calibri"/>
                <w:b/>
                <w:lang w:eastAsia="es-SV"/>
              </w:rPr>
              <w:t>otros,</w:t>
            </w:r>
            <w:r w:rsidRPr="0074771C">
              <w:rPr>
                <w:rFonts w:ascii="Calibri" w:eastAsia="Calibri" w:hAnsi="Calibri" w:cs="Calibri"/>
                <w:b/>
                <w:lang w:eastAsia="es-SV"/>
              </w:rPr>
              <w:t xml:space="preserve"> así como información del movimiento de presupuesto y otros recursos monetarios que maneja la institución. </w:t>
            </w:r>
          </w:p>
          <w:p w:rsidR="00993EC8" w:rsidRPr="0074771C" w:rsidRDefault="00993EC8" w:rsidP="0074771C">
            <w:pPr>
              <w:jc w:val="both"/>
              <w:rPr>
                <w:rFonts w:ascii="Calibri" w:eastAsia="Calibri" w:hAnsi="Calibri" w:cs="Calibri"/>
                <w:lang w:eastAsia="es-SV"/>
              </w:rPr>
            </w:pPr>
          </w:p>
          <w:p w:rsidR="0074771C" w:rsidRPr="006F5C96" w:rsidRDefault="0074771C" w:rsidP="0074771C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es-SV"/>
              </w:rPr>
            </w:pPr>
            <w:r w:rsidRPr="0074771C">
              <w:rPr>
                <w:rFonts w:ascii="Calibri" w:eastAsia="Calibri" w:hAnsi="Calibri" w:cs="Calibri"/>
                <w:b/>
                <w:lang w:eastAsia="es-SV"/>
              </w:rPr>
              <w:lastRenderedPageBreak/>
              <w:t>No se han hecho transferencias documentales hasta la fecha, pero se prevé el envío de las mismas una vez que se tengan elaborados los lineamientos y manuales</w:t>
            </w:r>
            <w:r w:rsidR="00392F71">
              <w:rPr>
                <w:rFonts w:ascii="Calibri" w:eastAsia="Calibri" w:hAnsi="Calibri" w:cs="Calibri"/>
                <w:b/>
                <w:lang w:eastAsia="es-SV"/>
              </w:rPr>
              <w:t>.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lastRenderedPageBreak/>
              <w:t xml:space="preserve">3.8 Instrumentos de descripción, guías y publicaciones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33</w:t>
            </w:r>
          </w:p>
        </w:tc>
        <w:tc>
          <w:tcPr>
            <w:tcW w:w="6659" w:type="dxa"/>
          </w:tcPr>
          <w:p w:rsidR="00170C91" w:rsidRDefault="00170C91" w:rsidP="00D76324">
            <w:pPr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D76324">
              <w:rPr>
                <w:rFonts w:eastAsia="Times New Roman" w:cs="Times New Roman"/>
                <w:b/>
                <w:szCs w:val="24"/>
                <w:lang w:eastAsia="es-SV"/>
              </w:rPr>
              <w:t xml:space="preserve">Guía de Archivo del </w:t>
            </w:r>
            <w:r w:rsidR="00D76324" w:rsidRPr="00D76324">
              <w:rPr>
                <w:rFonts w:eastAsia="Times New Roman" w:cs="Times New Roman"/>
                <w:b/>
                <w:szCs w:val="24"/>
                <w:lang w:eastAsia="es-SV"/>
              </w:rPr>
              <w:t>Consejo Superior de Salud Pública</w:t>
            </w:r>
            <w:r w:rsidRPr="00D76324">
              <w:rPr>
                <w:rFonts w:eastAsia="Times New Roman" w:cs="Times New Roman"/>
                <w:b/>
                <w:szCs w:val="24"/>
                <w:lang w:eastAsia="es-SV"/>
              </w:rPr>
              <w:t xml:space="preserve">. </w:t>
            </w:r>
            <w:r w:rsidR="00D76324" w:rsidRPr="00D76324">
              <w:rPr>
                <w:rFonts w:eastAsia="Times New Roman" w:cs="Times New Roman"/>
                <w:b/>
                <w:szCs w:val="24"/>
                <w:lang w:eastAsia="es-SV"/>
              </w:rPr>
              <w:t>Consejo Superior de Salud Pública, San Salvador: 2016</w:t>
            </w:r>
            <w:r w:rsidRPr="00D76324">
              <w:rPr>
                <w:rFonts w:eastAsia="Times New Roman" w:cs="Times New Roman"/>
                <w:b/>
                <w:szCs w:val="24"/>
                <w:lang w:eastAsia="es-SV"/>
              </w:rPr>
              <w:t>.</w:t>
            </w:r>
          </w:p>
          <w:p w:rsidR="00D25EC1" w:rsidRPr="00D76324" w:rsidRDefault="00D25EC1" w:rsidP="00993EC8">
            <w:pPr>
              <w:jc w:val="both"/>
            </w:pPr>
            <w:r w:rsidRPr="001470D8">
              <w:rPr>
                <w:rFonts w:eastAsia="Times New Roman" w:cs="Times New Roman"/>
                <w:b/>
                <w:szCs w:val="24"/>
                <w:lang w:eastAsia="es-SV"/>
              </w:rPr>
              <w:t>Guía de Archivo del Consejo Superior de Salud Pública. Consejo Superior de Salud Pública, San Salvador: versión 2/2017.</w:t>
            </w:r>
          </w:p>
        </w:tc>
      </w:tr>
      <w:tr w:rsidR="00170C91" w:rsidRPr="00173549" w:rsidTr="00D03388">
        <w:tc>
          <w:tcPr>
            <w:tcW w:w="8828" w:type="dxa"/>
            <w:gridSpan w:val="3"/>
            <w:shd w:val="clear" w:color="auto" w:fill="4F81BD" w:themeFill="accent1"/>
          </w:tcPr>
          <w:p w:rsidR="00170C91" w:rsidRPr="00173549" w:rsidRDefault="00170C91" w:rsidP="00D03388">
            <w:pPr>
              <w:jc w:val="both"/>
            </w:pPr>
          </w:p>
        </w:tc>
      </w:tr>
      <w:tr w:rsidR="00170C91" w:rsidRPr="00173549" w:rsidTr="00D03388">
        <w:tc>
          <w:tcPr>
            <w:tcW w:w="8828" w:type="dxa"/>
            <w:gridSpan w:val="3"/>
          </w:tcPr>
          <w:p w:rsidR="00170C91" w:rsidRPr="00173549" w:rsidRDefault="00170C91" w:rsidP="00D03388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b/>
              </w:rPr>
            </w:pPr>
            <w:r w:rsidRPr="00173549">
              <w:rPr>
                <w:b/>
              </w:rPr>
              <w:t xml:space="preserve">ÁREA DE ACCESO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4.1 Horario de apertura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34</w:t>
            </w:r>
          </w:p>
        </w:tc>
        <w:tc>
          <w:tcPr>
            <w:tcW w:w="6659" w:type="dxa"/>
          </w:tcPr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Lunes a viernes de 8</w:t>
            </w:r>
            <w:r w:rsidR="00DA03D9">
              <w:rPr>
                <w:rFonts w:eastAsia="Times New Roman" w:cs="Times New Roman"/>
                <w:b/>
                <w:szCs w:val="24"/>
                <w:lang w:eastAsia="es-SV"/>
              </w:rPr>
              <w:t>:00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 de la mañana a </w:t>
            </w:r>
            <w:r w:rsidR="00D76324">
              <w:rPr>
                <w:rFonts w:eastAsia="Times New Roman" w:cs="Times New Roman"/>
                <w:b/>
                <w:szCs w:val="24"/>
                <w:lang w:eastAsia="es-SV"/>
              </w:rPr>
              <w:t xml:space="preserve">12:30 y de 1:15 a 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4</w:t>
            </w:r>
            <w:r w:rsidR="00D76324">
              <w:rPr>
                <w:rFonts w:eastAsia="Times New Roman" w:cs="Times New Roman"/>
                <w:b/>
                <w:szCs w:val="24"/>
                <w:lang w:eastAsia="es-SV"/>
              </w:rPr>
              <w:t>:00 d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e</w:t>
            </w:r>
            <w:r w:rsidR="00D76324">
              <w:rPr>
                <w:rFonts w:eastAsia="Times New Roman" w:cs="Times New Roman"/>
                <w:b/>
                <w:szCs w:val="24"/>
                <w:lang w:eastAsia="es-SV"/>
              </w:rPr>
              <w:t xml:space="preserve"> la tarde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. </w:t>
            </w:r>
          </w:p>
          <w:p w:rsidR="00170C91" w:rsidRPr="00DA03D9" w:rsidRDefault="00170C91" w:rsidP="00DA03D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Cerrado los fines de semana y los días festivos o asuetos por Decreto: Vacaciones de Semana Santa, </w:t>
            </w:r>
            <w:r>
              <w:rPr>
                <w:rFonts w:eastAsia="Times New Roman" w:cs="Times New Roman"/>
                <w:b/>
                <w:szCs w:val="24"/>
                <w:lang w:eastAsia="es-SV"/>
              </w:rPr>
              <w:t xml:space="preserve">1 y 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10 de mayo, 17 de junio, 1 al </w:t>
            </w:r>
            <w:r w:rsidR="002625A2">
              <w:rPr>
                <w:rFonts w:eastAsia="Times New Roman" w:cs="Times New Roman"/>
                <w:b/>
                <w:szCs w:val="24"/>
                <w:lang w:eastAsia="es-SV"/>
              </w:rPr>
              <w:t xml:space="preserve">6 de agosto, 15 de septiembre, 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2 de noviembre</w:t>
            </w:r>
            <w:r w:rsidR="00D76324">
              <w:rPr>
                <w:rFonts w:eastAsia="Times New Roman" w:cs="Times New Roman"/>
                <w:b/>
                <w:szCs w:val="24"/>
                <w:lang w:eastAsia="es-SV"/>
              </w:rPr>
              <w:t xml:space="preserve">, </w:t>
            </w:r>
            <w:r w:rsidR="002625A2">
              <w:rPr>
                <w:rFonts w:eastAsia="Times New Roman" w:cs="Times New Roman"/>
                <w:b/>
                <w:szCs w:val="24"/>
                <w:lang w:eastAsia="es-SV"/>
              </w:rPr>
              <w:t>24 de diciembre al 2</w:t>
            </w:r>
            <w:r w:rsidR="00D76324"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 de enero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.</w:t>
            </w:r>
            <w:r w:rsidR="00DA03D9">
              <w:rPr>
                <w:rFonts w:eastAsia="Times New Roman" w:cs="Times New Roman"/>
                <w:b/>
                <w:szCs w:val="24"/>
                <w:lang w:eastAsia="es-SV"/>
              </w:rPr>
              <w:t xml:space="preserve"> Y cualquier otro que se establezca en un Decreto Legislativo</w:t>
            </w:r>
            <w:r w:rsidR="00F964C2">
              <w:rPr>
                <w:rFonts w:eastAsia="Times New Roman" w:cs="Times New Roman"/>
                <w:b/>
                <w:szCs w:val="24"/>
                <w:lang w:eastAsia="es-SV"/>
              </w:rPr>
              <w:t>.</w:t>
            </w:r>
            <w:r w:rsidR="005A556A">
              <w:rPr>
                <w:rFonts w:eastAsia="Times New Roman" w:cs="Times New Roman"/>
                <w:b/>
                <w:szCs w:val="24"/>
                <w:lang w:eastAsia="es-SV"/>
              </w:rPr>
              <w:t xml:space="preserve"> De conformidad a la Ley de Asuetos, Vacaciones y Licencias de los Empleados Públicos.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>4.2 Condiciones y requisitos para el uso y acceso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35</w:t>
            </w:r>
          </w:p>
        </w:tc>
        <w:tc>
          <w:tcPr>
            <w:tcW w:w="6659" w:type="dxa"/>
          </w:tcPr>
          <w:p w:rsidR="00170C91" w:rsidRDefault="00170C91" w:rsidP="00D033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El ingreso a la institución es libre y gratuito para todas</w:t>
            </w:r>
            <w:r w:rsidR="00AA1E75">
              <w:rPr>
                <w:rFonts w:eastAsia="Times New Roman" w:cs="Times New Roman"/>
                <w:b/>
                <w:szCs w:val="24"/>
                <w:lang w:eastAsia="es-SV"/>
              </w:rPr>
              <w:t xml:space="preserve"> las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 personas, </w:t>
            </w:r>
            <w:r w:rsidR="00AA1E75">
              <w:rPr>
                <w:rFonts w:eastAsia="Times New Roman" w:cs="Times New Roman"/>
                <w:b/>
                <w:szCs w:val="24"/>
                <w:lang w:eastAsia="es-SV"/>
              </w:rPr>
              <w:t xml:space="preserve">no es necesaria la 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presentación de documento de identificación en mostrador de la recepción, sea nacional, menor de edad, centroamericano o extranjero. Las condiciones de acceso a la información están sujetas a disposiciones establecidas en la Ley de Acceso a la Información Pública y las emitidas por la institución para cumplir con dicha ley. </w:t>
            </w:r>
          </w:p>
          <w:p w:rsidR="00170C91" w:rsidRDefault="00170C91" w:rsidP="00D033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El usuario </w:t>
            </w:r>
            <w:r>
              <w:rPr>
                <w:rFonts w:eastAsia="Times New Roman" w:cs="Times New Roman"/>
                <w:b/>
                <w:szCs w:val="24"/>
                <w:lang w:eastAsia="es-SV"/>
              </w:rPr>
              <w:t>puede consultar el porta</w:t>
            </w:r>
            <w:r w:rsidR="00106AD6">
              <w:rPr>
                <w:rFonts w:eastAsia="Times New Roman" w:cs="Times New Roman"/>
                <w:b/>
                <w:szCs w:val="24"/>
                <w:lang w:eastAsia="es-SV"/>
              </w:rPr>
              <w:t>l</w:t>
            </w:r>
            <w:r>
              <w:rPr>
                <w:rFonts w:eastAsia="Times New Roman" w:cs="Times New Roman"/>
                <w:b/>
                <w:szCs w:val="24"/>
                <w:lang w:eastAsia="es-SV"/>
              </w:rPr>
              <w:t xml:space="preserve"> de transparencia del sitio web que contiene información púbica oficiosa que estable la Ley de Acceso a la Información Pública. Si no encuentra la información que busca en dicho espacio, puede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 solicitar información por medio de cor</w:t>
            </w:r>
            <w:r w:rsidR="00106AD6">
              <w:rPr>
                <w:rFonts w:eastAsia="Times New Roman" w:cs="Times New Roman"/>
                <w:b/>
                <w:szCs w:val="24"/>
                <w:lang w:eastAsia="es-SV"/>
              </w:rPr>
              <w:t>reo electrónico o vía página web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, utilizando </w:t>
            </w:r>
            <w:r>
              <w:rPr>
                <w:rFonts w:eastAsia="Times New Roman" w:cs="Times New Roman"/>
                <w:b/>
                <w:szCs w:val="24"/>
                <w:lang w:eastAsia="es-SV"/>
              </w:rPr>
              <w:t>los formularios proporcionados por l</w:t>
            </w:r>
            <w:r w:rsidR="00106AD6">
              <w:rPr>
                <w:rFonts w:eastAsia="Times New Roman" w:cs="Times New Roman"/>
                <w:b/>
                <w:szCs w:val="24"/>
                <w:lang w:eastAsia="es-SV"/>
              </w:rPr>
              <w:t>a</w:t>
            </w:r>
            <w:r>
              <w:rPr>
                <w:rFonts w:eastAsia="Times New Roman" w:cs="Times New Roman"/>
                <w:b/>
                <w:szCs w:val="24"/>
                <w:lang w:eastAsia="es-SV"/>
              </w:rPr>
              <w:t xml:space="preserve"> Oficial de Información. </w:t>
            </w:r>
          </w:p>
          <w:p w:rsidR="00170C91" w:rsidRDefault="00170C91" w:rsidP="00D033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Las restricciones de acceso a la información son aquellas contenidas en la Ley de Acceso a la Información Pública en lo referente a los datos personales, información reservada o confidencial </w:t>
            </w:r>
            <w:r>
              <w:rPr>
                <w:rFonts w:eastAsia="Times New Roman" w:cs="Times New Roman"/>
                <w:b/>
                <w:szCs w:val="24"/>
                <w:lang w:eastAsia="es-SV"/>
              </w:rPr>
              <w:t xml:space="preserve">establecida en los índices de información reservada publicados en el mismo portal. </w:t>
            </w:r>
          </w:p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Oficial de información</w:t>
            </w:r>
            <w:r>
              <w:rPr>
                <w:rFonts w:eastAsia="Times New Roman" w:cs="Times New Roman"/>
                <w:b/>
                <w:szCs w:val="24"/>
                <w:lang w:eastAsia="es-SV"/>
              </w:rPr>
              <w:t xml:space="preserve"> del </w:t>
            </w:r>
            <w:r w:rsidR="00106AD6">
              <w:rPr>
                <w:rFonts w:eastAsia="Times New Roman" w:cs="Times New Roman"/>
                <w:b/>
                <w:szCs w:val="24"/>
                <w:lang w:eastAsia="es-SV"/>
              </w:rPr>
              <w:t>CSSP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: </w:t>
            </w:r>
          </w:p>
          <w:p w:rsidR="00170C91" w:rsidRPr="00173549" w:rsidRDefault="00106AD6" w:rsidP="00993EC8">
            <w:pPr>
              <w:jc w:val="both"/>
            </w:pPr>
            <w:r>
              <w:rPr>
                <w:rFonts w:eastAsia="Times New Roman" w:cs="Times New Roman"/>
                <w:b/>
                <w:szCs w:val="24"/>
                <w:lang w:eastAsia="es-SV"/>
              </w:rPr>
              <w:t xml:space="preserve">Aura </w:t>
            </w:r>
            <w:r w:rsidR="00392F71">
              <w:rPr>
                <w:rFonts w:eastAsia="Times New Roman" w:cs="Times New Roman"/>
                <w:b/>
                <w:szCs w:val="24"/>
                <w:lang w:eastAsia="es-SV"/>
              </w:rPr>
              <w:t xml:space="preserve">Ivette </w:t>
            </w:r>
            <w:r>
              <w:rPr>
                <w:rFonts w:eastAsia="Times New Roman" w:cs="Times New Roman"/>
                <w:b/>
                <w:szCs w:val="24"/>
                <w:lang w:eastAsia="es-SV"/>
              </w:rPr>
              <w:t>Morales</w:t>
            </w:r>
            <w:r w:rsidR="00170C91" w:rsidRPr="00173549">
              <w:rPr>
                <w:rFonts w:eastAsia="Times New Roman" w:cs="Times New Roman"/>
                <w:b/>
                <w:szCs w:val="24"/>
                <w:lang w:eastAsia="es-SV"/>
              </w:rPr>
              <w:t>:</w:t>
            </w:r>
            <w:r w:rsidR="00170C91" w:rsidRPr="00173549">
              <w:rPr>
                <w:rFonts w:eastAsia="Times New Roman" w:cs="Times New Roman"/>
                <w:szCs w:val="24"/>
                <w:lang w:eastAsia="es-SV"/>
              </w:rPr>
              <w:t xml:space="preserve"> </w:t>
            </w:r>
            <w:hyperlink r:id="rId15" w:history="1">
              <w:r>
                <w:rPr>
                  <w:rFonts w:eastAsia="Times New Roman" w:cs="Times New Roman"/>
                  <w:color w:val="0000FF" w:themeColor="hyperlink"/>
                  <w:szCs w:val="24"/>
                  <w:u w:val="single"/>
                  <w:lang w:eastAsia="es-SV"/>
                </w:rPr>
                <w:t>amorales</w:t>
              </w:r>
              <w:r w:rsidR="00170C91" w:rsidRPr="00173549">
                <w:rPr>
                  <w:rFonts w:eastAsia="Times New Roman" w:cs="Times New Roman"/>
                  <w:color w:val="0000FF" w:themeColor="hyperlink"/>
                  <w:szCs w:val="24"/>
                  <w:u w:val="single"/>
                  <w:lang w:eastAsia="es-SV"/>
                </w:rPr>
                <w:t>@</w:t>
              </w:r>
              <w:r>
                <w:rPr>
                  <w:rFonts w:eastAsia="Times New Roman" w:cs="Times New Roman"/>
                  <w:color w:val="0000FF" w:themeColor="hyperlink"/>
                  <w:szCs w:val="24"/>
                  <w:u w:val="single"/>
                  <w:lang w:eastAsia="es-SV"/>
                </w:rPr>
                <w:t>cssp</w:t>
              </w:r>
              <w:r w:rsidR="00170C91" w:rsidRPr="00173549">
                <w:rPr>
                  <w:rFonts w:eastAsia="Times New Roman" w:cs="Times New Roman"/>
                  <w:color w:val="0000FF" w:themeColor="hyperlink"/>
                  <w:szCs w:val="24"/>
                  <w:u w:val="single"/>
                  <w:lang w:eastAsia="es-SV"/>
                </w:rPr>
                <w:t>.gob.sv</w:t>
              </w:r>
            </w:hyperlink>
            <w:r w:rsidR="00170C91">
              <w:rPr>
                <w:rFonts w:eastAsia="Times New Roman" w:cs="Times New Roman"/>
                <w:color w:val="0000FF" w:themeColor="hyperlink"/>
                <w:szCs w:val="24"/>
                <w:u w:val="single"/>
                <w:lang w:eastAsia="es-SV"/>
              </w:rPr>
              <w:t xml:space="preserve">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4.3 Accesibilidad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37</w:t>
            </w:r>
          </w:p>
        </w:tc>
        <w:tc>
          <w:tcPr>
            <w:tcW w:w="6659" w:type="dxa"/>
          </w:tcPr>
          <w:p w:rsidR="00E84342" w:rsidRDefault="00170C91" w:rsidP="00D03388">
            <w:pPr>
              <w:jc w:val="both"/>
              <w:rPr>
                <w:rFonts w:eastAsia="Times New Roman" w:cs="Times New Roman"/>
                <w:b/>
                <w:lang w:eastAsia="es-SV"/>
              </w:rPr>
            </w:pPr>
            <w:r w:rsidRPr="00173549">
              <w:rPr>
                <w:rFonts w:eastAsia="Times New Roman" w:cs="Times New Roman"/>
                <w:b/>
                <w:lang w:eastAsia="es-SV"/>
              </w:rPr>
              <w:t>El servicio de autobuses es por medio de la</w:t>
            </w:r>
            <w:r w:rsidR="00066458">
              <w:rPr>
                <w:rFonts w:eastAsia="Times New Roman" w:cs="Times New Roman"/>
                <w:b/>
                <w:lang w:eastAsia="es-SV"/>
              </w:rPr>
              <w:t>s</w:t>
            </w:r>
            <w:r w:rsidRPr="00173549">
              <w:rPr>
                <w:rFonts w:eastAsia="Times New Roman" w:cs="Times New Roman"/>
                <w:b/>
                <w:lang w:eastAsia="es-SV"/>
              </w:rPr>
              <w:t xml:space="preserve"> Ruta</w:t>
            </w:r>
            <w:r w:rsidR="00066458">
              <w:rPr>
                <w:rFonts w:eastAsia="Times New Roman" w:cs="Times New Roman"/>
                <w:b/>
                <w:lang w:eastAsia="es-SV"/>
              </w:rPr>
              <w:t>s:</w:t>
            </w:r>
            <w:r w:rsidRPr="00173549">
              <w:rPr>
                <w:rFonts w:eastAsia="Times New Roman" w:cs="Times New Roman"/>
                <w:b/>
                <w:lang w:eastAsia="es-SV"/>
              </w:rPr>
              <w:t xml:space="preserve"> </w:t>
            </w:r>
          </w:p>
          <w:p w:rsidR="00E84342" w:rsidRDefault="00066458" w:rsidP="00D03388">
            <w:pPr>
              <w:jc w:val="both"/>
              <w:rPr>
                <w:rFonts w:eastAsia="Times New Roman" w:cs="Times New Roman"/>
                <w:b/>
                <w:lang w:eastAsia="es-SV"/>
              </w:rPr>
            </w:pPr>
            <w:r>
              <w:rPr>
                <w:rFonts w:eastAsia="Times New Roman" w:cs="Times New Roman"/>
                <w:b/>
                <w:lang w:eastAsia="es-SV"/>
              </w:rPr>
              <w:t xml:space="preserve">52 (autobús) que hace su recorrido desde su punto ubicado 50 metros </w:t>
            </w:r>
            <w:r>
              <w:rPr>
                <w:rFonts w:eastAsia="Times New Roman" w:cs="Times New Roman"/>
                <w:b/>
                <w:lang w:eastAsia="es-SV"/>
              </w:rPr>
              <w:lastRenderedPageBreak/>
              <w:t>atrás de las instalaciones de la División Anti Narcóticos</w:t>
            </w:r>
            <w:r w:rsidR="00E84342">
              <w:rPr>
                <w:rFonts w:eastAsia="Times New Roman" w:cs="Times New Roman"/>
                <w:b/>
                <w:lang w:eastAsia="es-SV"/>
              </w:rPr>
              <w:t xml:space="preserve"> hasta el Paseo General Escalón.</w:t>
            </w:r>
            <w:r>
              <w:rPr>
                <w:rFonts w:eastAsia="Times New Roman" w:cs="Times New Roman"/>
                <w:b/>
                <w:lang w:eastAsia="es-SV"/>
              </w:rPr>
              <w:t xml:space="preserve"> </w:t>
            </w:r>
          </w:p>
          <w:p w:rsidR="00E84342" w:rsidRDefault="00E84342" w:rsidP="00D03388">
            <w:pPr>
              <w:jc w:val="both"/>
              <w:rPr>
                <w:rFonts w:eastAsia="Times New Roman" w:cs="Times New Roman"/>
                <w:b/>
                <w:lang w:eastAsia="es-SV"/>
              </w:rPr>
            </w:pPr>
            <w:r>
              <w:rPr>
                <w:rFonts w:eastAsia="Times New Roman" w:cs="Times New Roman"/>
                <w:b/>
                <w:lang w:eastAsia="es-SV"/>
              </w:rPr>
              <w:t>R</w:t>
            </w:r>
            <w:r w:rsidR="00066458">
              <w:rPr>
                <w:rFonts w:eastAsia="Times New Roman" w:cs="Times New Roman"/>
                <w:b/>
                <w:lang w:eastAsia="es-SV"/>
              </w:rPr>
              <w:t>uta 52 (</w:t>
            </w:r>
            <w:r w:rsidR="00066458" w:rsidRPr="00066458">
              <w:rPr>
                <w:rFonts w:eastAsia="Times New Roman" w:cs="Times New Roman"/>
                <w:b/>
                <w:lang w:eastAsia="es-SV"/>
              </w:rPr>
              <w:t>microbús)</w:t>
            </w:r>
            <w:r>
              <w:rPr>
                <w:rFonts w:eastAsia="Times New Roman" w:cs="Times New Roman"/>
                <w:b/>
                <w:lang w:eastAsia="es-SV"/>
              </w:rPr>
              <w:t xml:space="preserve"> que hace su recorrido desde su punto ubicado entre calle Celis y Avenida Juan Pablo II, hasta el Paseo General Escalón.</w:t>
            </w:r>
          </w:p>
          <w:p w:rsidR="00E84342" w:rsidRDefault="00E84342" w:rsidP="00D03388">
            <w:pPr>
              <w:jc w:val="both"/>
              <w:rPr>
                <w:rFonts w:eastAsia="Times New Roman" w:cs="Times New Roman"/>
                <w:b/>
                <w:lang w:eastAsia="es-SV"/>
              </w:rPr>
            </w:pPr>
            <w:r>
              <w:rPr>
                <w:rFonts w:eastAsia="Times New Roman" w:cs="Times New Roman"/>
                <w:b/>
                <w:lang w:eastAsia="es-SV"/>
              </w:rPr>
              <w:t xml:space="preserve">Ruta </w:t>
            </w:r>
            <w:r w:rsidR="00170C91" w:rsidRPr="00173549">
              <w:rPr>
                <w:rFonts w:eastAsia="Times New Roman" w:cs="Times New Roman"/>
                <w:b/>
                <w:lang w:eastAsia="es-SV"/>
              </w:rPr>
              <w:t>16 (autobús</w:t>
            </w:r>
            <w:r w:rsidR="00066458">
              <w:rPr>
                <w:rFonts w:eastAsia="Times New Roman" w:cs="Times New Roman"/>
                <w:b/>
                <w:lang w:eastAsia="es-SV"/>
              </w:rPr>
              <w:t xml:space="preserve"> y microbús</w:t>
            </w:r>
            <w:r w:rsidR="00170C91" w:rsidRPr="00173549">
              <w:rPr>
                <w:rFonts w:eastAsia="Times New Roman" w:cs="Times New Roman"/>
                <w:b/>
                <w:lang w:eastAsia="es-SV"/>
              </w:rPr>
              <w:t>)</w:t>
            </w:r>
            <w:r>
              <w:rPr>
                <w:rFonts w:eastAsia="Times New Roman" w:cs="Times New Roman"/>
                <w:b/>
                <w:lang w:eastAsia="es-SV"/>
              </w:rPr>
              <w:t xml:space="preserve"> que hace su recorrido desde su punto ubicado en </w:t>
            </w:r>
            <w:r w:rsidR="003513B8">
              <w:rPr>
                <w:rFonts w:eastAsia="Times New Roman" w:cs="Times New Roman"/>
                <w:b/>
                <w:lang w:eastAsia="es-SV"/>
              </w:rPr>
              <w:t>Colonia San Antonio Abad, sobre la 75 Avenida Norte y Calle Mano de León hasta el Parque Centenario.</w:t>
            </w:r>
          </w:p>
          <w:p w:rsidR="00FB49D8" w:rsidRDefault="00E84342" w:rsidP="00D03388">
            <w:pPr>
              <w:jc w:val="both"/>
              <w:rPr>
                <w:rFonts w:eastAsia="Times New Roman" w:cs="Times New Roman"/>
                <w:b/>
                <w:lang w:eastAsia="es-SV"/>
              </w:rPr>
            </w:pPr>
            <w:r>
              <w:rPr>
                <w:rFonts w:eastAsia="Times New Roman" w:cs="Times New Roman"/>
                <w:b/>
                <w:lang w:eastAsia="es-SV"/>
              </w:rPr>
              <w:t xml:space="preserve">Ruta </w:t>
            </w:r>
            <w:r w:rsidR="00066458">
              <w:rPr>
                <w:rFonts w:eastAsia="Times New Roman" w:cs="Times New Roman"/>
                <w:b/>
                <w:lang w:eastAsia="es-SV"/>
              </w:rPr>
              <w:t>7</w:t>
            </w:r>
            <w:r w:rsidR="00FB49D8">
              <w:rPr>
                <w:rFonts w:eastAsia="Times New Roman" w:cs="Times New Roman"/>
                <w:b/>
                <w:lang w:eastAsia="es-SV"/>
              </w:rPr>
              <w:t xml:space="preserve"> que hace su recorrido desde su punto ubicado en Colonia Guadalupe, Soyapango hasta Centro Comercial Galerías Escalón.</w:t>
            </w:r>
            <w:r w:rsidR="00066458">
              <w:rPr>
                <w:rFonts w:eastAsia="Times New Roman" w:cs="Times New Roman"/>
                <w:b/>
                <w:lang w:eastAsia="es-SV"/>
              </w:rPr>
              <w:t xml:space="preserve"> </w:t>
            </w:r>
          </w:p>
          <w:p w:rsidR="00E84342" w:rsidRDefault="00FB49D8" w:rsidP="00D03388">
            <w:pPr>
              <w:jc w:val="both"/>
              <w:rPr>
                <w:rFonts w:eastAsia="Times New Roman" w:cs="Times New Roman"/>
                <w:b/>
                <w:lang w:eastAsia="es-SV"/>
              </w:rPr>
            </w:pPr>
            <w:r>
              <w:rPr>
                <w:rFonts w:eastAsia="Times New Roman" w:cs="Times New Roman"/>
                <w:b/>
                <w:lang w:eastAsia="es-SV"/>
              </w:rPr>
              <w:t>Ruta</w:t>
            </w:r>
            <w:r w:rsidR="00066458">
              <w:rPr>
                <w:rFonts w:eastAsia="Times New Roman" w:cs="Times New Roman"/>
                <w:b/>
                <w:lang w:eastAsia="es-SV"/>
              </w:rPr>
              <w:t xml:space="preserve"> 7D</w:t>
            </w:r>
            <w:r w:rsidR="00170C91" w:rsidRPr="00173549">
              <w:rPr>
                <w:rFonts w:eastAsia="Times New Roman" w:cs="Times New Roman"/>
                <w:b/>
                <w:lang w:eastAsia="es-SV"/>
              </w:rPr>
              <w:t xml:space="preserve"> </w:t>
            </w:r>
            <w:r>
              <w:rPr>
                <w:rFonts w:eastAsia="Times New Roman" w:cs="Times New Roman"/>
                <w:b/>
                <w:lang w:eastAsia="es-SV"/>
              </w:rPr>
              <w:t>que hace su recorrido desde su punto ubicado en Colonia Los Conacastes, Soyapango hasta Centro Comercial Galerías Escalón.</w:t>
            </w:r>
          </w:p>
          <w:p w:rsidR="00FB49D8" w:rsidRDefault="00FB49D8" w:rsidP="00D03388">
            <w:pPr>
              <w:jc w:val="both"/>
              <w:rPr>
                <w:rFonts w:eastAsia="Times New Roman" w:cs="Times New Roman"/>
                <w:b/>
                <w:lang w:eastAsia="es-SV"/>
              </w:rPr>
            </w:pPr>
            <w:r>
              <w:rPr>
                <w:rFonts w:eastAsia="Times New Roman" w:cs="Times New Roman"/>
                <w:b/>
                <w:lang w:eastAsia="es-SV"/>
              </w:rPr>
              <w:t>Ruta 30B, que hace su recorrido desde su punto ubicado en Colonia Las Terrazas, Ayutuxtepeque, hasta CIFCO.</w:t>
            </w:r>
          </w:p>
          <w:p w:rsidR="00170C91" w:rsidRDefault="00170C91" w:rsidP="00993EC8">
            <w:pPr>
              <w:jc w:val="both"/>
              <w:rPr>
                <w:rFonts w:eastAsia="Times New Roman" w:cs="Times New Roman"/>
                <w:lang w:eastAsia="es-SV"/>
              </w:rPr>
            </w:pPr>
            <w:r w:rsidRPr="00173549">
              <w:rPr>
                <w:rFonts w:eastAsia="Times New Roman" w:cs="Times New Roman"/>
                <w:b/>
                <w:lang w:eastAsia="es-SV"/>
              </w:rPr>
              <w:t xml:space="preserve">El acceso principal </w:t>
            </w:r>
            <w:r w:rsidR="006F5C2A">
              <w:rPr>
                <w:rFonts w:eastAsia="Times New Roman" w:cs="Times New Roman"/>
                <w:b/>
                <w:lang w:eastAsia="es-SV"/>
              </w:rPr>
              <w:t xml:space="preserve">y las instalaciones internas </w:t>
            </w:r>
            <w:r w:rsidRPr="00173549">
              <w:rPr>
                <w:rFonts w:eastAsia="Times New Roman" w:cs="Times New Roman"/>
                <w:b/>
                <w:lang w:eastAsia="es-SV"/>
              </w:rPr>
              <w:t>no tiene</w:t>
            </w:r>
            <w:r w:rsidR="006F5C2A">
              <w:rPr>
                <w:rFonts w:eastAsia="Times New Roman" w:cs="Times New Roman"/>
                <w:b/>
                <w:lang w:eastAsia="es-SV"/>
              </w:rPr>
              <w:t>n</w:t>
            </w:r>
            <w:r w:rsidRPr="00173549">
              <w:rPr>
                <w:rFonts w:eastAsia="Times New Roman" w:cs="Times New Roman"/>
                <w:b/>
                <w:lang w:eastAsia="es-SV"/>
              </w:rPr>
              <w:t xml:space="preserve"> condiciones para </w:t>
            </w:r>
            <w:r w:rsidR="006F5C2A">
              <w:rPr>
                <w:rFonts w:eastAsia="Times New Roman" w:cs="Times New Roman"/>
                <w:b/>
                <w:lang w:eastAsia="es-SV"/>
              </w:rPr>
              <w:t>personas con movilidad reducida</w:t>
            </w:r>
            <w:r w:rsidRPr="00173549">
              <w:rPr>
                <w:rFonts w:eastAsia="Times New Roman" w:cs="Times New Roman"/>
                <w:b/>
                <w:lang w:eastAsia="es-SV"/>
              </w:rPr>
              <w:t xml:space="preserve"> y discapacidad. En el interior de las oficinas no existen obstáculos en la circulación.</w:t>
            </w:r>
            <w:r w:rsidRPr="00173549">
              <w:rPr>
                <w:rFonts w:eastAsia="Times New Roman" w:cs="Times New Roman"/>
                <w:lang w:eastAsia="es-SV"/>
              </w:rPr>
              <w:t xml:space="preserve">   </w:t>
            </w:r>
          </w:p>
          <w:p w:rsidR="00993EC8" w:rsidRPr="00173549" w:rsidRDefault="00993EC8" w:rsidP="00993EC8">
            <w:pPr>
              <w:jc w:val="both"/>
            </w:pPr>
          </w:p>
        </w:tc>
      </w:tr>
      <w:tr w:rsidR="00170C91" w:rsidRPr="00173549" w:rsidTr="00D03388">
        <w:tc>
          <w:tcPr>
            <w:tcW w:w="8828" w:type="dxa"/>
            <w:gridSpan w:val="3"/>
            <w:shd w:val="clear" w:color="auto" w:fill="4F81BD" w:themeFill="accent1"/>
          </w:tcPr>
          <w:p w:rsidR="00170C91" w:rsidRPr="00173549" w:rsidRDefault="00170C91" w:rsidP="00D03388">
            <w:pPr>
              <w:jc w:val="both"/>
            </w:pPr>
          </w:p>
        </w:tc>
      </w:tr>
      <w:tr w:rsidR="00170C91" w:rsidRPr="00173549" w:rsidTr="00D03388">
        <w:tc>
          <w:tcPr>
            <w:tcW w:w="8828" w:type="dxa"/>
            <w:gridSpan w:val="3"/>
          </w:tcPr>
          <w:p w:rsidR="00170C91" w:rsidRPr="00173549" w:rsidRDefault="00170C91" w:rsidP="00D03388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b/>
              </w:rPr>
            </w:pPr>
            <w:r w:rsidRPr="00173549">
              <w:rPr>
                <w:b/>
              </w:rPr>
              <w:t xml:space="preserve">ÁREA DE SERVICIOS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>5.1 Servicios de ayuda a la investigación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39</w:t>
            </w:r>
          </w:p>
        </w:tc>
        <w:tc>
          <w:tcPr>
            <w:tcW w:w="6659" w:type="dxa"/>
          </w:tcPr>
          <w:p w:rsidR="00082FBB" w:rsidRDefault="00170C91" w:rsidP="00B50B1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34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No se cuenta con sala de consulta</w:t>
            </w:r>
            <w:r w:rsidR="00B50B18">
              <w:rPr>
                <w:rFonts w:eastAsia="Times New Roman" w:cs="Times New Roman"/>
                <w:b/>
                <w:szCs w:val="24"/>
                <w:lang w:eastAsia="es-SV"/>
              </w:rPr>
              <w:t>s, n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o obstante</w:t>
            </w:r>
            <w:r w:rsidR="005D3235">
              <w:rPr>
                <w:rFonts w:eastAsia="Times New Roman" w:cs="Times New Roman"/>
                <w:b/>
                <w:szCs w:val="24"/>
                <w:lang w:eastAsia="es-SV"/>
              </w:rPr>
              <w:t>,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 se </w:t>
            </w:r>
            <w:r w:rsidR="00B50B18">
              <w:rPr>
                <w:rFonts w:eastAsia="Times New Roman" w:cs="Times New Roman"/>
                <w:b/>
                <w:szCs w:val="24"/>
                <w:lang w:eastAsia="es-SV"/>
              </w:rPr>
              <w:t>pueden habilitar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 espacios para consulta de ser requeridos por el solicitante. </w:t>
            </w:r>
          </w:p>
          <w:p w:rsidR="00993EC8" w:rsidRPr="00B50B18" w:rsidRDefault="00170C91" w:rsidP="00B50B1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34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Los servicios de referencia, orientación y ayuda a la investigación se hacen a través del Oficial de Información.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>5.2 Servicios de reproducción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41</w:t>
            </w:r>
          </w:p>
        </w:tc>
        <w:tc>
          <w:tcPr>
            <w:tcW w:w="6659" w:type="dxa"/>
          </w:tcPr>
          <w:p w:rsidR="00170C91" w:rsidRPr="00173549" w:rsidRDefault="00170C91" w:rsidP="00D0338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39" w:lineRule="auto"/>
              <w:ind w:right="66"/>
              <w:contextualSpacing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>Servicio de fotocopia y certificación de documentos</w:t>
            </w:r>
            <w:r w:rsidR="00071D52">
              <w:rPr>
                <w:rFonts w:ascii="Calibri" w:eastAsia="Times New Roman" w:hAnsi="Calibri" w:cs="Calibri"/>
                <w:b/>
                <w:lang w:eastAsia="es-SV"/>
              </w:rPr>
              <w:t xml:space="preserve"> (previo</w:t>
            </w:r>
            <w:r w:rsidR="00685EAF">
              <w:rPr>
                <w:rFonts w:ascii="Calibri" w:eastAsia="Times New Roman" w:hAnsi="Calibri" w:cs="Calibri"/>
                <w:b/>
                <w:lang w:eastAsia="es-SV"/>
              </w:rPr>
              <w:t xml:space="preserve"> pago de precio o derechos respectivamente</w:t>
            </w:r>
            <w:r w:rsidR="005D2708">
              <w:rPr>
                <w:rFonts w:ascii="Calibri" w:eastAsia="Times New Roman" w:hAnsi="Calibri" w:cs="Calibri"/>
                <w:b/>
                <w:lang w:eastAsia="es-SV"/>
              </w:rPr>
              <w:t>)</w:t>
            </w:r>
          </w:p>
          <w:p w:rsidR="00170C91" w:rsidRPr="00173549" w:rsidRDefault="00143588" w:rsidP="0013296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39" w:lineRule="auto"/>
              <w:ind w:right="66"/>
              <w:contextualSpacing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143588">
              <w:rPr>
                <w:rFonts w:cstheme="minorHAnsi"/>
                <w:b/>
              </w:rPr>
              <w:t>El envío de documentación por vía electrónica, es un servicio gratuito</w:t>
            </w:r>
            <w:r w:rsidR="00170C91" w:rsidRPr="00143588">
              <w:rPr>
                <w:rFonts w:eastAsia="Times New Roman" w:cstheme="minorHAnsi"/>
                <w:b/>
                <w:lang w:eastAsia="es-SV"/>
              </w:rPr>
              <w:t xml:space="preserve">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5.3 Espacios públicos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42</w:t>
            </w:r>
          </w:p>
        </w:tc>
        <w:tc>
          <w:tcPr>
            <w:tcW w:w="6659" w:type="dxa"/>
          </w:tcPr>
          <w:p w:rsidR="00170C91" w:rsidRPr="00050EC4" w:rsidRDefault="00170C91" w:rsidP="00050EC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39" w:lineRule="auto"/>
              <w:ind w:right="115"/>
              <w:contextualSpacing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>Acceso a internet en salas comunes (se proporcionará la clave)</w:t>
            </w:r>
          </w:p>
          <w:p w:rsidR="00170C91" w:rsidRPr="00173549" w:rsidRDefault="00170C91" w:rsidP="00D0338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39" w:lineRule="auto"/>
              <w:ind w:right="115"/>
              <w:contextualSpacing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>Baños para visitas</w:t>
            </w:r>
            <w:r w:rsidR="006B41F5">
              <w:rPr>
                <w:rFonts w:ascii="Calibri" w:eastAsia="Times New Roman" w:hAnsi="Calibri" w:cs="Calibri"/>
                <w:b/>
                <w:lang w:eastAsia="es-SV"/>
              </w:rPr>
              <w:t xml:space="preserve"> (ambos sexos)</w:t>
            </w:r>
          </w:p>
          <w:p w:rsidR="00170C91" w:rsidRPr="00173549" w:rsidRDefault="00170C91" w:rsidP="000C040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39" w:lineRule="auto"/>
              <w:ind w:right="115"/>
              <w:contextualSpacing/>
              <w:jc w:val="both"/>
            </w:pP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>No se cuenta con baños para personas con discapacidad</w:t>
            </w:r>
          </w:p>
        </w:tc>
      </w:tr>
      <w:tr w:rsidR="00170C91" w:rsidRPr="00173549" w:rsidTr="00D03388">
        <w:tc>
          <w:tcPr>
            <w:tcW w:w="8828" w:type="dxa"/>
            <w:gridSpan w:val="3"/>
            <w:shd w:val="clear" w:color="auto" w:fill="4F81BD" w:themeFill="accent1"/>
          </w:tcPr>
          <w:p w:rsidR="00170C91" w:rsidRPr="00173549" w:rsidRDefault="00170C91" w:rsidP="00D03388">
            <w:pPr>
              <w:jc w:val="both"/>
            </w:pPr>
          </w:p>
        </w:tc>
      </w:tr>
      <w:tr w:rsidR="00170C91" w:rsidRPr="00173549" w:rsidTr="00D03388">
        <w:tc>
          <w:tcPr>
            <w:tcW w:w="8828" w:type="dxa"/>
            <w:gridSpan w:val="3"/>
          </w:tcPr>
          <w:p w:rsidR="00170C91" w:rsidRPr="00173549" w:rsidRDefault="00170C91" w:rsidP="00D03388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b/>
              </w:rPr>
            </w:pPr>
            <w:r w:rsidRPr="00173549">
              <w:rPr>
                <w:b/>
              </w:rPr>
              <w:t xml:space="preserve">ÁREA DE CONTROL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6.1 Identificador de descripción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43</w:t>
            </w:r>
          </w:p>
        </w:tc>
        <w:tc>
          <w:tcPr>
            <w:tcW w:w="6659" w:type="dxa"/>
          </w:tcPr>
          <w:p w:rsidR="008D6EED" w:rsidRDefault="008D6EED" w:rsidP="00D03388">
            <w:pPr>
              <w:widowControl w:val="0"/>
              <w:autoSpaceDE w:val="0"/>
              <w:autoSpaceDN w:val="0"/>
              <w:adjustRightInd w:val="0"/>
              <w:ind w:right="208"/>
              <w:jc w:val="both"/>
              <w:rPr>
                <w:rFonts w:ascii="Calibri" w:eastAsia="Times New Roman" w:hAnsi="Calibri" w:cs="Calibri"/>
                <w:b/>
                <w:spacing w:val="1"/>
                <w:lang w:eastAsia="es-SV"/>
              </w:rPr>
            </w:pPr>
          </w:p>
          <w:p w:rsidR="00170C91" w:rsidRPr="00173549" w:rsidRDefault="00FC7DCC" w:rsidP="00D03388">
            <w:pPr>
              <w:widowControl w:val="0"/>
              <w:autoSpaceDE w:val="0"/>
              <w:autoSpaceDN w:val="0"/>
              <w:adjustRightInd w:val="0"/>
              <w:ind w:right="2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spacing w:val="1"/>
                <w:lang w:eastAsia="es-SV"/>
              </w:rPr>
              <w:t>SV-CSSP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6.2 </w:t>
            </w:r>
            <w:r w:rsidRPr="00173549">
              <w:lastRenderedPageBreak/>
              <w:t xml:space="preserve">Identificador de la institución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lastRenderedPageBreak/>
              <w:t xml:space="preserve">p. </w:t>
            </w:r>
            <w:r w:rsidRPr="00173549">
              <w:lastRenderedPageBreak/>
              <w:t>44</w:t>
            </w:r>
          </w:p>
        </w:tc>
        <w:tc>
          <w:tcPr>
            <w:tcW w:w="6659" w:type="dxa"/>
          </w:tcPr>
          <w:p w:rsidR="00170C91" w:rsidRPr="00173549" w:rsidRDefault="00B55A2A" w:rsidP="00D03388">
            <w:pPr>
              <w:widowControl w:val="0"/>
              <w:autoSpaceDE w:val="0"/>
              <w:autoSpaceDN w:val="0"/>
              <w:adjustRightInd w:val="0"/>
              <w:ind w:right="102"/>
              <w:jc w:val="both"/>
              <w:rPr>
                <w:rFonts w:ascii="Calibri" w:eastAsia="Times New Roman" w:hAnsi="Calibri" w:cs="Calibri"/>
                <w:b/>
                <w:spacing w:val="1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spacing w:val="1"/>
                <w:lang w:eastAsia="es-SV"/>
              </w:rPr>
              <w:lastRenderedPageBreak/>
              <w:t>Consejo Superior de Salud Pública</w:t>
            </w:r>
          </w:p>
          <w:p w:rsidR="00170C91" w:rsidRPr="00B55A2A" w:rsidRDefault="00170C91" w:rsidP="00B55A2A">
            <w:pPr>
              <w:widowControl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spacing w:val="1"/>
                <w:lang w:eastAsia="es-SV"/>
              </w:rPr>
              <w:lastRenderedPageBreak/>
              <w:t>Unidad de Gestión Documental y Archivos</w:t>
            </w:r>
            <w:r w:rsidRPr="00173549">
              <w:rPr>
                <w:rFonts w:ascii="Calibri" w:eastAsia="Times New Roman" w:hAnsi="Calibri" w:cs="Calibri"/>
                <w:spacing w:val="1"/>
                <w:lang w:eastAsia="es-SV"/>
              </w:rPr>
              <w:t xml:space="preserve">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Default="00170C91" w:rsidP="00D03388">
            <w:pPr>
              <w:jc w:val="both"/>
            </w:pPr>
          </w:p>
          <w:p w:rsidR="00170C91" w:rsidRDefault="00170C91" w:rsidP="00D03388">
            <w:pPr>
              <w:jc w:val="both"/>
            </w:pPr>
          </w:p>
          <w:p w:rsidR="00170C91" w:rsidRPr="00173549" w:rsidRDefault="00170C91" w:rsidP="00D03388">
            <w:pPr>
              <w:jc w:val="both"/>
            </w:pPr>
            <w:r w:rsidRPr="00173549">
              <w:t xml:space="preserve">6.3 Reglas o convenciones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45</w:t>
            </w:r>
          </w:p>
        </w:tc>
        <w:tc>
          <w:tcPr>
            <w:tcW w:w="6659" w:type="dxa"/>
          </w:tcPr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6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>ISDIAH</w:t>
            </w:r>
            <w:r w:rsidR="0036252F">
              <w:rPr>
                <w:rFonts w:ascii="Calibri" w:eastAsia="Times New Roman" w:hAnsi="Calibri" w:cs="Calibri"/>
                <w:b/>
                <w:lang w:eastAsia="es-SV"/>
              </w:rPr>
              <w:t>, Norma Internacional para la Descripción de Instituciones que Custodian Fondos de A</w:t>
            </w: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 xml:space="preserve">rchivos. </w:t>
            </w:r>
          </w:p>
          <w:p w:rsidR="00170C91" w:rsidRPr="00173549" w:rsidRDefault="0036252F" w:rsidP="00D0338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6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i/>
                <w:lang w:eastAsia="es-SV"/>
              </w:rPr>
              <w:t xml:space="preserve">En cumplimiento al </w:t>
            </w:r>
            <w:r w:rsidR="00170C91" w:rsidRPr="00173549">
              <w:rPr>
                <w:rFonts w:ascii="Calibri" w:eastAsia="Times New Roman" w:hAnsi="Calibri" w:cs="Calibri"/>
                <w:b/>
                <w:i/>
                <w:lang w:eastAsia="es-SV"/>
              </w:rPr>
              <w:t>Lineamiento 4</w:t>
            </w:r>
            <w:r w:rsidR="0055475A">
              <w:rPr>
                <w:rFonts w:ascii="Calibri" w:eastAsia="Times New Roman" w:hAnsi="Calibri" w:cs="Calibri"/>
                <w:b/>
                <w:i/>
                <w:lang w:eastAsia="es-SV"/>
              </w:rPr>
              <w:t>, Art. 6,</w:t>
            </w:r>
            <w:r w:rsidR="00170C91" w:rsidRPr="00173549">
              <w:rPr>
                <w:rFonts w:ascii="Calibri" w:eastAsia="Times New Roman" w:hAnsi="Calibri" w:cs="Calibri"/>
                <w:b/>
                <w:i/>
                <w:lang w:eastAsia="es-SV"/>
              </w:rPr>
              <w:t xml:space="preserve"> para la ordenación y descripción documental. </w:t>
            </w:r>
            <w:r w:rsidR="00170C91" w:rsidRPr="00173549">
              <w:rPr>
                <w:rFonts w:ascii="Calibri" w:eastAsia="Times New Roman" w:hAnsi="Calibri" w:cs="Calibri"/>
                <w:b/>
                <w:lang w:eastAsia="es-SV"/>
              </w:rPr>
              <w:t>Diario Oficial, N° 147, Tomo N° 408, San Salvador: 17 de agosto de 2015</w:t>
            </w:r>
          </w:p>
          <w:p w:rsidR="00170C91" w:rsidRDefault="0055475A" w:rsidP="0036252F">
            <w:pPr>
              <w:rPr>
                <w:b/>
                <w:i/>
              </w:rPr>
            </w:pPr>
            <w:r>
              <w:rPr>
                <w:b/>
              </w:rPr>
              <w:t>Consejo Superior de Salud Pública</w:t>
            </w:r>
            <w:r w:rsidR="00170C91" w:rsidRPr="00173549">
              <w:rPr>
                <w:b/>
              </w:rPr>
              <w:t xml:space="preserve">. </w:t>
            </w:r>
            <w:r w:rsidR="00170C91">
              <w:rPr>
                <w:b/>
              </w:rPr>
              <w:t xml:space="preserve">San </w:t>
            </w:r>
            <w:r w:rsidR="00170C91" w:rsidRPr="00173549">
              <w:rPr>
                <w:b/>
              </w:rPr>
              <w:t xml:space="preserve">Salvador: </w:t>
            </w:r>
            <w:r>
              <w:rPr>
                <w:b/>
              </w:rPr>
              <w:t>junio</w:t>
            </w:r>
            <w:r w:rsidR="00170C91" w:rsidRPr="00173549">
              <w:rPr>
                <w:b/>
              </w:rPr>
              <w:t xml:space="preserve"> 2016. </w:t>
            </w:r>
            <w:r w:rsidR="00170C91" w:rsidRPr="00173549">
              <w:rPr>
                <w:b/>
                <w:i/>
              </w:rPr>
              <w:t xml:space="preserve"> </w:t>
            </w:r>
          </w:p>
          <w:p w:rsidR="00A45EB5" w:rsidRDefault="00A45EB5" w:rsidP="00A45EB5">
            <w:pPr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470D8">
              <w:rPr>
                <w:rFonts w:eastAsia="Times New Roman" w:cs="Times New Roman"/>
                <w:b/>
                <w:szCs w:val="24"/>
                <w:lang w:eastAsia="es-SV"/>
              </w:rPr>
              <w:t>Guía de Archivo del Consejo Superior de Salud Pública. Consejo Superior de Salud Pública, San Salvador: versión 2/2017.</w:t>
            </w:r>
          </w:p>
          <w:p w:rsidR="00993EC8" w:rsidRPr="00A45EB5" w:rsidRDefault="00993EC8" w:rsidP="00A45EB5">
            <w:pPr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6.4 Estado de elaboración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46</w:t>
            </w:r>
          </w:p>
        </w:tc>
        <w:tc>
          <w:tcPr>
            <w:tcW w:w="6659" w:type="dxa"/>
          </w:tcPr>
          <w:p w:rsidR="00170C91" w:rsidRPr="00173549" w:rsidRDefault="00BB0807" w:rsidP="00D03388">
            <w:pPr>
              <w:jc w:val="both"/>
              <w:rPr>
                <w:b/>
              </w:rPr>
            </w:pPr>
            <w:r>
              <w:rPr>
                <w:b/>
              </w:rPr>
              <w:t>Finalizada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6.5 Nivel de detalle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46</w:t>
            </w:r>
          </w:p>
        </w:tc>
        <w:tc>
          <w:tcPr>
            <w:tcW w:w="6659" w:type="dxa"/>
          </w:tcPr>
          <w:p w:rsidR="00170C91" w:rsidRPr="00173549" w:rsidRDefault="00BB0807" w:rsidP="00D03388">
            <w:pPr>
              <w:jc w:val="both"/>
              <w:rPr>
                <w:b/>
              </w:rPr>
            </w:pPr>
            <w:r>
              <w:rPr>
                <w:b/>
              </w:rPr>
              <w:t>Completa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6.6 Fecha de creación, revisión o eliminación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47</w:t>
            </w:r>
          </w:p>
        </w:tc>
        <w:tc>
          <w:tcPr>
            <w:tcW w:w="6659" w:type="dxa"/>
          </w:tcPr>
          <w:p w:rsidR="00170C91" w:rsidRPr="00173549" w:rsidRDefault="00B36B9E" w:rsidP="00D03388">
            <w:pPr>
              <w:widowControl w:val="0"/>
              <w:autoSpaceDE w:val="0"/>
              <w:autoSpaceDN w:val="0"/>
              <w:adjustRightInd w:val="0"/>
              <w:ind w:right="503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Fecha de creación de la descripción:</w:t>
            </w:r>
            <w:r w:rsidR="00170C91" w:rsidRPr="00173549">
              <w:rPr>
                <w:rFonts w:ascii="Calibri" w:eastAsia="Times New Roman" w:hAnsi="Calibri" w:cs="Calibri"/>
                <w:b/>
                <w:lang w:eastAsia="es-SV"/>
              </w:rPr>
              <w:t xml:space="preserve"> </w:t>
            </w:r>
          </w:p>
          <w:p w:rsidR="00170C91" w:rsidRDefault="00170C91" w:rsidP="00D03388">
            <w:pPr>
              <w:widowControl w:val="0"/>
              <w:autoSpaceDE w:val="0"/>
              <w:autoSpaceDN w:val="0"/>
              <w:adjustRightInd w:val="0"/>
              <w:ind w:right="503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>201</w:t>
            </w:r>
            <w:r w:rsidR="00A8059A">
              <w:rPr>
                <w:rFonts w:ascii="Calibri" w:eastAsia="Times New Roman" w:hAnsi="Calibri" w:cs="Calibri"/>
                <w:b/>
                <w:lang w:eastAsia="es-SV"/>
              </w:rPr>
              <w:t>6-06-</w:t>
            </w: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>0</w:t>
            </w:r>
            <w:r w:rsidR="00A8059A">
              <w:rPr>
                <w:rFonts w:ascii="Calibri" w:eastAsia="Times New Roman" w:hAnsi="Calibri" w:cs="Calibri"/>
                <w:b/>
                <w:lang w:eastAsia="es-SV"/>
              </w:rPr>
              <w:t>8</w:t>
            </w:r>
            <w:r w:rsidRPr="00173549">
              <w:rPr>
                <w:rFonts w:ascii="Calibri" w:eastAsia="Times New Roman" w:hAnsi="Calibri" w:cs="Calibri"/>
                <w:b/>
                <w:lang w:eastAsia="es-SV"/>
              </w:rPr>
              <w:t xml:space="preserve"> [ISO8601]</w:t>
            </w:r>
          </w:p>
          <w:p w:rsidR="00170C91" w:rsidRPr="001470D8" w:rsidRDefault="001470D8" w:rsidP="001470D8">
            <w:pPr>
              <w:widowControl w:val="0"/>
              <w:autoSpaceDE w:val="0"/>
              <w:autoSpaceDN w:val="0"/>
              <w:adjustRightInd w:val="0"/>
              <w:ind w:right="503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eastAsia="Times New Roman" w:cs="Times New Roman"/>
                <w:b/>
                <w:szCs w:val="24"/>
                <w:lang w:eastAsia="es-SV"/>
              </w:rPr>
              <w:t xml:space="preserve">2017-02-10 Versión 2/2017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6.7 Lenguas y escrituras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p. 48 </w:t>
            </w:r>
          </w:p>
        </w:tc>
        <w:tc>
          <w:tcPr>
            <w:tcW w:w="6659" w:type="dxa"/>
          </w:tcPr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84"/>
              <w:jc w:val="both"/>
              <w:rPr>
                <w:rFonts w:ascii="Calibri" w:eastAsia="Times New Roman" w:hAnsi="Calibri" w:cs="Calibri"/>
                <w:b/>
                <w:iCs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iCs/>
                <w:lang w:eastAsia="es-SV"/>
              </w:rPr>
              <w:t>Español</w:t>
            </w:r>
          </w:p>
          <w:p w:rsidR="00170C91" w:rsidRPr="008B242C" w:rsidRDefault="00170C91" w:rsidP="008B242C">
            <w:pPr>
              <w:widowControl w:val="0"/>
              <w:autoSpaceDE w:val="0"/>
              <w:autoSpaceDN w:val="0"/>
              <w:adjustRightInd w:val="0"/>
              <w:spacing w:line="239" w:lineRule="auto"/>
              <w:ind w:right="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173549">
              <w:rPr>
                <w:rFonts w:ascii="Calibri" w:eastAsia="Times New Roman" w:hAnsi="Calibri" w:cs="Calibri"/>
                <w:b/>
                <w:iCs/>
                <w:lang w:eastAsia="es-SV"/>
              </w:rPr>
              <w:t>Spa [ISO639-2]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t xml:space="preserve">6.8 Fuentes 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48</w:t>
            </w:r>
          </w:p>
        </w:tc>
        <w:tc>
          <w:tcPr>
            <w:tcW w:w="6659" w:type="dxa"/>
          </w:tcPr>
          <w:p w:rsidR="0060443A" w:rsidRDefault="0060443A" w:rsidP="00D03388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Consultas al sitio web del CSSP</w:t>
            </w:r>
          </w:p>
          <w:p w:rsidR="00993EC8" w:rsidRDefault="00993EC8" w:rsidP="00D03388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Constitución de la República</w:t>
            </w:r>
          </w:p>
          <w:p w:rsidR="0060443A" w:rsidRDefault="00943D72" w:rsidP="00D03388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Código de Salud</w:t>
            </w:r>
          </w:p>
          <w:p w:rsidR="00943D72" w:rsidRDefault="00943D72" w:rsidP="00D03388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Ley del Consejo y Juntas de Vigilancia de las Profesiones de Salud</w:t>
            </w:r>
          </w:p>
          <w:p w:rsidR="006D1C7E" w:rsidRDefault="006D1C7E" w:rsidP="00D03388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Ley del Ejercicio de la Profesión Odontológica y sus actividades auxiliares</w:t>
            </w:r>
          </w:p>
          <w:p w:rsidR="006D1C7E" w:rsidRDefault="006D1C7E" w:rsidP="00D03388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Ley de Medicamentos</w:t>
            </w:r>
          </w:p>
          <w:p w:rsidR="006D1C7E" w:rsidRDefault="006D1C7E" w:rsidP="00D03388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Ley de Deberes y Derechos de los Pacientes y Prestadores de Servicios de Salud</w:t>
            </w:r>
          </w:p>
          <w:p w:rsidR="006D1C7E" w:rsidRDefault="006D1C7E" w:rsidP="006D1C7E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 w:rsidRPr="006D1C7E">
              <w:rPr>
                <w:rFonts w:ascii="Calibri" w:eastAsia="Times New Roman" w:hAnsi="Calibri" w:cs="Calibri"/>
                <w:b/>
                <w:lang w:eastAsia="es-SV"/>
              </w:rPr>
              <w:t>Decreto 373</w:t>
            </w:r>
          </w:p>
          <w:p w:rsidR="006D1C7E" w:rsidRPr="006D1C7E" w:rsidRDefault="006D1C7E" w:rsidP="006D1C7E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Decreto 752</w:t>
            </w:r>
          </w:p>
          <w:p w:rsidR="006D1C7E" w:rsidRDefault="006D1C7E" w:rsidP="00D03388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</w:p>
          <w:p w:rsidR="00943D72" w:rsidRDefault="00943D72" w:rsidP="00D03388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lastRenderedPageBreak/>
              <w:t>Reglamento Interno del Consejo Superior de Salud Pública</w:t>
            </w:r>
          </w:p>
          <w:p w:rsidR="00170C91" w:rsidRPr="00943D72" w:rsidRDefault="00943D72" w:rsidP="00943D72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" w:eastAsia="Times New Roman" w:hAnsi="Calibri" w:cs="Calibri"/>
                <w:b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lang w:eastAsia="es-SV"/>
              </w:rPr>
              <w:t>Reglamento</w:t>
            </w:r>
            <w:r w:rsidR="00993EC8">
              <w:rPr>
                <w:rFonts w:ascii="Calibri" w:eastAsia="Times New Roman" w:hAnsi="Calibri" w:cs="Calibri"/>
                <w:b/>
                <w:lang w:eastAsia="es-SV"/>
              </w:rPr>
              <w:t>s</w:t>
            </w:r>
            <w:r>
              <w:rPr>
                <w:rFonts w:ascii="Calibri" w:eastAsia="Times New Roman" w:hAnsi="Calibri" w:cs="Calibri"/>
                <w:b/>
                <w:lang w:eastAsia="es-SV"/>
              </w:rPr>
              <w:t xml:space="preserve"> Interno</w:t>
            </w:r>
            <w:r w:rsidR="00993EC8">
              <w:rPr>
                <w:rFonts w:ascii="Calibri" w:eastAsia="Times New Roman" w:hAnsi="Calibri" w:cs="Calibri"/>
                <w:b/>
                <w:lang w:eastAsia="es-SV"/>
              </w:rPr>
              <w:t>s</w:t>
            </w:r>
            <w:r>
              <w:rPr>
                <w:rFonts w:ascii="Calibri" w:eastAsia="Times New Roman" w:hAnsi="Calibri" w:cs="Calibri"/>
                <w:b/>
                <w:lang w:eastAsia="es-SV"/>
              </w:rPr>
              <w:t xml:space="preserve"> de las Juntas de Vigilancia de las Profesiones de Salud </w:t>
            </w:r>
          </w:p>
        </w:tc>
      </w:tr>
      <w:tr w:rsidR="00121DE6" w:rsidRPr="00173549" w:rsidTr="00D03388">
        <w:tc>
          <w:tcPr>
            <w:tcW w:w="1603" w:type="dxa"/>
          </w:tcPr>
          <w:p w:rsidR="00170C91" w:rsidRPr="00173549" w:rsidRDefault="00170C91" w:rsidP="00D03388">
            <w:pPr>
              <w:jc w:val="both"/>
            </w:pPr>
            <w:r w:rsidRPr="00173549">
              <w:lastRenderedPageBreak/>
              <w:t>6.9 Notas de mantenimiento</w:t>
            </w:r>
          </w:p>
        </w:tc>
        <w:tc>
          <w:tcPr>
            <w:tcW w:w="566" w:type="dxa"/>
          </w:tcPr>
          <w:p w:rsidR="00170C91" w:rsidRPr="00173549" w:rsidRDefault="00170C91" w:rsidP="00D03388">
            <w:pPr>
              <w:jc w:val="both"/>
            </w:pPr>
            <w:r w:rsidRPr="00173549">
              <w:t>p. 49</w:t>
            </w:r>
          </w:p>
        </w:tc>
        <w:tc>
          <w:tcPr>
            <w:tcW w:w="6659" w:type="dxa"/>
          </w:tcPr>
          <w:p w:rsidR="00170C91" w:rsidRDefault="00170C91" w:rsidP="00D0338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2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Responsable: </w:t>
            </w:r>
            <w:r w:rsidR="0060443A">
              <w:rPr>
                <w:rFonts w:eastAsia="Times New Roman" w:cs="Times New Roman"/>
                <w:b/>
                <w:szCs w:val="24"/>
                <w:lang w:eastAsia="es-SV"/>
              </w:rPr>
              <w:t>Cecilia Ávila de Lino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, Oficial de Gestión Documental y Archivo. </w:t>
            </w:r>
          </w:p>
          <w:p w:rsidR="00170C91" w:rsidRPr="00173549" w:rsidRDefault="00170C91" w:rsidP="00D0338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2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Con la colaboración de la Unidad de Acceso a la Información Pública</w:t>
            </w:r>
            <w:r w:rsidR="0060443A">
              <w:rPr>
                <w:rFonts w:eastAsia="Times New Roman" w:cs="Times New Roman"/>
                <w:b/>
                <w:szCs w:val="24"/>
                <w:lang w:eastAsia="es-SV"/>
              </w:rPr>
              <w:t>, Unidad de Servicios Generales y Juntas de Vigilancia de las Profesiones en Salud</w:t>
            </w: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 xml:space="preserve">. </w:t>
            </w:r>
          </w:p>
          <w:p w:rsidR="00170C91" w:rsidRDefault="00170C91" w:rsidP="00993EC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2"/>
              <w:jc w:val="both"/>
              <w:rPr>
                <w:rFonts w:eastAsia="Times New Roman" w:cs="Times New Roman"/>
                <w:b/>
                <w:szCs w:val="24"/>
                <w:lang w:eastAsia="es-SV"/>
              </w:rPr>
            </w:pPr>
            <w:r w:rsidRPr="00173549">
              <w:rPr>
                <w:rFonts w:eastAsia="Times New Roman" w:cs="Times New Roman"/>
                <w:b/>
                <w:szCs w:val="24"/>
                <w:lang w:eastAsia="es-SV"/>
              </w:rPr>
              <w:t>Primera versión: 201</w:t>
            </w:r>
            <w:r w:rsidR="0060443A">
              <w:rPr>
                <w:rFonts w:eastAsia="Times New Roman" w:cs="Times New Roman"/>
                <w:b/>
                <w:szCs w:val="24"/>
                <w:lang w:eastAsia="es-SV"/>
              </w:rPr>
              <w:t>6-06</w:t>
            </w:r>
          </w:p>
          <w:p w:rsidR="00993EC8" w:rsidRPr="00173549" w:rsidRDefault="00993EC8" w:rsidP="00993EC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2"/>
              <w:jc w:val="both"/>
            </w:pPr>
            <w:r>
              <w:rPr>
                <w:rFonts w:eastAsia="Times New Roman" w:cs="Times New Roman"/>
                <w:b/>
                <w:szCs w:val="24"/>
                <w:lang w:eastAsia="es-SV"/>
              </w:rPr>
              <w:t>Segunda versión: 2017-02</w:t>
            </w:r>
          </w:p>
        </w:tc>
      </w:tr>
      <w:tr w:rsidR="00170C91" w:rsidRPr="00173549" w:rsidTr="00D03388">
        <w:tc>
          <w:tcPr>
            <w:tcW w:w="8828" w:type="dxa"/>
            <w:gridSpan w:val="3"/>
            <w:shd w:val="clear" w:color="auto" w:fill="4F81BD" w:themeFill="accent1"/>
          </w:tcPr>
          <w:p w:rsidR="00170C91" w:rsidRPr="00173549" w:rsidRDefault="00170C91" w:rsidP="00D03388">
            <w:pPr>
              <w:jc w:val="both"/>
            </w:pPr>
          </w:p>
        </w:tc>
      </w:tr>
    </w:tbl>
    <w:p w:rsidR="0084145F" w:rsidRDefault="0084145F" w:rsidP="0084145F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4145F" w:rsidSect="00857EA5">
      <w:footerReference w:type="default" r:id="rId16"/>
      <w:footerReference w:type="first" r:id="rId17"/>
      <w:pgSz w:w="12240" w:h="15840"/>
      <w:pgMar w:top="709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ACB" w:rsidRDefault="009D2ACB" w:rsidP="00CB2E4B">
      <w:pPr>
        <w:spacing w:after="0" w:line="240" w:lineRule="auto"/>
      </w:pPr>
      <w:r>
        <w:separator/>
      </w:r>
    </w:p>
  </w:endnote>
  <w:endnote w:type="continuationSeparator" w:id="0">
    <w:p w:rsidR="009D2ACB" w:rsidRDefault="009D2ACB" w:rsidP="00CB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745" w:rsidRDefault="00C11745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Guía técnica para la valoración y selección documental CSSP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8567C" w:rsidRPr="00F8567C">
      <w:rPr>
        <w:rFonts w:asciiTheme="majorHAnsi" w:eastAsiaTheme="majorEastAsia" w:hAnsiTheme="majorHAnsi" w:cstheme="majorBidi"/>
        <w:noProof/>
        <w:lang w:val="es-ES"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:rsidR="00C11745" w:rsidRDefault="00C117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745" w:rsidRDefault="009D2ACB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FE1D9EBD8CBB4DB094681BC1FEB06527"/>
        </w:placeholder>
        <w:temporary/>
        <w:showingPlcHdr/>
      </w:sdtPr>
      <w:sdtEndPr/>
      <w:sdtContent>
        <w:r w:rsidR="00C11745">
          <w:rPr>
            <w:rFonts w:asciiTheme="majorHAnsi" w:eastAsiaTheme="majorEastAsia" w:hAnsiTheme="majorHAnsi" w:cstheme="majorBidi"/>
            <w:lang w:val="es-ES"/>
          </w:rPr>
          <w:t>[Escriba texto]</w:t>
        </w:r>
      </w:sdtContent>
    </w:sdt>
    <w:r w:rsidR="00C11745">
      <w:rPr>
        <w:rFonts w:asciiTheme="majorHAnsi" w:eastAsiaTheme="majorEastAsia" w:hAnsiTheme="majorHAnsi" w:cstheme="majorBidi"/>
      </w:rPr>
      <w:ptab w:relativeTo="margin" w:alignment="right" w:leader="none"/>
    </w:r>
    <w:r w:rsidR="00C11745">
      <w:rPr>
        <w:rFonts w:asciiTheme="majorHAnsi" w:eastAsiaTheme="majorEastAsia" w:hAnsiTheme="majorHAnsi" w:cstheme="majorBidi"/>
        <w:lang w:val="es-ES"/>
      </w:rPr>
      <w:t xml:space="preserve">Página </w:t>
    </w:r>
    <w:r w:rsidR="00C11745">
      <w:rPr>
        <w:rFonts w:eastAsiaTheme="minorEastAsia"/>
      </w:rPr>
      <w:fldChar w:fldCharType="begin"/>
    </w:r>
    <w:r w:rsidR="00C11745">
      <w:instrText>PAGE   \* MERGEFORMAT</w:instrText>
    </w:r>
    <w:r w:rsidR="00C11745">
      <w:rPr>
        <w:rFonts w:eastAsiaTheme="minorEastAsia"/>
      </w:rPr>
      <w:fldChar w:fldCharType="separate"/>
    </w:r>
    <w:r w:rsidR="00C11745" w:rsidRPr="00C11745">
      <w:rPr>
        <w:rFonts w:asciiTheme="majorHAnsi" w:eastAsiaTheme="majorEastAsia" w:hAnsiTheme="majorHAnsi" w:cstheme="majorBidi"/>
        <w:noProof/>
        <w:lang w:val="es-ES"/>
      </w:rPr>
      <w:t>3</w:t>
    </w:r>
    <w:r w:rsidR="00C11745">
      <w:rPr>
        <w:rFonts w:asciiTheme="majorHAnsi" w:eastAsiaTheme="majorEastAsia" w:hAnsiTheme="majorHAnsi" w:cstheme="majorBidi"/>
      </w:rPr>
      <w:fldChar w:fldCharType="end"/>
    </w:r>
  </w:p>
  <w:p w:rsidR="00C11745" w:rsidRDefault="00C117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ACB" w:rsidRDefault="009D2ACB" w:rsidP="00CB2E4B">
      <w:pPr>
        <w:spacing w:after="0" w:line="240" w:lineRule="auto"/>
      </w:pPr>
      <w:r>
        <w:separator/>
      </w:r>
    </w:p>
  </w:footnote>
  <w:footnote w:type="continuationSeparator" w:id="0">
    <w:p w:rsidR="009D2ACB" w:rsidRDefault="009D2ACB" w:rsidP="00CB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E4B" w:rsidRPr="00043917" w:rsidRDefault="002B595E" w:rsidP="00CB2E4B">
    <w:pPr>
      <w:pStyle w:val="Encabezado"/>
      <w:jc w:val="right"/>
      <w:rPr>
        <w:rFonts w:ascii="Book Antiqua" w:hAnsi="Book Antiqua"/>
        <w:b/>
        <w:sz w:val="18"/>
      </w:rPr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5644515</wp:posOffset>
          </wp:positionH>
          <wp:positionV relativeFrom="paragraph">
            <wp:posOffset>-97155</wp:posOffset>
          </wp:positionV>
          <wp:extent cx="409575" cy="296545"/>
          <wp:effectExtent l="0" t="0" r="9525" b="8255"/>
          <wp:wrapNone/>
          <wp:docPr id="6" name="Imagen 6" descr="C:\Users\CSSP17\AppData\Local\Microsoft\Windows\INetCacheContent.Word\cssp_logo_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SP17\AppData\Local\Microsoft\Windows\INetCacheContent.Word\cssp_logo_v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18"/>
      </w:rPr>
      <w:t xml:space="preserve">  </w:t>
    </w:r>
    <w:r w:rsidR="00CB2E4B" w:rsidRPr="00043917">
      <w:rPr>
        <w:rFonts w:ascii="Book Antiqua" w:hAnsi="Book Antiqua"/>
        <w:b/>
        <w:sz w:val="18"/>
      </w:rPr>
      <w:t>Consejo Superior de Salud Pública</w:t>
    </w:r>
  </w:p>
  <w:p w:rsidR="00CB2E4B" w:rsidRDefault="00CB2E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25A3"/>
      </v:shape>
    </w:pict>
  </w:numPicBullet>
  <w:abstractNum w:abstractNumId="0" w15:restartNumberingAfterBreak="0">
    <w:nsid w:val="084026F2"/>
    <w:multiLevelType w:val="hybridMultilevel"/>
    <w:tmpl w:val="AF04CE18"/>
    <w:lvl w:ilvl="0" w:tplc="440A0011">
      <w:start w:val="1"/>
      <w:numFmt w:val="decimal"/>
      <w:lvlText w:val="%1)"/>
      <w:lvlJc w:val="left"/>
      <w:pPr>
        <w:ind w:left="1422" w:hanging="360"/>
      </w:pPr>
    </w:lvl>
    <w:lvl w:ilvl="1" w:tplc="440A0019" w:tentative="1">
      <w:start w:val="1"/>
      <w:numFmt w:val="lowerLetter"/>
      <w:lvlText w:val="%2."/>
      <w:lvlJc w:val="left"/>
      <w:pPr>
        <w:ind w:left="2142" w:hanging="360"/>
      </w:pPr>
    </w:lvl>
    <w:lvl w:ilvl="2" w:tplc="440A001B" w:tentative="1">
      <w:start w:val="1"/>
      <w:numFmt w:val="lowerRoman"/>
      <w:lvlText w:val="%3."/>
      <w:lvlJc w:val="right"/>
      <w:pPr>
        <w:ind w:left="2862" w:hanging="180"/>
      </w:pPr>
    </w:lvl>
    <w:lvl w:ilvl="3" w:tplc="440A000F" w:tentative="1">
      <w:start w:val="1"/>
      <w:numFmt w:val="decimal"/>
      <w:lvlText w:val="%4."/>
      <w:lvlJc w:val="left"/>
      <w:pPr>
        <w:ind w:left="3582" w:hanging="360"/>
      </w:pPr>
    </w:lvl>
    <w:lvl w:ilvl="4" w:tplc="440A0019" w:tentative="1">
      <w:start w:val="1"/>
      <w:numFmt w:val="lowerLetter"/>
      <w:lvlText w:val="%5."/>
      <w:lvlJc w:val="left"/>
      <w:pPr>
        <w:ind w:left="4302" w:hanging="360"/>
      </w:pPr>
    </w:lvl>
    <w:lvl w:ilvl="5" w:tplc="440A001B" w:tentative="1">
      <w:start w:val="1"/>
      <w:numFmt w:val="lowerRoman"/>
      <w:lvlText w:val="%6."/>
      <w:lvlJc w:val="right"/>
      <w:pPr>
        <w:ind w:left="5022" w:hanging="180"/>
      </w:pPr>
    </w:lvl>
    <w:lvl w:ilvl="6" w:tplc="440A000F" w:tentative="1">
      <w:start w:val="1"/>
      <w:numFmt w:val="decimal"/>
      <w:lvlText w:val="%7."/>
      <w:lvlJc w:val="left"/>
      <w:pPr>
        <w:ind w:left="5742" w:hanging="360"/>
      </w:pPr>
    </w:lvl>
    <w:lvl w:ilvl="7" w:tplc="440A0019" w:tentative="1">
      <w:start w:val="1"/>
      <w:numFmt w:val="lowerLetter"/>
      <w:lvlText w:val="%8."/>
      <w:lvlJc w:val="left"/>
      <w:pPr>
        <w:ind w:left="6462" w:hanging="360"/>
      </w:pPr>
    </w:lvl>
    <w:lvl w:ilvl="8" w:tplc="4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" w15:restartNumberingAfterBreak="0">
    <w:nsid w:val="0C194BDB"/>
    <w:multiLevelType w:val="hybridMultilevel"/>
    <w:tmpl w:val="98905952"/>
    <w:lvl w:ilvl="0" w:tplc="44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" w15:restartNumberingAfterBreak="0">
    <w:nsid w:val="0CAA02F3"/>
    <w:multiLevelType w:val="hybridMultilevel"/>
    <w:tmpl w:val="9894E926"/>
    <w:lvl w:ilvl="0" w:tplc="440A0019">
      <w:start w:val="1"/>
      <w:numFmt w:val="lowerLetter"/>
      <w:lvlText w:val="%1."/>
      <w:lvlJc w:val="left"/>
      <w:pPr>
        <w:ind w:left="1062" w:hanging="360"/>
      </w:pPr>
    </w:lvl>
    <w:lvl w:ilvl="1" w:tplc="440A0019" w:tentative="1">
      <w:start w:val="1"/>
      <w:numFmt w:val="lowerLetter"/>
      <w:lvlText w:val="%2."/>
      <w:lvlJc w:val="left"/>
      <w:pPr>
        <w:ind w:left="1782" w:hanging="360"/>
      </w:pPr>
    </w:lvl>
    <w:lvl w:ilvl="2" w:tplc="440A001B" w:tentative="1">
      <w:start w:val="1"/>
      <w:numFmt w:val="lowerRoman"/>
      <w:lvlText w:val="%3."/>
      <w:lvlJc w:val="right"/>
      <w:pPr>
        <w:ind w:left="2502" w:hanging="180"/>
      </w:pPr>
    </w:lvl>
    <w:lvl w:ilvl="3" w:tplc="440A000F" w:tentative="1">
      <w:start w:val="1"/>
      <w:numFmt w:val="decimal"/>
      <w:lvlText w:val="%4."/>
      <w:lvlJc w:val="left"/>
      <w:pPr>
        <w:ind w:left="3222" w:hanging="360"/>
      </w:pPr>
    </w:lvl>
    <w:lvl w:ilvl="4" w:tplc="440A0019" w:tentative="1">
      <w:start w:val="1"/>
      <w:numFmt w:val="lowerLetter"/>
      <w:lvlText w:val="%5."/>
      <w:lvlJc w:val="left"/>
      <w:pPr>
        <w:ind w:left="3942" w:hanging="360"/>
      </w:pPr>
    </w:lvl>
    <w:lvl w:ilvl="5" w:tplc="440A001B" w:tentative="1">
      <w:start w:val="1"/>
      <w:numFmt w:val="lowerRoman"/>
      <w:lvlText w:val="%6."/>
      <w:lvlJc w:val="right"/>
      <w:pPr>
        <w:ind w:left="4662" w:hanging="180"/>
      </w:pPr>
    </w:lvl>
    <w:lvl w:ilvl="6" w:tplc="440A000F" w:tentative="1">
      <w:start w:val="1"/>
      <w:numFmt w:val="decimal"/>
      <w:lvlText w:val="%7."/>
      <w:lvlJc w:val="left"/>
      <w:pPr>
        <w:ind w:left="5382" w:hanging="360"/>
      </w:pPr>
    </w:lvl>
    <w:lvl w:ilvl="7" w:tplc="440A0019" w:tentative="1">
      <w:start w:val="1"/>
      <w:numFmt w:val="lowerLetter"/>
      <w:lvlText w:val="%8."/>
      <w:lvlJc w:val="left"/>
      <w:pPr>
        <w:ind w:left="6102" w:hanging="360"/>
      </w:pPr>
    </w:lvl>
    <w:lvl w:ilvl="8" w:tplc="44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0ED53760"/>
    <w:multiLevelType w:val="hybridMultilevel"/>
    <w:tmpl w:val="58AAE21A"/>
    <w:lvl w:ilvl="0" w:tplc="440A0019">
      <w:start w:val="1"/>
      <w:numFmt w:val="lowerLetter"/>
      <w:lvlText w:val="%1."/>
      <w:lvlJc w:val="left"/>
      <w:pPr>
        <w:ind w:left="1782" w:hanging="360"/>
      </w:pPr>
    </w:lvl>
    <w:lvl w:ilvl="1" w:tplc="440A0019" w:tentative="1">
      <w:start w:val="1"/>
      <w:numFmt w:val="lowerLetter"/>
      <w:lvlText w:val="%2."/>
      <w:lvlJc w:val="left"/>
      <w:pPr>
        <w:ind w:left="2502" w:hanging="360"/>
      </w:pPr>
    </w:lvl>
    <w:lvl w:ilvl="2" w:tplc="440A001B" w:tentative="1">
      <w:start w:val="1"/>
      <w:numFmt w:val="lowerRoman"/>
      <w:lvlText w:val="%3."/>
      <w:lvlJc w:val="right"/>
      <w:pPr>
        <w:ind w:left="3222" w:hanging="180"/>
      </w:pPr>
    </w:lvl>
    <w:lvl w:ilvl="3" w:tplc="440A000F" w:tentative="1">
      <w:start w:val="1"/>
      <w:numFmt w:val="decimal"/>
      <w:lvlText w:val="%4."/>
      <w:lvlJc w:val="left"/>
      <w:pPr>
        <w:ind w:left="3942" w:hanging="360"/>
      </w:pPr>
    </w:lvl>
    <w:lvl w:ilvl="4" w:tplc="440A0019" w:tentative="1">
      <w:start w:val="1"/>
      <w:numFmt w:val="lowerLetter"/>
      <w:lvlText w:val="%5."/>
      <w:lvlJc w:val="left"/>
      <w:pPr>
        <w:ind w:left="4662" w:hanging="360"/>
      </w:pPr>
    </w:lvl>
    <w:lvl w:ilvl="5" w:tplc="440A001B" w:tentative="1">
      <w:start w:val="1"/>
      <w:numFmt w:val="lowerRoman"/>
      <w:lvlText w:val="%6."/>
      <w:lvlJc w:val="right"/>
      <w:pPr>
        <w:ind w:left="5382" w:hanging="180"/>
      </w:pPr>
    </w:lvl>
    <w:lvl w:ilvl="6" w:tplc="440A000F" w:tentative="1">
      <w:start w:val="1"/>
      <w:numFmt w:val="decimal"/>
      <w:lvlText w:val="%7."/>
      <w:lvlJc w:val="left"/>
      <w:pPr>
        <w:ind w:left="6102" w:hanging="360"/>
      </w:pPr>
    </w:lvl>
    <w:lvl w:ilvl="7" w:tplc="440A0019" w:tentative="1">
      <w:start w:val="1"/>
      <w:numFmt w:val="lowerLetter"/>
      <w:lvlText w:val="%8."/>
      <w:lvlJc w:val="left"/>
      <w:pPr>
        <w:ind w:left="6822" w:hanging="360"/>
      </w:pPr>
    </w:lvl>
    <w:lvl w:ilvl="8" w:tplc="440A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" w15:restartNumberingAfterBreak="0">
    <w:nsid w:val="1BFF42B5"/>
    <w:multiLevelType w:val="hybridMultilevel"/>
    <w:tmpl w:val="B93CA4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4CD"/>
    <w:multiLevelType w:val="hybridMultilevel"/>
    <w:tmpl w:val="74AEB4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54180"/>
    <w:multiLevelType w:val="hybridMultilevel"/>
    <w:tmpl w:val="F6FCCB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121"/>
    <w:multiLevelType w:val="hybridMultilevel"/>
    <w:tmpl w:val="2B5A8C2C"/>
    <w:lvl w:ilvl="0" w:tplc="440A0011">
      <w:start w:val="1"/>
      <w:numFmt w:val="decimal"/>
      <w:lvlText w:val="%1)"/>
      <w:lvlJc w:val="left"/>
      <w:pPr>
        <w:ind w:left="1422" w:hanging="360"/>
      </w:pPr>
    </w:lvl>
    <w:lvl w:ilvl="1" w:tplc="440A0019" w:tentative="1">
      <w:start w:val="1"/>
      <w:numFmt w:val="lowerLetter"/>
      <w:lvlText w:val="%2."/>
      <w:lvlJc w:val="left"/>
      <w:pPr>
        <w:ind w:left="2142" w:hanging="360"/>
      </w:pPr>
    </w:lvl>
    <w:lvl w:ilvl="2" w:tplc="440A001B" w:tentative="1">
      <w:start w:val="1"/>
      <w:numFmt w:val="lowerRoman"/>
      <w:lvlText w:val="%3."/>
      <w:lvlJc w:val="right"/>
      <w:pPr>
        <w:ind w:left="2862" w:hanging="180"/>
      </w:pPr>
    </w:lvl>
    <w:lvl w:ilvl="3" w:tplc="440A000F" w:tentative="1">
      <w:start w:val="1"/>
      <w:numFmt w:val="decimal"/>
      <w:lvlText w:val="%4."/>
      <w:lvlJc w:val="left"/>
      <w:pPr>
        <w:ind w:left="3582" w:hanging="360"/>
      </w:pPr>
    </w:lvl>
    <w:lvl w:ilvl="4" w:tplc="440A0019" w:tentative="1">
      <w:start w:val="1"/>
      <w:numFmt w:val="lowerLetter"/>
      <w:lvlText w:val="%5."/>
      <w:lvlJc w:val="left"/>
      <w:pPr>
        <w:ind w:left="4302" w:hanging="360"/>
      </w:pPr>
    </w:lvl>
    <w:lvl w:ilvl="5" w:tplc="440A001B" w:tentative="1">
      <w:start w:val="1"/>
      <w:numFmt w:val="lowerRoman"/>
      <w:lvlText w:val="%6."/>
      <w:lvlJc w:val="right"/>
      <w:pPr>
        <w:ind w:left="5022" w:hanging="180"/>
      </w:pPr>
    </w:lvl>
    <w:lvl w:ilvl="6" w:tplc="440A000F" w:tentative="1">
      <w:start w:val="1"/>
      <w:numFmt w:val="decimal"/>
      <w:lvlText w:val="%7."/>
      <w:lvlJc w:val="left"/>
      <w:pPr>
        <w:ind w:left="5742" w:hanging="360"/>
      </w:pPr>
    </w:lvl>
    <w:lvl w:ilvl="7" w:tplc="440A0019" w:tentative="1">
      <w:start w:val="1"/>
      <w:numFmt w:val="lowerLetter"/>
      <w:lvlText w:val="%8."/>
      <w:lvlJc w:val="left"/>
      <w:pPr>
        <w:ind w:left="6462" w:hanging="360"/>
      </w:pPr>
    </w:lvl>
    <w:lvl w:ilvl="8" w:tplc="4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8" w15:restartNumberingAfterBreak="0">
    <w:nsid w:val="28410B6A"/>
    <w:multiLevelType w:val="hybridMultilevel"/>
    <w:tmpl w:val="ADD44B6A"/>
    <w:lvl w:ilvl="0" w:tplc="730E49B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953E4"/>
    <w:multiLevelType w:val="hybridMultilevel"/>
    <w:tmpl w:val="B4EAF4C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8302B"/>
    <w:multiLevelType w:val="hybridMultilevel"/>
    <w:tmpl w:val="57084522"/>
    <w:lvl w:ilvl="0" w:tplc="440A0019">
      <w:start w:val="1"/>
      <w:numFmt w:val="lowerLetter"/>
      <w:lvlText w:val="%1."/>
      <w:lvlJc w:val="left"/>
      <w:pPr>
        <w:ind w:left="1782" w:hanging="360"/>
      </w:pPr>
    </w:lvl>
    <w:lvl w:ilvl="1" w:tplc="440A0019" w:tentative="1">
      <w:start w:val="1"/>
      <w:numFmt w:val="lowerLetter"/>
      <w:lvlText w:val="%2."/>
      <w:lvlJc w:val="left"/>
      <w:pPr>
        <w:ind w:left="2502" w:hanging="360"/>
      </w:pPr>
    </w:lvl>
    <w:lvl w:ilvl="2" w:tplc="440A001B" w:tentative="1">
      <w:start w:val="1"/>
      <w:numFmt w:val="lowerRoman"/>
      <w:lvlText w:val="%3."/>
      <w:lvlJc w:val="right"/>
      <w:pPr>
        <w:ind w:left="3222" w:hanging="180"/>
      </w:pPr>
    </w:lvl>
    <w:lvl w:ilvl="3" w:tplc="440A000F" w:tentative="1">
      <w:start w:val="1"/>
      <w:numFmt w:val="decimal"/>
      <w:lvlText w:val="%4."/>
      <w:lvlJc w:val="left"/>
      <w:pPr>
        <w:ind w:left="3942" w:hanging="360"/>
      </w:pPr>
    </w:lvl>
    <w:lvl w:ilvl="4" w:tplc="440A0019" w:tentative="1">
      <w:start w:val="1"/>
      <w:numFmt w:val="lowerLetter"/>
      <w:lvlText w:val="%5."/>
      <w:lvlJc w:val="left"/>
      <w:pPr>
        <w:ind w:left="4662" w:hanging="360"/>
      </w:pPr>
    </w:lvl>
    <w:lvl w:ilvl="5" w:tplc="440A001B" w:tentative="1">
      <w:start w:val="1"/>
      <w:numFmt w:val="lowerRoman"/>
      <w:lvlText w:val="%6."/>
      <w:lvlJc w:val="right"/>
      <w:pPr>
        <w:ind w:left="5382" w:hanging="180"/>
      </w:pPr>
    </w:lvl>
    <w:lvl w:ilvl="6" w:tplc="440A000F" w:tentative="1">
      <w:start w:val="1"/>
      <w:numFmt w:val="decimal"/>
      <w:lvlText w:val="%7."/>
      <w:lvlJc w:val="left"/>
      <w:pPr>
        <w:ind w:left="6102" w:hanging="360"/>
      </w:pPr>
    </w:lvl>
    <w:lvl w:ilvl="7" w:tplc="440A0019" w:tentative="1">
      <w:start w:val="1"/>
      <w:numFmt w:val="lowerLetter"/>
      <w:lvlText w:val="%8."/>
      <w:lvlJc w:val="left"/>
      <w:pPr>
        <w:ind w:left="6822" w:hanging="360"/>
      </w:pPr>
    </w:lvl>
    <w:lvl w:ilvl="8" w:tplc="440A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3E237DF4"/>
    <w:multiLevelType w:val="hybridMultilevel"/>
    <w:tmpl w:val="B7DE4F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A1F7A"/>
    <w:multiLevelType w:val="hybridMultilevel"/>
    <w:tmpl w:val="7ABE45F2"/>
    <w:lvl w:ilvl="0" w:tplc="440A0019">
      <w:start w:val="1"/>
      <w:numFmt w:val="lowerLetter"/>
      <w:lvlText w:val="%1."/>
      <w:lvlJc w:val="left"/>
      <w:pPr>
        <w:ind w:left="1422" w:hanging="360"/>
      </w:pPr>
    </w:lvl>
    <w:lvl w:ilvl="1" w:tplc="440A0019" w:tentative="1">
      <w:start w:val="1"/>
      <w:numFmt w:val="lowerLetter"/>
      <w:lvlText w:val="%2."/>
      <w:lvlJc w:val="left"/>
      <w:pPr>
        <w:ind w:left="2142" w:hanging="360"/>
      </w:pPr>
    </w:lvl>
    <w:lvl w:ilvl="2" w:tplc="440A001B" w:tentative="1">
      <w:start w:val="1"/>
      <w:numFmt w:val="lowerRoman"/>
      <w:lvlText w:val="%3."/>
      <w:lvlJc w:val="right"/>
      <w:pPr>
        <w:ind w:left="2862" w:hanging="180"/>
      </w:pPr>
    </w:lvl>
    <w:lvl w:ilvl="3" w:tplc="440A000F" w:tentative="1">
      <w:start w:val="1"/>
      <w:numFmt w:val="decimal"/>
      <w:lvlText w:val="%4."/>
      <w:lvlJc w:val="left"/>
      <w:pPr>
        <w:ind w:left="3582" w:hanging="360"/>
      </w:pPr>
    </w:lvl>
    <w:lvl w:ilvl="4" w:tplc="440A0019" w:tentative="1">
      <w:start w:val="1"/>
      <w:numFmt w:val="lowerLetter"/>
      <w:lvlText w:val="%5."/>
      <w:lvlJc w:val="left"/>
      <w:pPr>
        <w:ind w:left="4302" w:hanging="360"/>
      </w:pPr>
    </w:lvl>
    <w:lvl w:ilvl="5" w:tplc="440A001B" w:tentative="1">
      <w:start w:val="1"/>
      <w:numFmt w:val="lowerRoman"/>
      <w:lvlText w:val="%6."/>
      <w:lvlJc w:val="right"/>
      <w:pPr>
        <w:ind w:left="5022" w:hanging="180"/>
      </w:pPr>
    </w:lvl>
    <w:lvl w:ilvl="6" w:tplc="440A000F" w:tentative="1">
      <w:start w:val="1"/>
      <w:numFmt w:val="decimal"/>
      <w:lvlText w:val="%7."/>
      <w:lvlJc w:val="left"/>
      <w:pPr>
        <w:ind w:left="5742" w:hanging="360"/>
      </w:pPr>
    </w:lvl>
    <w:lvl w:ilvl="7" w:tplc="440A0019" w:tentative="1">
      <w:start w:val="1"/>
      <w:numFmt w:val="lowerLetter"/>
      <w:lvlText w:val="%8."/>
      <w:lvlJc w:val="left"/>
      <w:pPr>
        <w:ind w:left="6462" w:hanging="360"/>
      </w:pPr>
    </w:lvl>
    <w:lvl w:ilvl="8" w:tplc="4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3" w15:restartNumberingAfterBreak="0">
    <w:nsid w:val="41077857"/>
    <w:multiLevelType w:val="hybridMultilevel"/>
    <w:tmpl w:val="C57E3036"/>
    <w:lvl w:ilvl="0" w:tplc="440A0011">
      <w:start w:val="1"/>
      <w:numFmt w:val="decimal"/>
      <w:lvlText w:val="%1)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7311F1"/>
    <w:multiLevelType w:val="hybridMultilevel"/>
    <w:tmpl w:val="E44CD6DA"/>
    <w:lvl w:ilvl="0" w:tplc="06EA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0E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581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67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E6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DAC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AA6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808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CCC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E2047"/>
    <w:multiLevelType w:val="hybridMultilevel"/>
    <w:tmpl w:val="E99244AA"/>
    <w:lvl w:ilvl="0" w:tplc="440A0019">
      <w:start w:val="1"/>
      <w:numFmt w:val="lowerLetter"/>
      <w:lvlText w:val="%1."/>
      <w:lvlJc w:val="left"/>
      <w:pPr>
        <w:ind w:left="1062" w:hanging="360"/>
      </w:pPr>
    </w:lvl>
    <w:lvl w:ilvl="1" w:tplc="440A0019">
      <w:start w:val="1"/>
      <w:numFmt w:val="lowerLetter"/>
      <w:lvlText w:val="%2."/>
      <w:lvlJc w:val="left"/>
      <w:pPr>
        <w:ind w:left="1782" w:hanging="360"/>
      </w:pPr>
    </w:lvl>
    <w:lvl w:ilvl="2" w:tplc="440A001B" w:tentative="1">
      <w:start w:val="1"/>
      <w:numFmt w:val="lowerRoman"/>
      <w:lvlText w:val="%3."/>
      <w:lvlJc w:val="right"/>
      <w:pPr>
        <w:ind w:left="2502" w:hanging="180"/>
      </w:pPr>
    </w:lvl>
    <w:lvl w:ilvl="3" w:tplc="440A000F" w:tentative="1">
      <w:start w:val="1"/>
      <w:numFmt w:val="decimal"/>
      <w:lvlText w:val="%4."/>
      <w:lvlJc w:val="left"/>
      <w:pPr>
        <w:ind w:left="3222" w:hanging="360"/>
      </w:pPr>
    </w:lvl>
    <w:lvl w:ilvl="4" w:tplc="440A0019" w:tentative="1">
      <w:start w:val="1"/>
      <w:numFmt w:val="lowerLetter"/>
      <w:lvlText w:val="%5."/>
      <w:lvlJc w:val="left"/>
      <w:pPr>
        <w:ind w:left="3942" w:hanging="360"/>
      </w:pPr>
    </w:lvl>
    <w:lvl w:ilvl="5" w:tplc="440A001B" w:tentative="1">
      <w:start w:val="1"/>
      <w:numFmt w:val="lowerRoman"/>
      <w:lvlText w:val="%6."/>
      <w:lvlJc w:val="right"/>
      <w:pPr>
        <w:ind w:left="4662" w:hanging="180"/>
      </w:pPr>
    </w:lvl>
    <w:lvl w:ilvl="6" w:tplc="440A000F" w:tentative="1">
      <w:start w:val="1"/>
      <w:numFmt w:val="decimal"/>
      <w:lvlText w:val="%7."/>
      <w:lvlJc w:val="left"/>
      <w:pPr>
        <w:ind w:left="5382" w:hanging="360"/>
      </w:pPr>
    </w:lvl>
    <w:lvl w:ilvl="7" w:tplc="440A0019" w:tentative="1">
      <w:start w:val="1"/>
      <w:numFmt w:val="lowerLetter"/>
      <w:lvlText w:val="%8."/>
      <w:lvlJc w:val="left"/>
      <w:pPr>
        <w:ind w:left="6102" w:hanging="360"/>
      </w:pPr>
    </w:lvl>
    <w:lvl w:ilvl="8" w:tplc="44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6CB6BC6"/>
    <w:multiLevelType w:val="hybridMultilevel"/>
    <w:tmpl w:val="A97EE8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121C5"/>
    <w:multiLevelType w:val="hybridMultilevel"/>
    <w:tmpl w:val="0B3E8EC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B0E88"/>
    <w:multiLevelType w:val="hybridMultilevel"/>
    <w:tmpl w:val="530C77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A44AF"/>
    <w:multiLevelType w:val="hybridMultilevel"/>
    <w:tmpl w:val="2DB61584"/>
    <w:lvl w:ilvl="0" w:tplc="440A000F">
      <w:start w:val="1"/>
      <w:numFmt w:val="decimal"/>
      <w:lvlText w:val="%1."/>
      <w:lvlJc w:val="left"/>
      <w:pPr>
        <w:ind w:left="-66" w:hanging="360"/>
      </w:pPr>
    </w:lvl>
    <w:lvl w:ilvl="1" w:tplc="440A0019" w:tentative="1">
      <w:start w:val="1"/>
      <w:numFmt w:val="lowerLetter"/>
      <w:lvlText w:val="%2."/>
      <w:lvlJc w:val="left"/>
      <w:pPr>
        <w:ind w:left="654" w:hanging="360"/>
      </w:pPr>
    </w:lvl>
    <w:lvl w:ilvl="2" w:tplc="440A001B" w:tentative="1">
      <w:start w:val="1"/>
      <w:numFmt w:val="lowerRoman"/>
      <w:lvlText w:val="%3."/>
      <w:lvlJc w:val="right"/>
      <w:pPr>
        <w:ind w:left="1374" w:hanging="180"/>
      </w:pPr>
    </w:lvl>
    <w:lvl w:ilvl="3" w:tplc="440A000F" w:tentative="1">
      <w:start w:val="1"/>
      <w:numFmt w:val="decimal"/>
      <w:lvlText w:val="%4."/>
      <w:lvlJc w:val="left"/>
      <w:pPr>
        <w:ind w:left="2094" w:hanging="360"/>
      </w:pPr>
    </w:lvl>
    <w:lvl w:ilvl="4" w:tplc="440A0019" w:tentative="1">
      <w:start w:val="1"/>
      <w:numFmt w:val="lowerLetter"/>
      <w:lvlText w:val="%5."/>
      <w:lvlJc w:val="left"/>
      <w:pPr>
        <w:ind w:left="2814" w:hanging="360"/>
      </w:pPr>
    </w:lvl>
    <w:lvl w:ilvl="5" w:tplc="440A001B" w:tentative="1">
      <w:start w:val="1"/>
      <w:numFmt w:val="lowerRoman"/>
      <w:lvlText w:val="%6."/>
      <w:lvlJc w:val="right"/>
      <w:pPr>
        <w:ind w:left="3534" w:hanging="180"/>
      </w:pPr>
    </w:lvl>
    <w:lvl w:ilvl="6" w:tplc="440A000F" w:tentative="1">
      <w:start w:val="1"/>
      <w:numFmt w:val="decimal"/>
      <w:lvlText w:val="%7."/>
      <w:lvlJc w:val="left"/>
      <w:pPr>
        <w:ind w:left="4254" w:hanging="360"/>
      </w:pPr>
    </w:lvl>
    <w:lvl w:ilvl="7" w:tplc="440A0019" w:tentative="1">
      <w:start w:val="1"/>
      <w:numFmt w:val="lowerLetter"/>
      <w:lvlText w:val="%8."/>
      <w:lvlJc w:val="left"/>
      <w:pPr>
        <w:ind w:left="4974" w:hanging="360"/>
      </w:pPr>
    </w:lvl>
    <w:lvl w:ilvl="8" w:tplc="4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6E0A4F18"/>
    <w:multiLevelType w:val="hybridMultilevel"/>
    <w:tmpl w:val="1116C196"/>
    <w:lvl w:ilvl="0" w:tplc="440A0011">
      <w:start w:val="1"/>
      <w:numFmt w:val="decimal"/>
      <w:lvlText w:val="%1)"/>
      <w:lvlJc w:val="left"/>
      <w:pPr>
        <w:ind w:left="1782" w:hanging="360"/>
      </w:pPr>
    </w:lvl>
    <w:lvl w:ilvl="1" w:tplc="440A0019" w:tentative="1">
      <w:start w:val="1"/>
      <w:numFmt w:val="lowerLetter"/>
      <w:lvlText w:val="%2."/>
      <w:lvlJc w:val="left"/>
      <w:pPr>
        <w:ind w:left="2502" w:hanging="360"/>
      </w:pPr>
    </w:lvl>
    <w:lvl w:ilvl="2" w:tplc="440A001B" w:tentative="1">
      <w:start w:val="1"/>
      <w:numFmt w:val="lowerRoman"/>
      <w:lvlText w:val="%3."/>
      <w:lvlJc w:val="right"/>
      <w:pPr>
        <w:ind w:left="3222" w:hanging="180"/>
      </w:pPr>
    </w:lvl>
    <w:lvl w:ilvl="3" w:tplc="440A000F" w:tentative="1">
      <w:start w:val="1"/>
      <w:numFmt w:val="decimal"/>
      <w:lvlText w:val="%4."/>
      <w:lvlJc w:val="left"/>
      <w:pPr>
        <w:ind w:left="3942" w:hanging="360"/>
      </w:pPr>
    </w:lvl>
    <w:lvl w:ilvl="4" w:tplc="440A0019" w:tentative="1">
      <w:start w:val="1"/>
      <w:numFmt w:val="lowerLetter"/>
      <w:lvlText w:val="%5."/>
      <w:lvlJc w:val="left"/>
      <w:pPr>
        <w:ind w:left="4662" w:hanging="360"/>
      </w:pPr>
    </w:lvl>
    <w:lvl w:ilvl="5" w:tplc="440A001B" w:tentative="1">
      <w:start w:val="1"/>
      <w:numFmt w:val="lowerRoman"/>
      <w:lvlText w:val="%6."/>
      <w:lvlJc w:val="right"/>
      <w:pPr>
        <w:ind w:left="5382" w:hanging="180"/>
      </w:pPr>
    </w:lvl>
    <w:lvl w:ilvl="6" w:tplc="440A000F" w:tentative="1">
      <w:start w:val="1"/>
      <w:numFmt w:val="decimal"/>
      <w:lvlText w:val="%7."/>
      <w:lvlJc w:val="left"/>
      <w:pPr>
        <w:ind w:left="6102" w:hanging="360"/>
      </w:pPr>
    </w:lvl>
    <w:lvl w:ilvl="7" w:tplc="440A0019" w:tentative="1">
      <w:start w:val="1"/>
      <w:numFmt w:val="lowerLetter"/>
      <w:lvlText w:val="%8."/>
      <w:lvlJc w:val="left"/>
      <w:pPr>
        <w:ind w:left="6822" w:hanging="360"/>
      </w:pPr>
    </w:lvl>
    <w:lvl w:ilvl="8" w:tplc="440A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1" w15:restartNumberingAfterBreak="0">
    <w:nsid w:val="79045304"/>
    <w:multiLevelType w:val="hybridMultilevel"/>
    <w:tmpl w:val="24449DD0"/>
    <w:lvl w:ilvl="0" w:tplc="C4904D78">
      <w:start w:val="1"/>
      <w:numFmt w:val="lowerLetter"/>
      <w:lvlText w:val="%1."/>
      <w:lvlJc w:val="left"/>
      <w:pPr>
        <w:ind w:left="702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22" w:hanging="360"/>
      </w:pPr>
    </w:lvl>
    <w:lvl w:ilvl="2" w:tplc="440A001B" w:tentative="1">
      <w:start w:val="1"/>
      <w:numFmt w:val="lowerRoman"/>
      <w:lvlText w:val="%3."/>
      <w:lvlJc w:val="right"/>
      <w:pPr>
        <w:ind w:left="2142" w:hanging="180"/>
      </w:pPr>
    </w:lvl>
    <w:lvl w:ilvl="3" w:tplc="440A000F" w:tentative="1">
      <w:start w:val="1"/>
      <w:numFmt w:val="decimal"/>
      <w:lvlText w:val="%4."/>
      <w:lvlJc w:val="left"/>
      <w:pPr>
        <w:ind w:left="2862" w:hanging="360"/>
      </w:pPr>
    </w:lvl>
    <w:lvl w:ilvl="4" w:tplc="440A0019" w:tentative="1">
      <w:start w:val="1"/>
      <w:numFmt w:val="lowerLetter"/>
      <w:lvlText w:val="%5."/>
      <w:lvlJc w:val="left"/>
      <w:pPr>
        <w:ind w:left="3582" w:hanging="360"/>
      </w:pPr>
    </w:lvl>
    <w:lvl w:ilvl="5" w:tplc="440A001B" w:tentative="1">
      <w:start w:val="1"/>
      <w:numFmt w:val="lowerRoman"/>
      <w:lvlText w:val="%6."/>
      <w:lvlJc w:val="right"/>
      <w:pPr>
        <w:ind w:left="4302" w:hanging="180"/>
      </w:pPr>
    </w:lvl>
    <w:lvl w:ilvl="6" w:tplc="440A000F" w:tentative="1">
      <w:start w:val="1"/>
      <w:numFmt w:val="decimal"/>
      <w:lvlText w:val="%7."/>
      <w:lvlJc w:val="left"/>
      <w:pPr>
        <w:ind w:left="5022" w:hanging="360"/>
      </w:pPr>
    </w:lvl>
    <w:lvl w:ilvl="7" w:tplc="440A0019" w:tentative="1">
      <w:start w:val="1"/>
      <w:numFmt w:val="lowerLetter"/>
      <w:lvlText w:val="%8."/>
      <w:lvlJc w:val="left"/>
      <w:pPr>
        <w:ind w:left="5742" w:hanging="360"/>
      </w:pPr>
    </w:lvl>
    <w:lvl w:ilvl="8" w:tplc="4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7F344FD9"/>
    <w:multiLevelType w:val="hybridMultilevel"/>
    <w:tmpl w:val="FB06DF32"/>
    <w:lvl w:ilvl="0" w:tplc="440A0019">
      <w:start w:val="1"/>
      <w:numFmt w:val="lowerLetter"/>
      <w:lvlText w:val="%1."/>
      <w:lvlJc w:val="left"/>
      <w:pPr>
        <w:ind w:left="1062" w:hanging="360"/>
      </w:pPr>
    </w:lvl>
    <w:lvl w:ilvl="1" w:tplc="440A0019" w:tentative="1">
      <w:start w:val="1"/>
      <w:numFmt w:val="lowerLetter"/>
      <w:lvlText w:val="%2."/>
      <w:lvlJc w:val="left"/>
      <w:pPr>
        <w:ind w:left="1782" w:hanging="360"/>
      </w:pPr>
    </w:lvl>
    <w:lvl w:ilvl="2" w:tplc="440A001B" w:tentative="1">
      <w:start w:val="1"/>
      <w:numFmt w:val="lowerRoman"/>
      <w:lvlText w:val="%3."/>
      <w:lvlJc w:val="right"/>
      <w:pPr>
        <w:ind w:left="2502" w:hanging="180"/>
      </w:pPr>
    </w:lvl>
    <w:lvl w:ilvl="3" w:tplc="440A000F" w:tentative="1">
      <w:start w:val="1"/>
      <w:numFmt w:val="decimal"/>
      <w:lvlText w:val="%4."/>
      <w:lvlJc w:val="left"/>
      <w:pPr>
        <w:ind w:left="3222" w:hanging="360"/>
      </w:pPr>
    </w:lvl>
    <w:lvl w:ilvl="4" w:tplc="440A0019" w:tentative="1">
      <w:start w:val="1"/>
      <w:numFmt w:val="lowerLetter"/>
      <w:lvlText w:val="%5."/>
      <w:lvlJc w:val="left"/>
      <w:pPr>
        <w:ind w:left="3942" w:hanging="360"/>
      </w:pPr>
    </w:lvl>
    <w:lvl w:ilvl="5" w:tplc="440A001B" w:tentative="1">
      <w:start w:val="1"/>
      <w:numFmt w:val="lowerRoman"/>
      <w:lvlText w:val="%6."/>
      <w:lvlJc w:val="right"/>
      <w:pPr>
        <w:ind w:left="4662" w:hanging="180"/>
      </w:pPr>
    </w:lvl>
    <w:lvl w:ilvl="6" w:tplc="440A000F" w:tentative="1">
      <w:start w:val="1"/>
      <w:numFmt w:val="decimal"/>
      <w:lvlText w:val="%7."/>
      <w:lvlJc w:val="left"/>
      <w:pPr>
        <w:ind w:left="5382" w:hanging="360"/>
      </w:pPr>
    </w:lvl>
    <w:lvl w:ilvl="7" w:tplc="440A0019" w:tentative="1">
      <w:start w:val="1"/>
      <w:numFmt w:val="lowerLetter"/>
      <w:lvlText w:val="%8."/>
      <w:lvlJc w:val="left"/>
      <w:pPr>
        <w:ind w:left="6102" w:hanging="360"/>
      </w:pPr>
    </w:lvl>
    <w:lvl w:ilvl="8" w:tplc="440A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9"/>
  </w:num>
  <w:num w:numId="2">
    <w:abstractNumId w:val="2"/>
  </w:num>
  <w:num w:numId="3">
    <w:abstractNumId w:val="22"/>
  </w:num>
  <w:num w:numId="4">
    <w:abstractNumId w:val="5"/>
  </w:num>
  <w:num w:numId="5">
    <w:abstractNumId w:val="1"/>
  </w:num>
  <w:num w:numId="6">
    <w:abstractNumId w:val="14"/>
  </w:num>
  <w:num w:numId="7">
    <w:abstractNumId w:val="10"/>
  </w:num>
  <w:num w:numId="8">
    <w:abstractNumId w:val="3"/>
  </w:num>
  <w:num w:numId="9">
    <w:abstractNumId w:val="12"/>
  </w:num>
  <w:num w:numId="10">
    <w:abstractNumId w:val="21"/>
  </w:num>
  <w:num w:numId="11">
    <w:abstractNumId w:val="15"/>
  </w:num>
  <w:num w:numId="12">
    <w:abstractNumId w:val="16"/>
  </w:num>
  <w:num w:numId="13">
    <w:abstractNumId w:val="7"/>
  </w:num>
  <w:num w:numId="14">
    <w:abstractNumId w:val="0"/>
  </w:num>
  <w:num w:numId="15">
    <w:abstractNumId w:val="8"/>
  </w:num>
  <w:num w:numId="16">
    <w:abstractNumId w:val="13"/>
  </w:num>
  <w:num w:numId="17">
    <w:abstractNumId w:val="20"/>
  </w:num>
  <w:num w:numId="18">
    <w:abstractNumId w:val="11"/>
  </w:num>
  <w:num w:numId="19">
    <w:abstractNumId w:val="4"/>
  </w:num>
  <w:num w:numId="20">
    <w:abstractNumId w:val="18"/>
  </w:num>
  <w:num w:numId="21">
    <w:abstractNumId w:val="6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D3"/>
    <w:rsid w:val="0002554C"/>
    <w:rsid w:val="000278E3"/>
    <w:rsid w:val="00031FFB"/>
    <w:rsid w:val="000416C7"/>
    <w:rsid w:val="00047D58"/>
    <w:rsid w:val="000502B4"/>
    <w:rsid w:val="00050EC4"/>
    <w:rsid w:val="00066458"/>
    <w:rsid w:val="00067C42"/>
    <w:rsid w:val="00071CAD"/>
    <w:rsid w:val="00071D52"/>
    <w:rsid w:val="00073D06"/>
    <w:rsid w:val="00082FBB"/>
    <w:rsid w:val="00083CCC"/>
    <w:rsid w:val="000958EE"/>
    <w:rsid w:val="000A4E0D"/>
    <w:rsid w:val="000C0406"/>
    <w:rsid w:val="000E4A99"/>
    <w:rsid w:val="000E7811"/>
    <w:rsid w:val="000F3931"/>
    <w:rsid w:val="00106320"/>
    <w:rsid w:val="00106AD6"/>
    <w:rsid w:val="00121DE6"/>
    <w:rsid w:val="00132968"/>
    <w:rsid w:val="00134B11"/>
    <w:rsid w:val="001371E8"/>
    <w:rsid w:val="00143588"/>
    <w:rsid w:val="001438AD"/>
    <w:rsid w:val="001470D8"/>
    <w:rsid w:val="00170C91"/>
    <w:rsid w:val="00171DB6"/>
    <w:rsid w:val="001B5390"/>
    <w:rsid w:val="001B793D"/>
    <w:rsid w:val="001C15C0"/>
    <w:rsid w:val="0020010D"/>
    <w:rsid w:val="00210B43"/>
    <w:rsid w:val="002550B1"/>
    <w:rsid w:val="002625A2"/>
    <w:rsid w:val="002802B6"/>
    <w:rsid w:val="002B595E"/>
    <w:rsid w:val="002C1271"/>
    <w:rsid w:val="002E3B6F"/>
    <w:rsid w:val="002E6662"/>
    <w:rsid w:val="002F1622"/>
    <w:rsid w:val="002F18E3"/>
    <w:rsid w:val="002F3C90"/>
    <w:rsid w:val="0031787B"/>
    <w:rsid w:val="00327B7E"/>
    <w:rsid w:val="003452E1"/>
    <w:rsid w:val="0034587D"/>
    <w:rsid w:val="00350295"/>
    <w:rsid w:val="003513B8"/>
    <w:rsid w:val="0036252F"/>
    <w:rsid w:val="003653C7"/>
    <w:rsid w:val="00392F71"/>
    <w:rsid w:val="003B6F37"/>
    <w:rsid w:val="003E1975"/>
    <w:rsid w:val="003E3F69"/>
    <w:rsid w:val="00401A0A"/>
    <w:rsid w:val="00420567"/>
    <w:rsid w:val="00436E8F"/>
    <w:rsid w:val="00461CB2"/>
    <w:rsid w:val="00463FFC"/>
    <w:rsid w:val="00480E89"/>
    <w:rsid w:val="004A0E8C"/>
    <w:rsid w:val="004B7610"/>
    <w:rsid w:val="004B7BA5"/>
    <w:rsid w:val="004C48F1"/>
    <w:rsid w:val="0050610F"/>
    <w:rsid w:val="0051439C"/>
    <w:rsid w:val="005277A9"/>
    <w:rsid w:val="00553F49"/>
    <w:rsid w:val="0055475A"/>
    <w:rsid w:val="00566082"/>
    <w:rsid w:val="00572C1F"/>
    <w:rsid w:val="005A556A"/>
    <w:rsid w:val="005C1899"/>
    <w:rsid w:val="005C5640"/>
    <w:rsid w:val="005D2708"/>
    <w:rsid w:val="005D3235"/>
    <w:rsid w:val="005D4ABC"/>
    <w:rsid w:val="0060443A"/>
    <w:rsid w:val="006066F9"/>
    <w:rsid w:val="00617F0C"/>
    <w:rsid w:val="00622E2D"/>
    <w:rsid w:val="00637FCA"/>
    <w:rsid w:val="00685EAF"/>
    <w:rsid w:val="00692110"/>
    <w:rsid w:val="006B41F5"/>
    <w:rsid w:val="006B4952"/>
    <w:rsid w:val="006D1C7E"/>
    <w:rsid w:val="006F4BE1"/>
    <w:rsid w:val="006F5C2A"/>
    <w:rsid w:val="006F5C96"/>
    <w:rsid w:val="0070095E"/>
    <w:rsid w:val="007222D3"/>
    <w:rsid w:val="0074771C"/>
    <w:rsid w:val="00770361"/>
    <w:rsid w:val="007A38D3"/>
    <w:rsid w:val="007B3F9B"/>
    <w:rsid w:val="007B732D"/>
    <w:rsid w:val="007B7C0F"/>
    <w:rsid w:val="007C58C3"/>
    <w:rsid w:val="007D26AE"/>
    <w:rsid w:val="007D32DF"/>
    <w:rsid w:val="007D470B"/>
    <w:rsid w:val="007E6D1F"/>
    <w:rsid w:val="008051CE"/>
    <w:rsid w:val="0080533C"/>
    <w:rsid w:val="00821DC8"/>
    <w:rsid w:val="0084145F"/>
    <w:rsid w:val="00857EA5"/>
    <w:rsid w:val="008B242C"/>
    <w:rsid w:val="008D573D"/>
    <w:rsid w:val="008D6EED"/>
    <w:rsid w:val="00906175"/>
    <w:rsid w:val="00942883"/>
    <w:rsid w:val="00943D72"/>
    <w:rsid w:val="00950D71"/>
    <w:rsid w:val="00951B9F"/>
    <w:rsid w:val="00953515"/>
    <w:rsid w:val="00993307"/>
    <w:rsid w:val="00993EC8"/>
    <w:rsid w:val="009A7501"/>
    <w:rsid w:val="009C1905"/>
    <w:rsid w:val="009D2ACB"/>
    <w:rsid w:val="009D7923"/>
    <w:rsid w:val="009E4D76"/>
    <w:rsid w:val="00A012D2"/>
    <w:rsid w:val="00A0786E"/>
    <w:rsid w:val="00A23034"/>
    <w:rsid w:val="00A261FA"/>
    <w:rsid w:val="00A45EB5"/>
    <w:rsid w:val="00A512E7"/>
    <w:rsid w:val="00A665B4"/>
    <w:rsid w:val="00A71FAD"/>
    <w:rsid w:val="00A8059A"/>
    <w:rsid w:val="00A87109"/>
    <w:rsid w:val="00A91355"/>
    <w:rsid w:val="00AA1E75"/>
    <w:rsid w:val="00AB5419"/>
    <w:rsid w:val="00AC119F"/>
    <w:rsid w:val="00AC24D8"/>
    <w:rsid w:val="00AC671D"/>
    <w:rsid w:val="00B35101"/>
    <w:rsid w:val="00B36B9E"/>
    <w:rsid w:val="00B41A8F"/>
    <w:rsid w:val="00B46767"/>
    <w:rsid w:val="00B50B18"/>
    <w:rsid w:val="00B55A2A"/>
    <w:rsid w:val="00B60100"/>
    <w:rsid w:val="00B70179"/>
    <w:rsid w:val="00B96F55"/>
    <w:rsid w:val="00BA2853"/>
    <w:rsid w:val="00BB0807"/>
    <w:rsid w:val="00BD2F2F"/>
    <w:rsid w:val="00BE1B7B"/>
    <w:rsid w:val="00C06779"/>
    <w:rsid w:val="00C11745"/>
    <w:rsid w:val="00C142CA"/>
    <w:rsid w:val="00C34F22"/>
    <w:rsid w:val="00C805CA"/>
    <w:rsid w:val="00C864F9"/>
    <w:rsid w:val="00CB2E4B"/>
    <w:rsid w:val="00CD6205"/>
    <w:rsid w:val="00D03187"/>
    <w:rsid w:val="00D054CF"/>
    <w:rsid w:val="00D25EC1"/>
    <w:rsid w:val="00D43FED"/>
    <w:rsid w:val="00D73262"/>
    <w:rsid w:val="00D76324"/>
    <w:rsid w:val="00DA03D9"/>
    <w:rsid w:val="00DB65A9"/>
    <w:rsid w:val="00DC0AC7"/>
    <w:rsid w:val="00DC7162"/>
    <w:rsid w:val="00DC75E0"/>
    <w:rsid w:val="00DD4C5E"/>
    <w:rsid w:val="00DE7708"/>
    <w:rsid w:val="00E5338A"/>
    <w:rsid w:val="00E6661C"/>
    <w:rsid w:val="00E800D1"/>
    <w:rsid w:val="00E84342"/>
    <w:rsid w:val="00EE39C0"/>
    <w:rsid w:val="00EE72A6"/>
    <w:rsid w:val="00F8567C"/>
    <w:rsid w:val="00F964C2"/>
    <w:rsid w:val="00FB352D"/>
    <w:rsid w:val="00FB49D8"/>
    <w:rsid w:val="00FC0E16"/>
    <w:rsid w:val="00FC7DCC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E0D6DF-B66E-4EAA-B1F5-66E768B2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A0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demensaje">
    <w:name w:val="Message Header"/>
    <w:basedOn w:val="Textoindependiente"/>
    <w:link w:val="EncabezadodemensajeCar"/>
    <w:rsid w:val="00401A0A"/>
    <w:pPr>
      <w:keepLines/>
      <w:spacing w:line="180" w:lineRule="atLeast"/>
      <w:ind w:left="1555" w:right="835" w:hanging="720"/>
    </w:pPr>
    <w:rPr>
      <w:rFonts w:ascii="Arial" w:eastAsia="Batang" w:hAnsi="Arial" w:cs="Times New Roman"/>
      <w:spacing w:val="-5"/>
      <w:sz w:val="20"/>
      <w:szCs w:val="20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401A0A"/>
    <w:rPr>
      <w:rFonts w:ascii="Arial" w:eastAsia="Batang" w:hAnsi="Arial" w:cs="Times New Roman"/>
      <w:spacing w:val="-5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01A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01A0A"/>
  </w:style>
  <w:style w:type="paragraph" w:styleId="Prrafodelista">
    <w:name w:val="List Paragraph"/>
    <w:basedOn w:val="Normal"/>
    <w:uiPriority w:val="34"/>
    <w:qFormat/>
    <w:rsid w:val="00401A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0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01A0A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1A0A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01A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A0A"/>
  </w:style>
  <w:style w:type="paragraph" w:styleId="Piedepgina">
    <w:name w:val="footer"/>
    <w:basedOn w:val="Normal"/>
    <w:link w:val="PiedepginaCar"/>
    <w:uiPriority w:val="99"/>
    <w:unhideWhenUsed/>
    <w:rsid w:val="00401A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A0A"/>
  </w:style>
  <w:style w:type="paragraph" w:styleId="Textodeglobo">
    <w:name w:val="Balloon Text"/>
    <w:basedOn w:val="Normal"/>
    <w:link w:val="TextodegloboCar"/>
    <w:uiPriority w:val="99"/>
    <w:semiHidden/>
    <w:unhideWhenUsed/>
    <w:rsid w:val="0040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A0A"/>
    <w:rPr>
      <w:rFonts w:ascii="Segoe UI" w:hAnsi="Segoe UI" w:cs="Segoe UI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401A0A"/>
  </w:style>
  <w:style w:type="table" w:customStyle="1" w:styleId="Tablaconcuadrcula1">
    <w:name w:val="Tabla con cuadrícula1"/>
    <w:basedOn w:val="Tablanormal"/>
    <w:next w:val="Tablaconcuadrcula"/>
    <w:uiPriority w:val="39"/>
    <w:rsid w:val="0040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C58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0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avila@cssp.gob.s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sp.gob.s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sp.gob.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hernandez@iaip.gob.sv" TargetMode="Externa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1D9EBD8CBB4DB094681BC1FEB06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B64C0-2BAF-4D91-AC4E-A13A25A7505C}"/>
      </w:docPartPr>
      <w:docPartBody>
        <w:p w:rsidR="00B430B7" w:rsidRDefault="001335A7" w:rsidP="001335A7">
          <w:pPr>
            <w:pStyle w:val="FE1D9EBD8CBB4DB094681BC1FEB06527"/>
          </w:pPr>
          <w:r>
            <w:rPr>
              <w:rFonts w:asciiTheme="majorHAnsi" w:eastAsiaTheme="majorEastAsia" w:hAnsiTheme="majorHAnsi" w:cstheme="majorBidi"/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A7"/>
    <w:rsid w:val="001335A7"/>
    <w:rsid w:val="003529CC"/>
    <w:rsid w:val="0040789A"/>
    <w:rsid w:val="005E1C80"/>
    <w:rsid w:val="00630A4D"/>
    <w:rsid w:val="008A0517"/>
    <w:rsid w:val="00903377"/>
    <w:rsid w:val="00AD2D54"/>
    <w:rsid w:val="00B1210D"/>
    <w:rsid w:val="00B430B7"/>
    <w:rsid w:val="00CF4699"/>
    <w:rsid w:val="00EA6832"/>
    <w:rsid w:val="00F2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5F2E627D0504BE3BC3F1534286C2003">
    <w:name w:val="C5F2E627D0504BE3BC3F1534286C2003"/>
    <w:rsid w:val="001335A7"/>
  </w:style>
  <w:style w:type="paragraph" w:customStyle="1" w:styleId="314421ECFEC5482DBA129AF99C4E5ADA">
    <w:name w:val="314421ECFEC5482DBA129AF99C4E5ADA"/>
    <w:rsid w:val="001335A7"/>
  </w:style>
  <w:style w:type="paragraph" w:customStyle="1" w:styleId="FE1D9EBD8CBB4DB094681BC1FEB06527">
    <w:name w:val="FE1D9EBD8CBB4DB094681BC1FEB06527"/>
    <w:rsid w:val="001335A7"/>
  </w:style>
  <w:style w:type="paragraph" w:customStyle="1" w:styleId="760EB26D6A7C4449B7C714C2B80AAD9D">
    <w:name w:val="760EB26D6A7C4449B7C714C2B80AAD9D"/>
    <w:rsid w:val="00133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2CB4-D2D9-40E4-B222-8FA4572F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2577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provisional</dc:creator>
  <cp:keywords/>
  <dc:description/>
  <cp:lastModifiedBy>Aura Ivette Morales</cp:lastModifiedBy>
  <cp:revision>2</cp:revision>
  <cp:lastPrinted>2017-03-15T21:21:00Z</cp:lastPrinted>
  <dcterms:created xsi:type="dcterms:W3CDTF">2017-09-18T19:20:00Z</dcterms:created>
  <dcterms:modified xsi:type="dcterms:W3CDTF">2017-09-18T19:20:00Z</dcterms:modified>
</cp:coreProperties>
</file>