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6DF5F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3641946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22A8380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04037CA7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4D1BA28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CDF5FCE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06B426B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DDFE1E2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0E95ADE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034FC03B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58E5926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0FEC5BF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8F5110C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C9BB8F9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D140A76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CBDD300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95470A7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772A5B7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44C184D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64D0C01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4D24786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20EAC42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77F32BE0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6E730A7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E424F4F" w14:textId="77777777" w:rsidR="00D95F85" w:rsidRDefault="00D95F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9A37EA4" w14:textId="77777777"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</w:t>
      </w:r>
      <w:r w:rsidR="00A33E0B">
        <w:rPr>
          <w:rFonts w:ascii="Tahoma" w:hAnsi="Tahoma" w:cs="Tahoma"/>
          <w:i/>
          <w:lang w:val="es-SV"/>
        </w:rPr>
        <w:t>7</w:t>
      </w:r>
      <w:r w:rsidR="00B67469">
        <w:rPr>
          <w:rFonts w:ascii="Tahoma" w:hAnsi="Tahoma" w:cs="Tahoma"/>
          <w:i/>
          <w:lang w:val="es-SV"/>
        </w:rPr>
        <w:t>4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14:paraId="703E3211" w14:textId="77777777" w:rsidR="002C2291" w:rsidRDefault="00B67469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15 de mayo </w:t>
      </w:r>
      <w:r w:rsidR="00BB16A0">
        <w:rPr>
          <w:rFonts w:ascii="Tahoma" w:hAnsi="Tahoma" w:cs="Tahoma"/>
          <w:i/>
          <w:lang w:val="es-SV"/>
        </w:rPr>
        <w:t>de 2023</w:t>
      </w:r>
    </w:p>
    <w:p w14:paraId="1D13A3E0" w14:textId="77777777"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33E0B">
        <w:rPr>
          <w:rFonts w:ascii="Tahoma" w:hAnsi="Tahoma" w:cs="Tahoma"/>
          <w:b/>
          <w:lang w:val="es-SV"/>
        </w:rPr>
        <w:t>7</w:t>
      </w:r>
      <w:r w:rsidR="00B67469">
        <w:rPr>
          <w:rFonts w:ascii="Tahoma" w:hAnsi="Tahoma" w:cs="Tahoma"/>
          <w:b/>
          <w:lang w:val="es-SV"/>
        </w:rPr>
        <w:t>4</w:t>
      </w:r>
      <w:r w:rsidR="00BB16A0">
        <w:rPr>
          <w:rFonts w:ascii="Tahoma" w:hAnsi="Tahoma" w:cs="Tahoma"/>
          <w:b/>
          <w:lang w:val="es-SV"/>
        </w:rPr>
        <w:t>/2023</w:t>
      </w:r>
    </w:p>
    <w:p w14:paraId="43E22143" w14:textId="77777777" w:rsidR="002B746D" w:rsidRPr="000C7EBC" w:rsidRDefault="00C57701" w:rsidP="002B746D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B67469">
        <w:rPr>
          <w:rFonts w:ascii="Tahoma" w:hAnsi="Tahoma" w:cs="Tahoma"/>
          <w:lang w:val="es-SV"/>
        </w:rPr>
        <w:t>nueve</w:t>
      </w:r>
      <w:r w:rsidR="00B128E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A33E0B">
        <w:rPr>
          <w:rFonts w:ascii="Tahoma" w:hAnsi="Tahoma" w:cs="Tahoma"/>
          <w:lang w:val="es-SV"/>
        </w:rPr>
        <w:t xml:space="preserve"> con treinta minutos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B67469">
        <w:rPr>
          <w:rFonts w:ascii="Tahoma" w:hAnsi="Tahoma" w:cs="Tahoma"/>
          <w:lang w:val="es-SV"/>
        </w:rPr>
        <w:t>quince de mayo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2B746D" w:rsidRPr="000C7EBC">
        <w:rPr>
          <w:rFonts w:ascii="Tahoma" w:hAnsi="Tahoma" w:cs="Tahoma"/>
          <w:b/>
          <w:lang w:val="es-SV"/>
        </w:rPr>
        <w:t>LICENCIADO</w:t>
      </w:r>
      <w:r w:rsidR="002B746D">
        <w:rPr>
          <w:rFonts w:ascii="Tahoma" w:hAnsi="Tahoma" w:cs="Tahoma"/>
          <w:b/>
          <w:lang w:val="es-SV"/>
        </w:rPr>
        <w:t xml:space="preserve"> GUSTAVO ARMANDO AREVALO AMAYA, </w:t>
      </w:r>
      <w:r w:rsidR="002B746D">
        <w:rPr>
          <w:rFonts w:ascii="Tahoma" w:hAnsi="Tahoma" w:cs="Tahoma"/>
          <w:lang w:val="es-SV"/>
        </w:rPr>
        <w:t xml:space="preserve">Director Presidente; </w:t>
      </w:r>
      <w:r w:rsidR="002B746D">
        <w:rPr>
          <w:rFonts w:ascii="Tahoma" w:hAnsi="Tahoma" w:cs="Tahoma"/>
          <w:b/>
          <w:lang w:val="es-SV"/>
        </w:rPr>
        <w:t>LICENCIADO</w:t>
      </w:r>
      <w:r w:rsidR="002B746D" w:rsidRPr="000C7EBC">
        <w:rPr>
          <w:rFonts w:ascii="Tahoma" w:hAnsi="Tahoma" w:cs="Tahoma"/>
          <w:b/>
          <w:lang w:val="es-SV"/>
        </w:rPr>
        <w:t xml:space="preserve"> RONY HUEZO SERRANO, </w:t>
      </w:r>
      <w:r w:rsidR="002B746D" w:rsidRPr="000C7EBC">
        <w:rPr>
          <w:rFonts w:ascii="Tahoma" w:hAnsi="Tahoma" w:cs="Tahoma"/>
          <w:lang w:val="es-SV"/>
        </w:rPr>
        <w:t xml:space="preserve">Director </w:t>
      </w:r>
      <w:r w:rsidR="002B746D">
        <w:rPr>
          <w:rFonts w:ascii="Tahoma" w:hAnsi="Tahoma" w:cs="Tahoma"/>
          <w:lang w:val="es-SV"/>
        </w:rPr>
        <w:t>Vicep</w:t>
      </w:r>
      <w:r w:rsidR="002B746D" w:rsidRPr="000C7EBC">
        <w:rPr>
          <w:rFonts w:ascii="Tahoma" w:hAnsi="Tahoma" w:cs="Tahoma"/>
          <w:lang w:val="es-SV"/>
        </w:rPr>
        <w:t xml:space="preserve">residente; </w:t>
      </w:r>
      <w:r w:rsidR="002B746D" w:rsidRPr="000C7EBC">
        <w:rPr>
          <w:rFonts w:ascii="Tahoma" w:hAnsi="Tahoma" w:cs="Tahoma"/>
          <w:b/>
          <w:lang w:val="es-SV"/>
        </w:rPr>
        <w:t>INGENIERO ROMEO GUSTAVO CHIQUILLO ESCOBAR</w:t>
      </w:r>
      <w:r w:rsidR="002B746D" w:rsidRPr="000C7EBC">
        <w:rPr>
          <w:rFonts w:ascii="Tahoma" w:hAnsi="Tahoma" w:cs="Tahoma"/>
          <w:lang w:val="es-SV"/>
        </w:rPr>
        <w:t xml:space="preserve">, Director Propietario; </w:t>
      </w:r>
      <w:r w:rsidR="002B746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2B746D" w:rsidRPr="000C7EBC">
        <w:rPr>
          <w:rFonts w:ascii="Tahoma" w:hAnsi="Tahoma" w:cs="Tahoma"/>
          <w:lang w:val="es-SV"/>
        </w:rPr>
        <w:t xml:space="preserve">Director Propietario; </w:t>
      </w:r>
      <w:r w:rsidR="002B746D">
        <w:rPr>
          <w:rFonts w:ascii="Tahoma" w:hAnsi="Tahoma" w:cs="Tahoma"/>
          <w:b/>
          <w:lang w:val="es-SV"/>
        </w:rPr>
        <w:t xml:space="preserve">LICENCIADO EDWIN ERNESTO LIMA SANCHEZ, </w:t>
      </w:r>
      <w:r w:rsidR="002B746D" w:rsidRPr="000C7EBC">
        <w:rPr>
          <w:rFonts w:ascii="Tahoma" w:hAnsi="Tahoma" w:cs="Tahoma"/>
          <w:lang w:val="es-SV"/>
        </w:rPr>
        <w:t xml:space="preserve">Director Propietario; </w:t>
      </w:r>
      <w:r w:rsidR="002B746D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2B746D" w:rsidRPr="000C7EBC">
        <w:rPr>
          <w:rFonts w:ascii="Tahoma" w:hAnsi="Tahoma" w:cs="Tahoma"/>
          <w:lang w:val="es-SV"/>
        </w:rPr>
        <w:t xml:space="preserve">Director Suplente; </w:t>
      </w:r>
      <w:r w:rsidR="002B746D" w:rsidRPr="000C7EBC">
        <w:rPr>
          <w:rFonts w:ascii="Tahoma" w:hAnsi="Tahoma" w:cs="Tahoma"/>
          <w:b/>
          <w:lang w:val="es-SV"/>
        </w:rPr>
        <w:t>LICENCIADA EVELYN ESTELA HERRERA</w:t>
      </w:r>
      <w:r w:rsidR="002B746D" w:rsidRPr="000C7EBC">
        <w:rPr>
          <w:rFonts w:ascii="Baskerville Old Face" w:hAnsi="Baskerville Old Face" w:cs="Tahoma"/>
          <w:lang w:val="es-SV"/>
        </w:rPr>
        <w:t xml:space="preserve"> </w:t>
      </w:r>
      <w:r w:rsidR="002B746D" w:rsidRPr="000C7EBC">
        <w:rPr>
          <w:rFonts w:ascii="Tahoma" w:hAnsi="Tahoma" w:cs="Tahoma"/>
          <w:b/>
          <w:lang w:val="es-SV"/>
        </w:rPr>
        <w:t>MARQUEZ,</w:t>
      </w:r>
      <w:r w:rsidR="002B746D">
        <w:rPr>
          <w:rFonts w:ascii="Tahoma" w:hAnsi="Tahoma" w:cs="Tahoma"/>
          <w:lang w:val="es-SV"/>
        </w:rPr>
        <w:t xml:space="preserve"> Director Suplente; y </w:t>
      </w:r>
      <w:r w:rsidR="002B746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2B746D">
        <w:rPr>
          <w:rFonts w:ascii="Tahoma" w:hAnsi="Tahoma" w:cs="Tahoma"/>
          <w:lang w:val="es-SV"/>
        </w:rPr>
        <w:t>Director Suplente.</w:t>
      </w:r>
    </w:p>
    <w:p w14:paraId="4963310A" w14:textId="5547F07F"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7D5D3168" w14:textId="77777777"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14:paraId="7B3D6EBE" w14:textId="77777777"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14:paraId="7ECE7AE9" w14:textId="77777777"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14:paraId="524E41A4" w14:textId="77777777" w:rsidR="00E240FA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14:paraId="103F05EF" w14:textId="77777777" w:rsidR="00D95F85" w:rsidRDefault="00D95F85" w:rsidP="00D95F85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364E557F" w14:textId="77777777" w:rsidR="009F3CCC" w:rsidRPr="0068183D" w:rsidRDefault="009F3CCC" w:rsidP="00D95F85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1F391A4E" w14:textId="4F2B334A" w:rsidR="004C558C" w:rsidRPr="004C558C" w:rsidRDefault="004C558C" w:rsidP="004C558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6CB2E120" w14:textId="77777777" w:rsidR="004C558C" w:rsidRPr="004C558C" w:rsidRDefault="004C558C" w:rsidP="004C558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C558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ACTUALIZACION DE DOCUMENTOS DE LA UNIDAD DE RIESGOS:</w:t>
      </w:r>
    </w:p>
    <w:p w14:paraId="25736AB5" w14:textId="77777777" w:rsidR="004C558C" w:rsidRPr="004C558C" w:rsidRDefault="004C558C" w:rsidP="004C558C">
      <w:pPr>
        <w:pStyle w:val="Default"/>
        <w:numPr>
          <w:ilvl w:val="1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C558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PROPUESTA DE MODIFICACIÓN DE PLAN DE CONTINGENCIA PARA EL MANEJO DE LIQUIDEZ</w:t>
      </w:r>
    </w:p>
    <w:p w14:paraId="57D172C0" w14:textId="77777777" w:rsidR="004C558C" w:rsidRPr="004C558C" w:rsidRDefault="004C558C" w:rsidP="004C558C">
      <w:pPr>
        <w:pStyle w:val="Default"/>
        <w:numPr>
          <w:ilvl w:val="1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C558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PROPUESTA DE MODIFICACIÓN DE PLAN DE CONTINUIDAD DE NEGOCIO</w:t>
      </w:r>
    </w:p>
    <w:p w14:paraId="192C1727" w14:textId="77777777" w:rsidR="004C558C" w:rsidRPr="004C558C" w:rsidRDefault="004C558C" w:rsidP="004C558C">
      <w:pPr>
        <w:pStyle w:val="Default"/>
        <w:numPr>
          <w:ilvl w:val="1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C558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PROPUESTA DE MODIFICACIÓN DE MANUAL DE GESTIÓN INTEGRAL DE RIESGOS.</w:t>
      </w:r>
    </w:p>
    <w:p w14:paraId="4B81001E" w14:textId="77777777" w:rsidR="004C558C" w:rsidRPr="004C558C" w:rsidRDefault="004C558C" w:rsidP="004C558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C558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SEGUIMIENTO A PLAN DE CONTINUIDAD DE NEGOCIO.</w:t>
      </w:r>
    </w:p>
    <w:p w14:paraId="2EEE6DA5" w14:textId="77777777"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14:paraId="0BF11841" w14:textId="77777777"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14:paraId="3B3C29C4" w14:textId="77777777"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14:paraId="0E1B07DE" w14:textId="77777777"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14:paraId="3E0983F3" w14:textId="77777777"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14:paraId="0E17D2E1" w14:textId="77777777"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1636AD">
        <w:rPr>
          <w:rFonts w:ascii="Tahoma" w:hAnsi="Tahoma" w:cs="Tahoma"/>
          <w:sz w:val="20"/>
          <w:szCs w:val="20"/>
          <w:lang w:val="es-SV"/>
        </w:rPr>
        <w:t>167</w:t>
      </w:r>
      <w:r w:rsidR="00B67469">
        <w:rPr>
          <w:rFonts w:ascii="Tahoma" w:hAnsi="Tahoma" w:cs="Tahoma"/>
          <w:sz w:val="20"/>
          <w:szCs w:val="20"/>
          <w:lang w:val="es-SV"/>
        </w:rPr>
        <w:t>3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67469">
        <w:rPr>
          <w:rFonts w:ascii="Tahoma" w:hAnsi="Tahoma" w:cs="Tahoma"/>
          <w:sz w:val="20"/>
          <w:szCs w:val="20"/>
          <w:lang w:val="es-SV"/>
        </w:rPr>
        <w:t>12 de mayo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14:paraId="4F17078F" w14:textId="79359BA6" w:rsidR="005E49BE" w:rsidRPr="005E49BE" w:rsidRDefault="005E49BE" w:rsidP="005E49BE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E49BE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14:paraId="386761FB" w14:textId="7C51CCD4" w:rsidR="004C558C" w:rsidRDefault="004C558C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692BEBA1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54FB8130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4F97F863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1420C1AA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47B2461D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1D389896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1F426200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50B6539F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DB2C862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4EBE5EB2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843BFAE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5A1D816D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38FB1F52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14ED55C6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0003D41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2FDBCF93" w14:textId="77777777" w:rsidR="005E49BE" w:rsidRDefault="005E49BE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126B42B" w14:textId="77777777" w:rsidR="004C558C" w:rsidRPr="004C558C" w:rsidRDefault="004C558C" w:rsidP="004C558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4DADB97" w14:textId="77777777" w:rsidR="004C558C" w:rsidRDefault="004C558C" w:rsidP="004C558C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C558C">
        <w:rPr>
          <w:rFonts w:ascii="Tahoma" w:hAnsi="Tahoma" w:cs="Tahoma"/>
          <w:b/>
          <w:sz w:val="20"/>
          <w:szCs w:val="20"/>
          <w:u w:val="double"/>
          <w:lang w:val="es-PA"/>
        </w:rPr>
        <w:t>ACTUALIZACION DE DOC</w:t>
      </w:r>
      <w:r w:rsidR="00380F52">
        <w:rPr>
          <w:rFonts w:ascii="Tahoma" w:hAnsi="Tahoma" w:cs="Tahoma"/>
          <w:b/>
          <w:sz w:val="20"/>
          <w:szCs w:val="20"/>
          <w:u w:val="double"/>
          <w:lang w:val="es-PA"/>
        </w:rPr>
        <w:t>UMENTOS DE LA UNIDAD DE RIESGOS.</w:t>
      </w:r>
    </w:p>
    <w:p w14:paraId="0B27275F" w14:textId="6DB0814D" w:rsidR="007C249C" w:rsidRDefault="00380F52" w:rsidP="00380F52">
      <w:pPr>
        <w:pStyle w:val="Sinespaciado"/>
        <w:tabs>
          <w:tab w:val="left" w:pos="284"/>
        </w:tabs>
        <w:spacing w:after="200" w:line="360" w:lineRule="auto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 w:rsidRPr="00380F52">
        <w:rPr>
          <w:rFonts w:ascii="Tahoma" w:hAnsi="Tahoma" w:cs="Tahoma"/>
          <w:sz w:val="20"/>
          <w:szCs w:val="20"/>
          <w:lang w:eastAsia="es-ES"/>
        </w:rPr>
        <w:t>El Director Presidente somete a consideración del Consejo Directivo la ACTUALIZACION DE DOCUMENTOS DE LA UNIDAD DE RIESGOS, cede la palabra al Licenciado</w:t>
      </w:r>
      <w:r w:rsidR="005E49BE">
        <w:rPr>
          <w:rFonts w:ascii="Tahoma" w:hAnsi="Tahoma" w:cs="Tahoma"/>
          <w:sz w:val="20"/>
          <w:szCs w:val="20"/>
          <w:lang w:eastAsia="es-ES"/>
        </w:rPr>
        <w:t xml:space="preserve">               </w:t>
      </w:r>
      <w:r w:rsidRPr="00380F52">
        <w:rPr>
          <w:rFonts w:ascii="Tahoma" w:hAnsi="Tahoma" w:cs="Tahoma"/>
          <w:sz w:val="20"/>
          <w:szCs w:val="20"/>
          <w:lang w:eastAsia="es-ES"/>
        </w:rPr>
        <w:t xml:space="preserve">, Coordinador de Riesgos y </w:t>
      </w:r>
      <w:r>
        <w:rPr>
          <w:rFonts w:ascii="Tahoma" w:hAnsi="Tahoma" w:cs="Tahoma"/>
          <w:sz w:val="20"/>
          <w:szCs w:val="20"/>
          <w:lang w:eastAsia="es-ES"/>
        </w:rPr>
        <w:t>expon</w:t>
      </w:r>
      <w:r w:rsidRPr="00380F52">
        <w:rPr>
          <w:rFonts w:ascii="Tahoma" w:hAnsi="Tahoma" w:cs="Tahoma"/>
          <w:sz w:val="20"/>
          <w:szCs w:val="20"/>
          <w:lang w:eastAsia="es-ES"/>
        </w:rPr>
        <w:t xml:space="preserve">e que las modificaciones propuestas, se realizan con base a lo establecido en </w:t>
      </w:r>
      <w:r w:rsidR="00452179" w:rsidRPr="00380F52">
        <w:rPr>
          <w:rFonts w:ascii="Tahoma" w:hAnsi="Tahoma" w:cs="Tahoma"/>
          <w:sz w:val="20"/>
          <w:szCs w:val="20"/>
          <w:lang w:val="es-MX" w:eastAsia="es-ES"/>
        </w:rPr>
        <w:t xml:space="preserve">Ley de Supervisión y Regulación del Sistema Financiero, </w:t>
      </w:r>
      <w:r w:rsidR="00452179" w:rsidRPr="00380F52">
        <w:rPr>
          <w:rFonts w:ascii="Tahoma" w:hAnsi="Tahoma" w:cs="Tahoma"/>
          <w:sz w:val="20"/>
          <w:szCs w:val="20"/>
          <w:lang w:val="es-MX"/>
        </w:rPr>
        <w:t>Política de Riesgos</w:t>
      </w:r>
      <w:r>
        <w:rPr>
          <w:rFonts w:ascii="Tahoma" w:hAnsi="Tahoma" w:cs="Tahoma"/>
          <w:sz w:val="20"/>
          <w:szCs w:val="20"/>
          <w:lang w:val="es-MX"/>
        </w:rPr>
        <w:t xml:space="preserve">, </w:t>
      </w:r>
      <w:r w:rsidR="00452179" w:rsidRPr="00380F52">
        <w:rPr>
          <w:rFonts w:ascii="Tahoma" w:hAnsi="Tahoma" w:cs="Tahoma"/>
          <w:sz w:val="20"/>
          <w:szCs w:val="20"/>
          <w:lang w:val="es-MX"/>
        </w:rPr>
        <w:t>Manual de Gestión Integral de Riesgos</w:t>
      </w:r>
      <w:r>
        <w:rPr>
          <w:rFonts w:ascii="Tahoma" w:hAnsi="Tahoma" w:cs="Tahoma"/>
          <w:sz w:val="20"/>
          <w:szCs w:val="20"/>
          <w:lang w:val="es-MX"/>
        </w:rPr>
        <w:t xml:space="preserve">, </w:t>
      </w:r>
      <w:r w:rsidR="00452179" w:rsidRPr="00380F52">
        <w:rPr>
          <w:rFonts w:ascii="Tahoma" w:hAnsi="Tahoma" w:cs="Tahoma"/>
          <w:sz w:val="20"/>
          <w:szCs w:val="20"/>
          <w:lang w:val="es-MX"/>
        </w:rPr>
        <w:t>Plan de Contingencia para el manejo de la liquidez</w:t>
      </w:r>
      <w:r>
        <w:rPr>
          <w:rFonts w:ascii="Tahoma" w:hAnsi="Tahoma" w:cs="Tahoma"/>
          <w:sz w:val="20"/>
          <w:szCs w:val="20"/>
          <w:lang w:val="es-MX"/>
        </w:rPr>
        <w:t xml:space="preserve"> y </w:t>
      </w:r>
      <w:r w:rsidR="00452179" w:rsidRPr="00380F52">
        <w:rPr>
          <w:rFonts w:ascii="Tahoma" w:hAnsi="Tahoma" w:cs="Tahoma"/>
          <w:sz w:val="20"/>
          <w:szCs w:val="20"/>
          <w:lang w:val="es-MX"/>
        </w:rPr>
        <w:t>Normas para el Funcionamiento del Comité de Riesgos</w:t>
      </w:r>
      <w:r>
        <w:rPr>
          <w:rFonts w:ascii="Tahoma" w:hAnsi="Tahoma" w:cs="Tahoma"/>
          <w:sz w:val="20"/>
          <w:szCs w:val="20"/>
          <w:lang w:val="es-MX"/>
        </w:rPr>
        <w:t xml:space="preserve">. </w:t>
      </w:r>
    </w:p>
    <w:p w14:paraId="781E1032" w14:textId="77777777" w:rsidR="00380F52" w:rsidRDefault="00380F52" w:rsidP="00380F52">
      <w:pPr>
        <w:pStyle w:val="Sinespaciado"/>
        <w:tabs>
          <w:tab w:val="left" w:pos="284"/>
        </w:tabs>
        <w:spacing w:after="200" w:line="360" w:lineRule="auto"/>
        <w:ind w:left="360"/>
        <w:jc w:val="both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>Se resume a continuación las modificaciones propuestas</w:t>
      </w:r>
      <w:r w:rsidR="00572809">
        <w:rPr>
          <w:rFonts w:ascii="Tahoma" w:hAnsi="Tahoma" w:cs="Tahoma"/>
          <w:sz w:val="20"/>
          <w:szCs w:val="20"/>
          <w:lang w:val="es-MX"/>
        </w:rPr>
        <w:t xml:space="preserve">, las cuales cuentan con el visto bueno del Comité de Riesgos, según sesión N° 74/2023 de fecha </w:t>
      </w:r>
      <w:r w:rsidR="00572809" w:rsidRPr="00572809">
        <w:rPr>
          <w:rFonts w:ascii="Tahoma" w:hAnsi="Tahoma" w:cs="Tahoma"/>
          <w:sz w:val="20"/>
          <w:szCs w:val="20"/>
          <w:lang w:val="es-MX"/>
        </w:rPr>
        <w:t xml:space="preserve">8 de Mayo </w:t>
      </w:r>
      <w:r w:rsidR="00572809">
        <w:rPr>
          <w:rFonts w:ascii="Tahoma" w:hAnsi="Tahoma" w:cs="Tahoma"/>
          <w:sz w:val="20"/>
          <w:szCs w:val="20"/>
          <w:lang w:val="es-MX"/>
        </w:rPr>
        <w:t>del corriente año.</w:t>
      </w:r>
    </w:p>
    <w:p w14:paraId="25DD6A89" w14:textId="77777777" w:rsidR="00D95F85" w:rsidRDefault="00D95F85" w:rsidP="00380F52">
      <w:pPr>
        <w:pStyle w:val="Sinespaciado"/>
        <w:tabs>
          <w:tab w:val="left" w:pos="284"/>
        </w:tabs>
        <w:spacing w:after="200" w:line="360" w:lineRule="auto"/>
        <w:ind w:left="360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34604035" w14:textId="77777777" w:rsidR="004C558C" w:rsidRDefault="004C558C" w:rsidP="00380F52">
      <w:pPr>
        <w:pStyle w:val="Sinespaciado"/>
        <w:numPr>
          <w:ilvl w:val="1"/>
          <w:numId w:val="11"/>
        </w:numPr>
        <w:tabs>
          <w:tab w:val="left" w:pos="284"/>
        </w:tabs>
        <w:spacing w:after="200" w:line="360" w:lineRule="auto"/>
        <w:ind w:left="851" w:hanging="283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C558C">
        <w:rPr>
          <w:rFonts w:ascii="Tahoma" w:hAnsi="Tahoma" w:cs="Tahoma"/>
          <w:b/>
          <w:sz w:val="20"/>
          <w:szCs w:val="20"/>
          <w:u w:val="double"/>
          <w:lang w:val="es-PA"/>
        </w:rPr>
        <w:t>PROPUESTA DE MODIFICACIÓN DE PLAN DE CONTINGENCIA PARA EL MANEJO DE LIQUIDEZ</w:t>
      </w:r>
      <w:r w:rsidR="00380F52">
        <w:rPr>
          <w:rFonts w:ascii="Tahoma" w:hAnsi="Tahoma" w:cs="Tahoma"/>
          <w:b/>
          <w:sz w:val="20"/>
          <w:szCs w:val="20"/>
          <w:u w:val="double"/>
          <w:lang w:val="es-PA"/>
        </w:rPr>
        <w:t>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723"/>
      </w:tblGrid>
      <w:tr w:rsidR="00572809" w:rsidRPr="00D95F85" w14:paraId="05F7D10C" w14:textId="77777777" w:rsidTr="00E025A4">
        <w:trPr>
          <w:trHeight w:val="380"/>
        </w:trPr>
        <w:tc>
          <w:tcPr>
            <w:tcW w:w="4643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B8BF669" w14:textId="77777777" w:rsidR="00572809" w:rsidRPr="00D95F85" w:rsidRDefault="00572809" w:rsidP="00572809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Actual</w:t>
            </w:r>
          </w:p>
        </w:tc>
        <w:tc>
          <w:tcPr>
            <w:tcW w:w="4723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73790D15" w14:textId="77777777" w:rsidR="00572809" w:rsidRPr="00D95F85" w:rsidRDefault="00572809" w:rsidP="00572809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Propuesta de Modificación</w:t>
            </w:r>
          </w:p>
        </w:tc>
      </w:tr>
      <w:tr w:rsidR="00572809" w:rsidRPr="00D95F85" w14:paraId="134D3CA8" w14:textId="77777777" w:rsidTr="00572809">
        <w:trPr>
          <w:trHeight w:val="4485"/>
        </w:trPr>
        <w:tc>
          <w:tcPr>
            <w:tcW w:w="4643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0F1B7AED" w14:textId="77777777" w:rsidR="00572809" w:rsidRPr="00D95F85" w:rsidRDefault="00572809" w:rsidP="00572809">
            <w:pPr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7 </w:t>
            </w: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  <w:t xml:space="preserve">Eventos o indicadores que activarán el plan de contingencia de liquidez </w:t>
            </w:r>
          </w:p>
          <w:p w14:paraId="68CBD047" w14:textId="77777777" w:rsidR="00D95F85" w:rsidRPr="00D95F85" w:rsidRDefault="00D95F85" w:rsidP="00572809">
            <w:pPr>
              <w:spacing w:line="276" w:lineRule="auto"/>
              <w:rPr>
                <w:rFonts w:ascii="Tahoma" w:hAnsi="Tahoma" w:cs="Tahoma"/>
                <w:lang w:val="es-SV" w:eastAsia="es-SV"/>
              </w:rPr>
            </w:pPr>
          </w:p>
          <w:p w14:paraId="3EC4C332" w14:textId="77777777" w:rsidR="00D95F85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>El Plan de Contingencia de Liquidez se activará cuando el nivel de crisis sea el escenario moderado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  <w:t xml:space="preserve">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>antes definido con el  Indicador de Riesgo de Liquidez (IRL) mayor que 1.0 veces y menor o igual a 1.5 veces  (1&lt;IRL&lt;=1.5)</w:t>
            </w:r>
          </w:p>
          <w:p w14:paraId="2C47871A" w14:textId="1D811A07" w:rsidR="00572809" w:rsidRPr="00D95F85" w:rsidRDefault="00572809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. </w:t>
            </w:r>
          </w:p>
          <w:p w14:paraId="4F16C257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>El Comité de Riesgos será la instancia que tomará la decisión de activar el Plan de Contingencia de Liquidez, adoptando la estrategia y acciones correspondientes, monitoreando la ejecución del mismo y determinará su presentación ante el Consejo Directivo. El Coordinador de riesgos presentará a consideración y aprobación del Comité una propuesta de acuerdo a lo establecido en el presente Plan de Contingencia de Liquidez.</w:t>
            </w:r>
          </w:p>
          <w:p w14:paraId="7CD02F3E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372A71E7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>El Consejo Directivo de la Corporación cuando lo amerite solicitará agendar en sesión de Asamblea de Gobernadores para dar a conocer los detalles de la crisis y proponer las acciones correspondientes.</w:t>
            </w:r>
          </w:p>
        </w:tc>
        <w:tc>
          <w:tcPr>
            <w:tcW w:w="4723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72606CC7" w14:textId="77777777" w:rsidR="00572809" w:rsidRPr="00D95F85" w:rsidRDefault="00572809" w:rsidP="00572809">
            <w:pPr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7 </w:t>
            </w: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  <w:t xml:space="preserve">Eventos o indicadores que activarán el plan de contingencia de liquidez </w:t>
            </w:r>
          </w:p>
          <w:p w14:paraId="6E02326B" w14:textId="77777777" w:rsidR="00D95F85" w:rsidRPr="00D95F85" w:rsidRDefault="00D95F85" w:rsidP="00572809">
            <w:pPr>
              <w:spacing w:line="276" w:lineRule="auto"/>
              <w:rPr>
                <w:rFonts w:ascii="Tahoma" w:hAnsi="Tahoma" w:cs="Tahoma"/>
                <w:lang w:val="es-SV" w:eastAsia="es-SV"/>
              </w:rPr>
            </w:pPr>
          </w:p>
          <w:p w14:paraId="783A0188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El Plan de Contingencia de Liquidez se activará cuando el nivel de crisis sea el escenario moderado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  <w:t xml:space="preserve">o critico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antes definido con el  Indicador de Riesgo de Liquidez (IRL) mayor que 1.0 veces y menor o igual a 1.5 veces  (1&lt;IRL&lt;=1.5). </w:t>
            </w:r>
          </w:p>
          <w:p w14:paraId="106CF377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6459A654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El Comité de Riesgos será la instancia que tomará la decisión de activar el Plan de Contingencia de Liquidez, adoptando la estrategia y acciones correspondientes, monitoreando la ejecución del mismo.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  <w:t>En tal sentido, el Coordinador de riesgos en coordinación con el Jefe de la Unidad Financiera Institucional, Jefe Departamento de Proyectos e Inversiones, Gerente de Puerto CORSAIN y Jefe de la Unidad Administrativa, presentará una propuesta a consideración y aprobación del Comité de acuerdo a lo establecido en el presente Plan de Contingencia de Liquidez; propuesta que una vez tenga el visto bueno del  Comité de Riesgos, será presentada a la aprobación de Consejo Directivo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. </w:t>
            </w:r>
          </w:p>
          <w:p w14:paraId="65553206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0047E9DA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  <w:t xml:space="preserve">El Coordinador de Riesgos en conjunto con el Jefe de la Unidad Financiera Institucional, darán el respectivo seguimiento a las actividades o acciones aprobadas por Consejo Directivo, presentando informes mensuales de avance a Comité de Riesgos y Consejo Directivo.   </w:t>
            </w:r>
          </w:p>
          <w:p w14:paraId="5E4EE252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</w:tc>
      </w:tr>
      <w:tr w:rsidR="00572809" w:rsidRPr="00D95F85" w14:paraId="0C5CD946" w14:textId="77777777" w:rsidTr="00E025A4">
        <w:trPr>
          <w:trHeight w:val="678"/>
        </w:trPr>
        <w:tc>
          <w:tcPr>
            <w:tcW w:w="4643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81FCEFC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</w:p>
          <w:p w14:paraId="151CBCD8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  <w:t xml:space="preserve">10 Informe de Riesgos de Liquidez </w:t>
            </w:r>
          </w:p>
          <w:p w14:paraId="5DAEC80B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0A856CB5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>El Coordinador de Riesgos con base a la información suministrada por el área de Tesorería elaborará un informe trimestral sobre el riesgo de liquidez de la Corporación, el cual debe ser remitido oportunamente a la Presidencia y Unidad Financiera Institucional y presentado al Comité de Riesgos en la sesión próxima que se programe.</w:t>
            </w:r>
          </w:p>
        </w:tc>
        <w:tc>
          <w:tcPr>
            <w:tcW w:w="4723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51BD750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</w:p>
          <w:p w14:paraId="3BA8251C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ES" w:eastAsia="es-SV"/>
              </w:rPr>
              <w:t xml:space="preserve">10 Informe de Riesgos de Liquidez </w:t>
            </w:r>
          </w:p>
          <w:p w14:paraId="153D394C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61E307CA" w14:textId="77777777" w:rsidR="00572809" w:rsidRPr="00D95F85" w:rsidRDefault="00572809" w:rsidP="00572809">
            <w:pPr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El Coordinador de Riesgos con base a la información suministrada por el área de Tesorería elaborará un informe trimestral sobre el riesgo de liquidez de la Corporación, el cual debe ser remitido oportunamente a la Presidencia y Unidad Financiera Institucional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ES" w:eastAsia="es-SV"/>
              </w:rPr>
              <w:t>y presentado al Comité de Riesgos en la sesión próxima que se programe; a excepción de activarse el Plan de Contingencia de Liquidez hasta que los el indicador de liquidez vuelvan a la normalidad.</w:t>
            </w:r>
          </w:p>
          <w:p w14:paraId="3CA47658" w14:textId="77777777" w:rsidR="00D95F85" w:rsidRPr="00D95F85" w:rsidRDefault="00D95F85" w:rsidP="00572809">
            <w:pPr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</w:tc>
      </w:tr>
    </w:tbl>
    <w:p w14:paraId="61081AF5" w14:textId="77777777" w:rsidR="00380F52" w:rsidRDefault="00380F52" w:rsidP="00380F52">
      <w:pPr>
        <w:pStyle w:val="Sinespaciado"/>
        <w:tabs>
          <w:tab w:val="left" w:pos="284"/>
        </w:tabs>
        <w:spacing w:after="200" w:line="360" w:lineRule="auto"/>
        <w:ind w:left="851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0EFF229E" w14:textId="77777777" w:rsidR="00572809" w:rsidRDefault="00572809" w:rsidP="00572809">
      <w:pPr>
        <w:pStyle w:val="Sinespaciado"/>
        <w:tabs>
          <w:tab w:val="left" w:pos="284"/>
        </w:tabs>
        <w:spacing w:after="200" w:line="360" w:lineRule="auto"/>
        <w:ind w:left="567"/>
        <w:rPr>
          <w:rFonts w:ascii="Tahoma" w:hAnsi="Tahoma" w:cs="Tahoma"/>
          <w:sz w:val="20"/>
          <w:szCs w:val="20"/>
        </w:rPr>
      </w:pPr>
      <w:r w:rsidRPr="00572809">
        <w:rPr>
          <w:rFonts w:ascii="Tahoma" w:hAnsi="Tahoma" w:cs="Tahoma"/>
          <w:b/>
          <w:sz w:val="20"/>
          <w:szCs w:val="20"/>
          <w:u w:val="single"/>
          <w:lang w:val="es-PA"/>
        </w:rPr>
        <w:t>Justificación:</w:t>
      </w:r>
      <w:r>
        <w:rPr>
          <w:rFonts w:ascii="Tahoma" w:hAnsi="Tahoma" w:cs="Tahoma"/>
          <w:b/>
          <w:sz w:val="20"/>
          <w:szCs w:val="20"/>
          <w:u w:val="single"/>
          <w:lang w:val="es-PA"/>
        </w:rPr>
        <w:t xml:space="preserve"> </w:t>
      </w:r>
      <w:r w:rsidRPr="00572809">
        <w:rPr>
          <w:rFonts w:ascii="Tahoma" w:hAnsi="Tahoma" w:cs="Tahoma"/>
          <w:sz w:val="20"/>
          <w:szCs w:val="20"/>
        </w:rPr>
        <w:t>Se definió responsables de seguimiento a actividades en los casos de que se active el Plan</w:t>
      </w:r>
      <w:r>
        <w:rPr>
          <w:rFonts w:ascii="Tahoma" w:hAnsi="Tahoma" w:cs="Tahoma"/>
          <w:sz w:val="20"/>
          <w:szCs w:val="20"/>
        </w:rPr>
        <w:t xml:space="preserve"> de Contingencia. Y s</w:t>
      </w:r>
      <w:r w:rsidRPr="00572809">
        <w:rPr>
          <w:rFonts w:ascii="Tahoma" w:hAnsi="Tahoma" w:cs="Tahoma"/>
          <w:sz w:val="20"/>
          <w:szCs w:val="20"/>
        </w:rPr>
        <w:t>e agregó párrafo de seguimiento de mejora de indicador de riesgo de liquidez.</w:t>
      </w:r>
    </w:p>
    <w:p w14:paraId="59B16046" w14:textId="77777777" w:rsidR="00D95F85" w:rsidRDefault="00D95F85" w:rsidP="00572809">
      <w:pPr>
        <w:pStyle w:val="Sinespaciado"/>
        <w:tabs>
          <w:tab w:val="left" w:pos="284"/>
        </w:tabs>
        <w:spacing w:after="200" w:line="360" w:lineRule="auto"/>
        <w:ind w:left="567"/>
        <w:rPr>
          <w:rFonts w:ascii="Tahoma" w:hAnsi="Tahoma" w:cs="Tahoma"/>
          <w:sz w:val="20"/>
          <w:szCs w:val="20"/>
          <w:lang w:val="es-SV"/>
        </w:rPr>
      </w:pPr>
    </w:p>
    <w:p w14:paraId="6CDFB34E" w14:textId="77777777" w:rsidR="004C558C" w:rsidRDefault="004C558C" w:rsidP="00380F52">
      <w:pPr>
        <w:pStyle w:val="Sinespaciado"/>
        <w:numPr>
          <w:ilvl w:val="1"/>
          <w:numId w:val="11"/>
        </w:numPr>
        <w:tabs>
          <w:tab w:val="left" w:pos="284"/>
        </w:tabs>
        <w:spacing w:after="200" w:line="360" w:lineRule="auto"/>
        <w:ind w:left="851" w:hanging="283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C558C">
        <w:rPr>
          <w:rFonts w:ascii="Tahoma" w:hAnsi="Tahoma" w:cs="Tahoma"/>
          <w:b/>
          <w:sz w:val="20"/>
          <w:szCs w:val="20"/>
          <w:u w:val="double"/>
          <w:lang w:val="es-PA"/>
        </w:rPr>
        <w:t>PROPUESTA DE MODIFICACIÓN DE PLAN DE CONTINUIDAD DE NEGOCIO</w:t>
      </w:r>
      <w:r w:rsidR="00572809">
        <w:rPr>
          <w:rFonts w:ascii="Tahoma" w:hAnsi="Tahoma" w:cs="Tahoma"/>
          <w:b/>
          <w:sz w:val="20"/>
          <w:szCs w:val="20"/>
          <w:u w:val="double"/>
          <w:lang w:val="es-PA"/>
        </w:rPr>
        <w:t>.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648"/>
      </w:tblGrid>
      <w:tr w:rsidR="00572809" w:rsidRPr="00D95F85" w14:paraId="7A121D5D" w14:textId="77777777" w:rsidTr="00E025A4">
        <w:trPr>
          <w:trHeight w:val="274"/>
        </w:trPr>
        <w:tc>
          <w:tcPr>
            <w:tcW w:w="4578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5CEEA21B" w14:textId="77777777" w:rsidR="00572809" w:rsidRPr="00D95F85" w:rsidRDefault="00572809" w:rsidP="001E57A3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Actual</w:t>
            </w:r>
          </w:p>
        </w:tc>
        <w:tc>
          <w:tcPr>
            <w:tcW w:w="4648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9CDDFDE" w14:textId="77777777" w:rsidR="00572809" w:rsidRPr="00D95F85" w:rsidRDefault="00572809" w:rsidP="001E57A3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Propuesta de Modificación</w:t>
            </w:r>
          </w:p>
        </w:tc>
      </w:tr>
      <w:tr w:rsidR="00572809" w:rsidRPr="00D95F85" w14:paraId="21A9B572" w14:textId="77777777" w:rsidTr="004C1451">
        <w:trPr>
          <w:trHeight w:val="4463"/>
        </w:trPr>
        <w:tc>
          <w:tcPr>
            <w:tcW w:w="4578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23FD7132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7.2 Estructura Orgánica y Líder del Plan de Continuidad</w:t>
            </w:r>
          </w:p>
          <w:p w14:paraId="7E795565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</w:p>
          <w:p w14:paraId="4CEC611B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Coordinador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: La coordinación del Plan de Continuidad estará a cargo del Gerente General de la Corporación, quién será el Líder del Plan apoyándose en los coordinadores de las Comisiones.</w:t>
            </w:r>
          </w:p>
          <w:p w14:paraId="23562FC3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Subcoordinadores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: En ausencia del Coordinador lo sustituirá los gerentes de Administración, y Gerente de Finanzas en este orden, quienes apoyarán en todo momento al Coordinador durante la ejecución del Plan.</w:t>
            </w:r>
          </w:p>
          <w:p w14:paraId="1AF1E106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</w:p>
          <w:p w14:paraId="3C731558" w14:textId="77777777" w:rsidR="00A94EFA" w:rsidRPr="002B746D" w:rsidRDefault="00A94EFA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color w:val="000000" w:themeColor="text1"/>
                <w:kern w:val="24"/>
                <w:lang w:val="es-SV" w:eastAsia="es-SV"/>
              </w:rPr>
              <w:t xml:space="preserve">Comisión de Recuperación de Desastres: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En Oficina Central estará integrada por el Jefe de Servicios Generales (Coordinador), el Jefe del Departamento de Proyectos e Inversión, y Jefe de la UACI; mientras que en Puerto CORSAIN dicha Comisión estará integrada por el Gerente Portuario (Coordinador), Encargado del Departamento de Obra Civil, Encargado de Reparación Naval, Jefe del Departamento de Proyectos e Inversión y Jefe de la UACI.</w:t>
            </w:r>
          </w:p>
          <w:p w14:paraId="4C5259CD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</w:p>
          <w:p w14:paraId="2606B214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Comisión de Recuperación de Sistemas de la Información: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Tanto en Oficina Central como en Puerto CORSAIN, esta Comisión estará integrada por el Jefe del Departamento de Tecnología de la Información (Coordinador),, Administrador de Infraestructura Tecnológica, y un Analista Programador designado por el Coordinador y Jefe de la UACI</w:t>
            </w:r>
            <w:r w:rsidR="00A94EFA"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.</w:t>
            </w:r>
          </w:p>
        </w:tc>
        <w:tc>
          <w:tcPr>
            <w:tcW w:w="4648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69EA6C53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7.2 Estructura Orgánica y Líder del Plan de Continuidad</w:t>
            </w:r>
          </w:p>
          <w:p w14:paraId="0FCDFB5B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</w:p>
          <w:p w14:paraId="614A9BCB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Coordinador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: La coordinación del Plan de Continuidad estará a cargo de la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Presidencia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 de la Corporación, quién será el Líder del Plan apoyándose en los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encargados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 de las Comisiones.</w:t>
            </w:r>
          </w:p>
          <w:p w14:paraId="0647AD51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Subcoordinadores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: En ausencia del Coordinador lo sustituirá a las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Jefaturas de la Unidades correspondientes de acuerdo a la  eventualidad en la continuidad de negocio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, quienes apoyarán en todo momento al Coordinador durante la ejecución del Plan.</w:t>
            </w:r>
          </w:p>
          <w:p w14:paraId="1359FE31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</w:p>
          <w:p w14:paraId="3C9AFC65" w14:textId="77777777" w:rsidR="00D95F85" w:rsidRPr="002B746D" w:rsidRDefault="00D95F85" w:rsidP="00D95F85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color w:val="000000" w:themeColor="text1"/>
                <w:kern w:val="24"/>
                <w:sz w:val="18"/>
                <w:lang w:val="es-SV" w:eastAsia="es-SV"/>
              </w:rPr>
              <w:t xml:space="preserve">Comisión de Recuperación de Desastres: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lang w:val="es-SV" w:eastAsia="es-SV"/>
              </w:rPr>
              <w:t xml:space="preserve">En Oficina Central estará integrada por el Jefe de Servicios Generales (Coordinador), el Jefe del Departamento de Proyectos e Inversión, y Jefe de la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u w:val="single"/>
                <w:lang w:val="es-SV" w:eastAsia="es-SV"/>
              </w:rPr>
              <w:t>UCP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lang w:val="es-SV" w:eastAsia="es-SV"/>
              </w:rPr>
              <w:t xml:space="preserve">; mientras que en Puerto CORSAIN dicha Comisión estará integrada por el Gerente Portuario (Coordinador),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u w:val="single"/>
                <w:lang w:val="es-SV" w:eastAsia="es-SV"/>
              </w:rPr>
              <w:t>Jefe Departamento de Operaciones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lang w:val="es-SV" w:eastAsia="es-SV"/>
              </w:rPr>
              <w:t xml:space="preserve">, Encargado de Reparación Naval, Jefe del Departamento de Proyectos e Inversión y Jefe de la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u w:val="single"/>
                <w:lang w:val="es-SV" w:eastAsia="es-SV"/>
              </w:rPr>
              <w:t>UCP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sz w:val="18"/>
                <w:lang w:val="es-SV" w:eastAsia="es-SV"/>
              </w:rPr>
              <w:t>.</w:t>
            </w:r>
          </w:p>
          <w:p w14:paraId="0E4BF746" w14:textId="77777777" w:rsidR="00D95F85" w:rsidRPr="002B746D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</w:p>
          <w:p w14:paraId="0D697492" w14:textId="77777777" w:rsidR="00572809" w:rsidRPr="002B746D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2B746D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Comisión de Recuperación de Sistemas de la Información: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Tanto en Oficina Central como en Puerto CORSAIN, esta Comisión estará integrada por el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Coordinador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 de la Unidad de Tecnología de la Información 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(Encargado</w:t>
            </w:r>
            <w:r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), Administrador de Infraestructura Tecnológica, Analista Programador designado por el Coordinador y Jefe la UACI</w:t>
            </w:r>
            <w:r w:rsidR="00A94EFA" w:rsidRPr="002B746D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.</w:t>
            </w:r>
          </w:p>
        </w:tc>
      </w:tr>
      <w:tr w:rsidR="00572809" w:rsidRPr="00D95F85" w14:paraId="0054000C" w14:textId="77777777" w:rsidTr="004C1451">
        <w:trPr>
          <w:trHeight w:val="1504"/>
        </w:trPr>
        <w:tc>
          <w:tcPr>
            <w:tcW w:w="4578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06A296EE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7.3</w:t>
            </w: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ab/>
              <w:t>Funciones de las Unidades encargada de ejecutar el Plan de Continuidad</w:t>
            </w:r>
          </w:p>
          <w:p w14:paraId="2684EB00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Subcoordinadores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: Cooperar con el Coordinador en las actividades que se les asignen; y en ausencia del Gerente General, asumir las funciones de la Coordinación en el orden previamente definido, e informar por cualquier vía al Coordinador sobre las acciones que se desarrollen.</w:t>
            </w:r>
          </w:p>
        </w:tc>
        <w:tc>
          <w:tcPr>
            <w:tcW w:w="4648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54381DDD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7.3</w:t>
            </w: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ab/>
              <w:t>Funciones de las Unidades encargada de ejecutar el Plan de Continuidad</w:t>
            </w:r>
          </w:p>
          <w:p w14:paraId="07DE9057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Subcoordinadores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: Cooperar con el Coordinador en las actividades que se les asignen; y en ausencia del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Presidente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, asumir las funciones de la Coordinación en el orden de acuerdo a la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eventualidad en la continuidad de negocio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, e informar por cualquier vía al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encargado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 sobre las acciones que se desarrollen.</w:t>
            </w:r>
          </w:p>
        </w:tc>
      </w:tr>
    </w:tbl>
    <w:p w14:paraId="319286CE" w14:textId="77777777" w:rsidR="00A94EFA" w:rsidRPr="00A94EFA" w:rsidRDefault="00A94EFA" w:rsidP="00572809">
      <w:pPr>
        <w:pStyle w:val="Sinespaciado"/>
        <w:tabs>
          <w:tab w:val="left" w:pos="284"/>
        </w:tabs>
        <w:spacing w:after="200" w:line="360" w:lineRule="auto"/>
        <w:ind w:left="567"/>
        <w:rPr>
          <w:rFonts w:ascii="Tahoma" w:hAnsi="Tahoma" w:cs="Tahoma"/>
          <w:b/>
          <w:sz w:val="6"/>
          <w:szCs w:val="20"/>
          <w:u w:val="single"/>
          <w:lang w:val="es-PA"/>
        </w:rPr>
      </w:pPr>
    </w:p>
    <w:p w14:paraId="5D4A5A63" w14:textId="77777777" w:rsidR="00572809" w:rsidRPr="00572809" w:rsidRDefault="00572809" w:rsidP="00572809">
      <w:pPr>
        <w:pStyle w:val="Sinespaciado"/>
        <w:tabs>
          <w:tab w:val="left" w:pos="284"/>
        </w:tabs>
        <w:spacing w:after="200" w:line="360" w:lineRule="auto"/>
        <w:ind w:left="567"/>
        <w:rPr>
          <w:rFonts w:ascii="Tahoma" w:hAnsi="Tahoma" w:cs="Tahoma"/>
          <w:sz w:val="20"/>
          <w:szCs w:val="20"/>
          <w:lang w:val="es-SV"/>
        </w:rPr>
      </w:pPr>
      <w:r w:rsidRPr="00572809">
        <w:rPr>
          <w:rFonts w:ascii="Tahoma" w:hAnsi="Tahoma" w:cs="Tahoma"/>
          <w:b/>
          <w:sz w:val="20"/>
          <w:szCs w:val="20"/>
          <w:u w:val="single"/>
          <w:lang w:val="es-PA"/>
        </w:rPr>
        <w:t>Justificación:</w:t>
      </w:r>
      <w:r>
        <w:rPr>
          <w:rFonts w:ascii="Tahoma" w:hAnsi="Tahoma" w:cs="Tahoma"/>
          <w:b/>
          <w:sz w:val="20"/>
          <w:szCs w:val="20"/>
          <w:lang w:val="es-PA"/>
        </w:rPr>
        <w:t xml:space="preserve"> </w:t>
      </w:r>
      <w:r>
        <w:rPr>
          <w:rFonts w:ascii="Tahoma" w:hAnsi="Tahoma" w:cs="Tahoma"/>
          <w:sz w:val="20"/>
          <w:szCs w:val="20"/>
        </w:rPr>
        <w:t>Se realizó actualización de responsables de actividades,</w:t>
      </w:r>
      <w:r w:rsidRPr="00572809">
        <w:rPr>
          <w:rFonts w:ascii="Tahoma" w:hAnsi="Tahoma" w:cs="Tahoma"/>
          <w:sz w:val="20"/>
          <w:szCs w:val="20"/>
        </w:rPr>
        <w:t xml:space="preserve"> de acuerdo al cambio de estructura organizativa</w:t>
      </w:r>
      <w:r>
        <w:rPr>
          <w:rFonts w:ascii="Tahoma" w:hAnsi="Tahoma" w:cs="Tahoma"/>
          <w:sz w:val="20"/>
          <w:szCs w:val="20"/>
        </w:rPr>
        <w:t>.</w:t>
      </w:r>
    </w:p>
    <w:p w14:paraId="087A701E" w14:textId="77777777" w:rsidR="004C558C" w:rsidRDefault="004C558C" w:rsidP="00572809">
      <w:pPr>
        <w:pStyle w:val="Sinespaciado"/>
        <w:numPr>
          <w:ilvl w:val="1"/>
          <w:numId w:val="11"/>
        </w:numPr>
        <w:shd w:val="clear" w:color="auto" w:fill="FFFFFF" w:themeFill="background1"/>
        <w:tabs>
          <w:tab w:val="left" w:pos="284"/>
        </w:tabs>
        <w:spacing w:after="200" w:line="360" w:lineRule="auto"/>
        <w:ind w:left="851" w:hanging="283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C558C">
        <w:rPr>
          <w:rFonts w:ascii="Tahoma" w:hAnsi="Tahoma" w:cs="Tahoma"/>
          <w:b/>
          <w:sz w:val="20"/>
          <w:szCs w:val="20"/>
          <w:u w:val="double"/>
          <w:lang w:val="es-PA"/>
        </w:rPr>
        <w:t>PROPUESTA DE MODIFICACIÓN DE MANUAL DE GESTIÓN INTEGRAL DE RIESGOS.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661"/>
      </w:tblGrid>
      <w:tr w:rsidR="00572809" w:rsidRPr="00D95F85" w14:paraId="57B3EB5A" w14:textId="77777777" w:rsidTr="00E025A4">
        <w:trPr>
          <w:trHeight w:val="278"/>
        </w:trPr>
        <w:tc>
          <w:tcPr>
            <w:tcW w:w="4579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5C2BF4CE" w14:textId="77777777" w:rsidR="00572809" w:rsidRPr="00D95F85" w:rsidRDefault="00572809" w:rsidP="001E57A3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Actual</w:t>
            </w:r>
          </w:p>
        </w:tc>
        <w:tc>
          <w:tcPr>
            <w:tcW w:w="4661" w:type="dxa"/>
            <w:shd w:val="clear" w:color="auto" w:fill="DEEAF6" w:themeFill="accent1" w:themeFillTint="33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D5B6EBC" w14:textId="77777777" w:rsidR="00572809" w:rsidRPr="00D95F85" w:rsidRDefault="00572809" w:rsidP="001E57A3">
            <w:pPr>
              <w:spacing w:line="276" w:lineRule="auto"/>
              <w:jc w:val="center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Propuesta de Modificación</w:t>
            </w:r>
          </w:p>
        </w:tc>
      </w:tr>
      <w:tr w:rsidR="00572809" w:rsidRPr="00D95F85" w14:paraId="154B5A81" w14:textId="77777777" w:rsidTr="00D95F85">
        <w:trPr>
          <w:trHeight w:val="834"/>
        </w:trPr>
        <w:tc>
          <w:tcPr>
            <w:tcW w:w="4579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2C58B95B" w14:textId="77777777" w:rsidR="00572809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9.4.2  Unidad Administrativa</w:t>
            </w:r>
          </w:p>
          <w:p w14:paraId="21869A0C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</w:p>
          <w:p w14:paraId="62CBB3D8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a) Tomar las acciones correspondientes en coordinación con la Unidad Financiera, al detectarse una posible iliquidez.</w:t>
            </w:r>
          </w:p>
          <w:p w14:paraId="3BBF52DD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b) Convocar de forma urgente al Comité de Riesgos al detectarse una crisis de liquidez.</w:t>
            </w:r>
          </w:p>
        </w:tc>
        <w:tc>
          <w:tcPr>
            <w:tcW w:w="4661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35DAC99E" w14:textId="77777777" w:rsidR="00572809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u w:val="single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9.4.2  </w:t>
            </w: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u w:val="single"/>
                <w:lang w:val="es-SV" w:eastAsia="es-SV"/>
              </w:rPr>
              <w:t xml:space="preserve">Presidencia  </w:t>
            </w:r>
          </w:p>
          <w:p w14:paraId="43D076C8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</w:p>
          <w:p w14:paraId="25758A5E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a) Tomar las acciones correspondientes en coordinación con la Unidad Financiera, al detectarse una posible iliquidez.</w:t>
            </w:r>
          </w:p>
          <w:p w14:paraId="2949F511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b) Convocar de forma urgente al Comité de Riesgos al detectarse una crisis de liquidez.</w:t>
            </w:r>
          </w:p>
        </w:tc>
      </w:tr>
      <w:tr w:rsidR="00572809" w:rsidRPr="00D95F85" w14:paraId="7A564FE6" w14:textId="77777777" w:rsidTr="00572809">
        <w:trPr>
          <w:trHeight w:val="1501"/>
        </w:trPr>
        <w:tc>
          <w:tcPr>
            <w:tcW w:w="4579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7E02C27F" w14:textId="77777777" w:rsidR="00D95F85" w:rsidRDefault="00D95F85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</w:p>
          <w:p w14:paraId="06DBCBBA" w14:textId="77777777" w:rsidR="00572809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9.4.6 Comité de Riesgos </w:t>
            </w:r>
          </w:p>
          <w:p w14:paraId="0FCC6A27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</w:p>
          <w:p w14:paraId="39234F46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MX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a)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Conocer y dar visto bueno a los informes trimestrales de riesgo de liquidez, incluyendo los escenarios de estrés según el Plan de Contingencia para el Manejo de la Liquidez, presentados por el Coordinador de Riesgos; y presentarlos a conocimiento de Consejo Directivo.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MX" w:eastAsia="es-SV"/>
              </w:rPr>
              <w:t>5</w:t>
            </w:r>
          </w:p>
          <w:p w14:paraId="30112639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1AA50CD2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b) Tomar acciones ante una alerta temprana de una posible iliquidez, como lo establece el Plan de Contingencia para el Manejo de la Liquidez.</w:t>
            </w:r>
          </w:p>
          <w:p w14:paraId="79C5BEF6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48E98657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c)  Recomendar al Consejo Directivo, las acciones necesarias en caso de una crisis de liquidez.</w:t>
            </w:r>
          </w:p>
          <w:p w14:paraId="323BE538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41D39E55" w14:textId="77777777" w:rsidR="00572809" w:rsidRPr="00D95F85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d) Velar por el cumplimiento de las resoluciones que emita el Consejo Directivo, orientadas a solucionar una crisis de liquidez.</w:t>
            </w:r>
          </w:p>
        </w:tc>
        <w:tc>
          <w:tcPr>
            <w:tcW w:w="4661" w:type="dxa"/>
            <w:shd w:val="clear" w:color="auto" w:fill="FFFFFF" w:themeFill="background1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AEC82A3" w14:textId="77777777" w:rsidR="00D95F85" w:rsidRDefault="00D95F85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</w:p>
          <w:p w14:paraId="6E5C94D5" w14:textId="77777777" w:rsid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>9.4.6 Comité de Riesgos</w:t>
            </w:r>
          </w:p>
          <w:p w14:paraId="6E6DFDD7" w14:textId="70C6A59D" w:rsidR="00572809" w:rsidRPr="00D95F85" w:rsidRDefault="00572809" w:rsidP="001E57A3">
            <w:pPr>
              <w:shd w:val="clear" w:color="auto" w:fill="FFFFFF" w:themeFill="background1"/>
              <w:spacing w:line="276" w:lineRule="auto"/>
              <w:rPr>
                <w:rFonts w:ascii="Tahoma" w:hAnsi="Tahoma" w:cs="Tahoma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  <w:lang w:val="es-SV" w:eastAsia="es-SV"/>
              </w:rPr>
              <w:t xml:space="preserve"> </w:t>
            </w:r>
          </w:p>
          <w:p w14:paraId="0CB00E94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MX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 xml:space="preserve">a)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ES" w:eastAsia="es-SV"/>
              </w:rPr>
              <w:t xml:space="preserve">Conocer y dar visto bueno a los informes trimestrales de riesgo de liquidez, incluyendo los escenarios de estrés según el Plan de Contingencia para el Manejo de la Liquidez, presentados por el Coordinador de Riesgos; y presentarlos a conocimiento de Consejo Directivo. </w:t>
            </w: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MX" w:eastAsia="es-SV"/>
              </w:rPr>
              <w:t>5</w:t>
            </w:r>
          </w:p>
          <w:p w14:paraId="30189674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592C05C7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b) Tomar acciones ante una alerta temprana de una posible iliquidez, como lo establece el Plan de Contingencia para el Manejo de la Liquidez.</w:t>
            </w:r>
          </w:p>
          <w:p w14:paraId="3ED566F1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08E67E1C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c)  Recomendar al Consejo Directivo, las acciones necesarias en caso de una crisis de liquidez.</w:t>
            </w:r>
          </w:p>
          <w:p w14:paraId="1BDAFDF9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0D80B158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lang w:val="es-SV" w:eastAsia="es-SV"/>
              </w:rPr>
              <w:t>d) Velar por el cumplimiento de las resoluciones que emita el Consejo Directivo, orientadas a solucionar una crisis de liquidez.</w:t>
            </w:r>
          </w:p>
          <w:p w14:paraId="3B4E0BCE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  <w:p w14:paraId="20D18922" w14:textId="77777777" w:rsidR="00572809" w:rsidRDefault="00572809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</w:pPr>
            <w:r w:rsidRPr="00D95F85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  <w:lang w:val="es-SV" w:eastAsia="es-SV"/>
              </w:rPr>
              <w:t>e) Seguimiento de ejecución de la gestión de continuidad del negocio de acuerdo al Plan.</w:t>
            </w:r>
          </w:p>
          <w:p w14:paraId="1D204726" w14:textId="77777777" w:rsidR="00D95F85" w:rsidRPr="00D95F85" w:rsidRDefault="00D95F85" w:rsidP="001E57A3">
            <w:pPr>
              <w:shd w:val="clear" w:color="auto" w:fill="FFFFFF" w:themeFill="background1"/>
              <w:spacing w:line="276" w:lineRule="auto"/>
              <w:jc w:val="both"/>
              <w:rPr>
                <w:rFonts w:ascii="Tahoma" w:hAnsi="Tahoma" w:cs="Tahoma"/>
                <w:lang w:val="es-SV" w:eastAsia="es-SV"/>
              </w:rPr>
            </w:pPr>
          </w:p>
        </w:tc>
      </w:tr>
    </w:tbl>
    <w:p w14:paraId="5C441540" w14:textId="77777777" w:rsidR="00380F52" w:rsidRDefault="00380F52" w:rsidP="00572809">
      <w:pPr>
        <w:pStyle w:val="Sinespaciado"/>
        <w:shd w:val="clear" w:color="auto" w:fill="FFFFFF" w:themeFill="background1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3AF02B44" w14:textId="4E2F27A4" w:rsidR="00572809" w:rsidRPr="009F3CCC" w:rsidRDefault="00572809" w:rsidP="004C1451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szCs w:val="20"/>
          <w:lang w:val="es-SV"/>
        </w:rPr>
      </w:pPr>
      <w:r w:rsidRPr="00572809">
        <w:rPr>
          <w:rFonts w:ascii="Tahoma" w:hAnsi="Tahoma" w:cs="Tahoma"/>
          <w:b/>
          <w:sz w:val="20"/>
          <w:szCs w:val="20"/>
          <w:u w:val="single"/>
          <w:lang w:val="es-PA"/>
        </w:rPr>
        <w:t>Justificación:</w:t>
      </w:r>
      <w:r>
        <w:rPr>
          <w:rFonts w:ascii="Tahoma" w:hAnsi="Tahoma" w:cs="Tahoma"/>
          <w:b/>
          <w:sz w:val="20"/>
          <w:szCs w:val="20"/>
          <w:lang w:val="es-PA"/>
        </w:rPr>
        <w:t xml:space="preserve"> </w:t>
      </w:r>
      <w:r w:rsidRPr="00572809">
        <w:rPr>
          <w:rFonts w:ascii="Tahoma" w:hAnsi="Tahoma" w:cs="Tahoma"/>
          <w:sz w:val="20"/>
          <w:szCs w:val="20"/>
        </w:rPr>
        <w:t xml:space="preserve">Se realiza cambio de acorde a las funciones establecidas en </w:t>
      </w:r>
      <w:r w:rsidR="00682B5B" w:rsidRPr="009F3CCC">
        <w:rPr>
          <w:rFonts w:ascii="Tahoma" w:hAnsi="Tahoma" w:cs="Tahoma"/>
          <w:sz w:val="20"/>
          <w:szCs w:val="20"/>
        </w:rPr>
        <w:t>el Plan de Continuidad de Negocio</w:t>
      </w:r>
      <w:r w:rsidRPr="009F3CCC">
        <w:rPr>
          <w:rFonts w:ascii="Tahoma" w:hAnsi="Tahoma" w:cs="Tahoma"/>
          <w:sz w:val="20"/>
          <w:szCs w:val="20"/>
        </w:rPr>
        <w:t xml:space="preserve">. </w:t>
      </w:r>
    </w:p>
    <w:p w14:paraId="2AB8A293" w14:textId="77777777" w:rsidR="00380F52" w:rsidRPr="0056208C" w:rsidRDefault="00380F52" w:rsidP="00572809">
      <w:pPr>
        <w:shd w:val="clear" w:color="auto" w:fill="FFFFFF" w:themeFill="background1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9F3CCC">
        <w:rPr>
          <w:rFonts w:ascii="Tahoma" w:hAnsi="Tahoma" w:cs="Tahoma"/>
          <w:lang w:val="es-ES"/>
        </w:rPr>
        <w:t>El Consejo Directivo, toma nota de la presentación la cual se agrega al libro de anexos, y ACUERDA</w:t>
      </w:r>
      <w:r w:rsidRPr="0056208C">
        <w:rPr>
          <w:rFonts w:ascii="Tahoma" w:hAnsi="Tahoma" w:cs="Tahoma"/>
          <w:lang w:val="es-ES"/>
        </w:rPr>
        <w:t>:</w:t>
      </w:r>
    </w:p>
    <w:p w14:paraId="0841B733" w14:textId="77777777" w:rsidR="00380F52" w:rsidRDefault="00380F52" w:rsidP="00572809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2-1674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14:paraId="5C1DD22D" w14:textId="77777777" w:rsidR="00572809" w:rsidRDefault="00572809" w:rsidP="00572809">
      <w:pPr>
        <w:pStyle w:val="Sinespaciado"/>
        <w:tabs>
          <w:tab w:val="left" w:pos="284"/>
        </w:tabs>
        <w:spacing w:after="200" w:line="276" w:lineRule="auto"/>
        <w:ind w:left="-142"/>
        <w:jc w:val="both"/>
        <w:rPr>
          <w:rFonts w:ascii="Tahoma" w:hAnsi="Tahoma" w:cs="Tahoma"/>
          <w:sz w:val="20"/>
          <w:szCs w:val="20"/>
          <w:lang w:val="es-MX" w:eastAsia="es-ES"/>
        </w:rPr>
      </w:pPr>
      <w:r w:rsidRPr="00572809">
        <w:rPr>
          <w:rFonts w:ascii="Tahoma" w:hAnsi="Tahoma" w:cs="Tahoma"/>
          <w:sz w:val="20"/>
          <w:szCs w:val="20"/>
          <w:lang w:val="es-MX" w:eastAsia="es-ES"/>
        </w:rPr>
        <w:t>Aprobar los cambios propuestos</w:t>
      </w:r>
      <w:r>
        <w:rPr>
          <w:rFonts w:ascii="Tahoma" w:hAnsi="Tahoma" w:cs="Tahoma"/>
          <w:sz w:val="20"/>
          <w:szCs w:val="20"/>
          <w:lang w:val="es-MX" w:eastAsia="es-ES"/>
        </w:rPr>
        <w:t xml:space="preserve"> a partir de esta fecha de los documentos siguientes:</w:t>
      </w:r>
    </w:p>
    <w:p w14:paraId="7F150074" w14:textId="77777777" w:rsidR="00572809" w:rsidRPr="00572809" w:rsidRDefault="00572809" w:rsidP="00D95F85">
      <w:pPr>
        <w:pStyle w:val="Sinespaciado"/>
        <w:numPr>
          <w:ilvl w:val="0"/>
          <w:numId w:val="36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eastAsia="es-ES"/>
        </w:rPr>
      </w:pPr>
      <w:r w:rsidRPr="00572809">
        <w:rPr>
          <w:rFonts w:ascii="Tahoma" w:hAnsi="Tahoma" w:cs="Tahoma"/>
          <w:sz w:val="20"/>
          <w:szCs w:val="20"/>
          <w:lang w:val="es-MX" w:eastAsia="es-ES"/>
        </w:rPr>
        <w:t>Plan de Contingencia para el manejo de la liquidez</w:t>
      </w:r>
      <w:r>
        <w:rPr>
          <w:rFonts w:ascii="Tahoma" w:hAnsi="Tahoma" w:cs="Tahoma"/>
          <w:sz w:val="20"/>
          <w:szCs w:val="20"/>
          <w:lang w:val="es-MX" w:eastAsia="es-ES"/>
        </w:rPr>
        <w:t>.</w:t>
      </w:r>
    </w:p>
    <w:p w14:paraId="63BF68DC" w14:textId="77777777" w:rsidR="00572809" w:rsidRPr="00572809" w:rsidRDefault="00572809" w:rsidP="00D95F85">
      <w:pPr>
        <w:pStyle w:val="Sinespaciado"/>
        <w:numPr>
          <w:ilvl w:val="0"/>
          <w:numId w:val="36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eastAsia="es-ES"/>
        </w:rPr>
      </w:pPr>
      <w:r w:rsidRPr="00572809">
        <w:rPr>
          <w:rFonts w:ascii="Tahoma" w:hAnsi="Tahoma" w:cs="Tahoma"/>
          <w:sz w:val="20"/>
          <w:szCs w:val="20"/>
          <w:lang w:val="es-MX" w:eastAsia="es-ES"/>
        </w:rPr>
        <w:t>Plan de Continuidad de Negocio</w:t>
      </w:r>
      <w:r>
        <w:rPr>
          <w:rFonts w:ascii="Tahoma" w:hAnsi="Tahoma" w:cs="Tahoma"/>
          <w:sz w:val="20"/>
          <w:szCs w:val="20"/>
          <w:lang w:val="es-MX" w:eastAsia="es-ES"/>
        </w:rPr>
        <w:t>.</w:t>
      </w:r>
    </w:p>
    <w:p w14:paraId="4126B08A" w14:textId="77777777" w:rsidR="00572809" w:rsidRPr="00E025A4" w:rsidRDefault="00572809" w:rsidP="00D95F85">
      <w:pPr>
        <w:pStyle w:val="Sinespaciado"/>
        <w:numPr>
          <w:ilvl w:val="0"/>
          <w:numId w:val="36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eastAsia="es-ES"/>
        </w:rPr>
      </w:pPr>
      <w:r w:rsidRPr="00572809">
        <w:rPr>
          <w:rFonts w:ascii="Tahoma" w:hAnsi="Tahoma" w:cs="Tahoma"/>
          <w:sz w:val="20"/>
          <w:szCs w:val="20"/>
          <w:lang w:val="es-MX" w:eastAsia="es-ES"/>
        </w:rPr>
        <w:t>Manual de Gestión Integral de Riesgos</w:t>
      </w:r>
      <w:r w:rsidR="00E025A4">
        <w:rPr>
          <w:rFonts w:ascii="Tahoma" w:hAnsi="Tahoma" w:cs="Tahoma"/>
          <w:sz w:val="20"/>
          <w:szCs w:val="20"/>
          <w:lang w:val="es-MX" w:eastAsia="es-ES"/>
        </w:rPr>
        <w:t>.</w:t>
      </w:r>
    </w:p>
    <w:p w14:paraId="044F7833" w14:textId="77777777" w:rsidR="00E025A4" w:rsidRPr="00572809" w:rsidRDefault="00E025A4" w:rsidP="00E025A4">
      <w:pPr>
        <w:pStyle w:val="Sinespaciado"/>
        <w:tabs>
          <w:tab w:val="left" w:pos="284"/>
        </w:tabs>
        <w:spacing w:after="200"/>
        <w:ind w:left="218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77C2FCBD" w14:textId="77777777" w:rsidR="004C558C" w:rsidRPr="004C558C" w:rsidRDefault="004C558C" w:rsidP="004C558C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C558C">
        <w:rPr>
          <w:rFonts w:ascii="Tahoma" w:hAnsi="Tahoma" w:cs="Tahoma"/>
          <w:b/>
          <w:sz w:val="20"/>
          <w:szCs w:val="20"/>
          <w:u w:val="double"/>
          <w:lang w:val="es-PA"/>
        </w:rPr>
        <w:t>SEGUIMIENTO A PLAN DE CONTINUIDAD DE NEGOCIO.</w:t>
      </w:r>
    </w:p>
    <w:p w14:paraId="0E66D20E" w14:textId="425ADCFA" w:rsidR="00E025A4" w:rsidRDefault="004C1451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4C1451">
        <w:rPr>
          <w:rFonts w:ascii="Tahoma" w:hAnsi="Tahoma" w:cs="Tahoma"/>
          <w:sz w:val="20"/>
          <w:szCs w:val="20"/>
          <w:lang w:val="es-PA" w:eastAsia="es-ES"/>
        </w:rPr>
        <w:t>El Director Presidente informa a los miembros de Consejo Directivo el SEGUIMIENTO A PLAN DE CONTINUIDAD DE NEGOCIO,</w:t>
      </w:r>
      <w:r w:rsidRPr="004C1451">
        <w:rPr>
          <w:rFonts w:ascii="Tahoma" w:hAnsi="Tahoma" w:cs="Tahoma"/>
          <w:sz w:val="20"/>
          <w:szCs w:val="20"/>
          <w:lang w:eastAsia="es-ES"/>
        </w:rPr>
        <w:t xml:space="preserve"> cede la palabra al Licenciado</w:t>
      </w:r>
      <w:r w:rsidR="005E49BE">
        <w:rPr>
          <w:rFonts w:ascii="Tahoma" w:hAnsi="Tahoma" w:cs="Tahoma"/>
          <w:sz w:val="20"/>
          <w:szCs w:val="20"/>
          <w:lang w:eastAsia="es-ES"/>
        </w:rPr>
        <w:t xml:space="preserve">               </w:t>
      </w:r>
      <w:r w:rsidRPr="004C1451">
        <w:rPr>
          <w:rFonts w:ascii="Tahoma" w:hAnsi="Tahoma" w:cs="Tahoma"/>
          <w:sz w:val="20"/>
          <w:szCs w:val="20"/>
          <w:lang w:eastAsia="es-ES"/>
        </w:rPr>
        <w:t xml:space="preserve">, Coordinador de Riesgos y expone que en cumplimiento a lo establecido en </w:t>
      </w:r>
      <w:r w:rsidR="00452179" w:rsidRPr="004C1451">
        <w:rPr>
          <w:rFonts w:ascii="Tahoma" w:hAnsi="Tahoma" w:cs="Tahoma"/>
          <w:sz w:val="20"/>
          <w:szCs w:val="20"/>
          <w:lang w:val="es-MX" w:eastAsia="es-ES"/>
        </w:rPr>
        <w:t xml:space="preserve">Ley de Supervisión y Regulación del Sistema Financiero, </w:t>
      </w:r>
      <w:r w:rsidR="00452179" w:rsidRPr="004C1451">
        <w:rPr>
          <w:rFonts w:ascii="Tahoma" w:hAnsi="Tahoma" w:cs="Tahoma"/>
          <w:sz w:val="20"/>
          <w:szCs w:val="20"/>
          <w:lang w:val="es-MX"/>
        </w:rPr>
        <w:t>Política de Riesgos</w:t>
      </w:r>
      <w:r w:rsidR="00E025A4">
        <w:rPr>
          <w:rFonts w:ascii="Tahoma" w:hAnsi="Tahoma" w:cs="Tahoma"/>
          <w:sz w:val="20"/>
          <w:szCs w:val="20"/>
          <w:lang w:val="es-MX"/>
        </w:rPr>
        <w:t xml:space="preserve">, </w:t>
      </w:r>
      <w:r w:rsidR="00452179" w:rsidRPr="004C1451">
        <w:rPr>
          <w:rFonts w:ascii="Tahoma" w:hAnsi="Tahoma" w:cs="Tahoma"/>
          <w:sz w:val="20"/>
          <w:szCs w:val="20"/>
          <w:lang w:val="es-MX"/>
        </w:rPr>
        <w:t>Manual de Gestión Integral de Riesgos</w:t>
      </w:r>
      <w:r w:rsidR="00E025A4">
        <w:rPr>
          <w:rFonts w:ascii="Tahoma" w:hAnsi="Tahoma" w:cs="Tahoma"/>
          <w:sz w:val="20"/>
          <w:szCs w:val="20"/>
          <w:lang w:val="es-MX"/>
        </w:rPr>
        <w:t xml:space="preserve"> y </w:t>
      </w:r>
      <w:r w:rsidR="00452179" w:rsidRPr="004C1451">
        <w:rPr>
          <w:rFonts w:ascii="Tahoma" w:hAnsi="Tahoma" w:cs="Tahoma"/>
          <w:sz w:val="20"/>
          <w:szCs w:val="20"/>
          <w:lang w:val="es-MX"/>
        </w:rPr>
        <w:t>Plan de Continuidad del Negocio</w:t>
      </w:r>
      <w:r w:rsidR="00E025A4">
        <w:rPr>
          <w:rFonts w:ascii="Tahoma" w:hAnsi="Tahoma" w:cs="Tahoma"/>
          <w:sz w:val="20"/>
          <w:szCs w:val="20"/>
          <w:lang w:val="es-MX"/>
        </w:rPr>
        <w:t>. Este punto cuenta con el visto bueno del Comité de Riesgos de</w:t>
      </w:r>
      <w:r w:rsidR="00E025A4" w:rsidRPr="00E025A4">
        <w:rPr>
          <w:rFonts w:ascii="Tahoma" w:hAnsi="Tahoma" w:cs="Tahoma"/>
          <w:sz w:val="20"/>
          <w:szCs w:val="20"/>
          <w:lang w:val="es-MX"/>
        </w:rPr>
        <w:t xml:space="preserve"> sesión N° 74/2023 de fecha 08 de mayo de 2023, </w:t>
      </w:r>
      <w:r w:rsidR="00E025A4">
        <w:rPr>
          <w:rFonts w:ascii="Tahoma" w:hAnsi="Tahoma" w:cs="Tahoma"/>
          <w:sz w:val="20"/>
          <w:szCs w:val="20"/>
          <w:lang w:val="es-MX"/>
        </w:rPr>
        <w:t xml:space="preserve">donde </w:t>
      </w:r>
      <w:r w:rsidR="00E025A4" w:rsidRPr="00E025A4">
        <w:rPr>
          <w:rFonts w:ascii="Tahoma" w:hAnsi="Tahoma" w:cs="Tahoma"/>
          <w:sz w:val="20"/>
          <w:szCs w:val="20"/>
          <w:lang w:val="es-MX"/>
        </w:rPr>
        <w:t>se discutió, analizó y se acordó dar visto bueno al seguimiento del Plan de Continuidad de Negocio, y presentar el Informe a</w:t>
      </w:r>
      <w:r w:rsidR="00E025A4">
        <w:rPr>
          <w:rFonts w:ascii="Tahoma" w:hAnsi="Tahoma" w:cs="Tahoma"/>
          <w:sz w:val="20"/>
          <w:szCs w:val="20"/>
          <w:lang w:val="es-MX"/>
        </w:rPr>
        <w:t>l</w:t>
      </w:r>
      <w:r w:rsidR="00E025A4" w:rsidRPr="00E025A4">
        <w:rPr>
          <w:rFonts w:ascii="Tahoma" w:hAnsi="Tahoma" w:cs="Tahoma"/>
          <w:sz w:val="20"/>
          <w:szCs w:val="20"/>
          <w:lang w:val="es-MX"/>
        </w:rPr>
        <w:t xml:space="preserve"> Consejo Directivo para su conocimiento.</w:t>
      </w:r>
    </w:p>
    <w:p w14:paraId="19950C13" w14:textId="5FFB68D1" w:rsidR="00E025A4" w:rsidRDefault="00E025A4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MX"/>
        </w:rPr>
        <w:t>Se informa que e</w:t>
      </w:r>
      <w:r w:rsidRPr="00E025A4">
        <w:rPr>
          <w:rFonts w:ascii="Tahoma" w:hAnsi="Tahoma" w:cs="Tahoma"/>
          <w:sz w:val="20"/>
          <w:szCs w:val="20"/>
        </w:rPr>
        <w:t xml:space="preserve">n cumplimiento al Plan de Continuidad de Negocio y Programa de Gestión de Seguridad y Salud Ocupacional en remembranzas del terremoto del 10 de Octubre de 1986; se realizó una </w:t>
      </w:r>
      <w:bookmarkStart w:id="0" w:name="_GoBack"/>
      <w:bookmarkEnd w:id="0"/>
      <w:r w:rsidRPr="00E025A4">
        <w:rPr>
          <w:rFonts w:ascii="Tahoma" w:hAnsi="Tahoma" w:cs="Tahoma"/>
          <w:sz w:val="20"/>
          <w:szCs w:val="20"/>
        </w:rPr>
        <w:t>evacuación por sismo de magnitud 3.8 en fecha diez de marzo de 2023 a las 08:50 am y el tiempo de duración de dos minutos en donde participaron todos los empleados de la Corporación y visitas que se encontraban en la instalación.</w:t>
      </w:r>
    </w:p>
    <w:p w14:paraId="32DC48B9" w14:textId="7483D63A" w:rsidR="005E49BE" w:rsidRDefault="005E49BE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639271EA" wp14:editId="6031579F">
            <wp:simplePos x="0" y="0"/>
            <wp:positionH relativeFrom="column">
              <wp:posOffset>3082290</wp:posOffset>
            </wp:positionH>
            <wp:positionV relativeFrom="paragraph">
              <wp:posOffset>95885</wp:posOffset>
            </wp:positionV>
            <wp:extent cx="2895600" cy="2174080"/>
            <wp:effectExtent l="0" t="0" r="0" b="0"/>
            <wp:wrapNone/>
            <wp:docPr id="1027" name="Picture 3" descr="WhatsApp Image 2023-03-10 a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WhatsApp Image 2023-03-10 at 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4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730E992" wp14:editId="2AA40203">
            <wp:simplePos x="0" y="0"/>
            <wp:positionH relativeFrom="column">
              <wp:posOffset>53340</wp:posOffset>
            </wp:positionH>
            <wp:positionV relativeFrom="paragraph">
              <wp:posOffset>105410</wp:posOffset>
            </wp:positionV>
            <wp:extent cx="2918305" cy="2190750"/>
            <wp:effectExtent l="0" t="0" r="0" b="0"/>
            <wp:wrapNone/>
            <wp:docPr id="1026" name="Picture 2" descr="WhatsApp Image 2023-03-10 a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hatsApp Image 2023-03-10 at 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05" cy="2190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EBC3F" w14:textId="6F3C39D7" w:rsidR="005E49BE" w:rsidRDefault="005E49BE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</w:p>
    <w:p w14:paraId="46E88AF6" w14:textId="0982FEC1" w:rsidR="005E49BE" w:rsidRDefault="005E49BE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</w:p>
    <w:p w14:paraId="1351195C" w14:textId="3296F2A0" w:rsidR="00151F88" w:rsidRPr="00E025A4" w:rsidRDefault="00151F88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14:paraId="05FCF618" w14:textId="742C97B0" w:rsidR="00E025A4" w:rsidRPr="00E025A4" w:rsidRDefault="00E025A4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14:paraId="5479AB3E" w14:textId="34B2DBB2" w:rsidR="007C249C" w:rsidRPr="004C1451" w:rsidRDefault="007C249C" w:rsidP="00E025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14:paraId="5AAB5006" w14:textId="0284A143" w:rsidR="00A35376" w:rsidRDefault="00A35376" w:rsidP="004C145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</w:rPr>
      </w:pPr>
    </w:p>
    <w:p w14:paraId="50EA57F2" w14:textId="77777777" w:rsidR="00815A44" w:rsidRPr="0056208C" w:rsidRDefault="00815A44" w:rsidP="00815A44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56208C">
        <w:rPr>
          <w:rFonts w:ascii="Tahoma" w:hAnsi="Tahoma" w:cs="Tahoma"/>
          <w:lang w:val="es-ES"/>
        </w:rPr>
        <w:t>El Consejo Directivo, toma nota de la presentación la cual se agrega al libro de anexos, y ACUERDA:</w:t>
      </w:r>
    </w:p>
    <w:p w14:paraId="493CC112" w14:textId="77777777" w:rsidR="00815A44" w:rsidRDefault="00815A44" w:rsidP="00815A4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687DE5">
        <w:rPr>
          <w:rFonts w:ascii="Tahoma" w:hAnsi="Tahoma" w:cs="Tahoma"/>
          <w:b/>
          <w:sz w:val="20"/>
          <w:szCs w:val="20"/>
        </w:rPr>
        <w:t>3</w:t>
      </w:r>
      <w:r w:rsidR="00572809">
        <w:rPr>
          <w:rFonts w:ascii="Tahoma" w:hAnsi="Tahoma" w:cs="Tahoma"/>
          <w:b/>
          <w:sz w:val="20"/>
          <w:szCs w:val="20"/>
        </w:rPr>
        <w:t>-1674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14:paraId="3AC7A76E" w14:textId="77777777" w:rsidR="00AD5F6A" w:rsidRPr="0081047A" w:rsidRDefault="0081047A" w:rsidP="0081047A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  <w:r w:rsidRPr="0081047A">
        <w:rPr>
          <w:rFonts w:ascii="Tahoma" w:hAnsi="Tahoma" w:cs="Tahoma"/>
          <w:lang w:val="es-MX" w:eastAsia="es-SV"/>
        </w:rPr>
        <w:t xml:space="preserve">Darse por enterados de los resultados del </w:t>
      </w:r>
      <w:r w:rsidR="00E025A4">
        <w:rPr>
          <w:rFonts w:ascii="Tahoma" w:hAnsi="Tahoma" w:cs="Tahoma"/>
          <w:lang w:val="es-MX" w:eastAsia="es-SV"/>
        </w:rPr>
        <w:t xml:space="preserve">seguimiento al </w:t>
      </w:r>
      <w:r w:rsidR="00E025A4" w:rsidRPr="00E025A4">
        <w:rPr>
          <w:rFonts w:ascii="Tahoma" w:hAnsi="Tahoma" w:cs="Tahoma"/>
          <w:lang w:val="es-MX" w:eastAsia="es-SV"/>
        </w:rPr>
        <w:t>Plan de Continuidad de Negocio</w:t>
      </w:r>
      <w:r w:rsidR="00E025A4">
        <w:rPr>
          <w:rFonts w:ascii="Tahoma" w:hAnsi="Tahoma" w:cs="Tahoma"/>
          <w:lang w:val="es-MX" w:eastAsia="es-SV"/>
        </w:rPr>
        <w:t>, correspondiente al periodo 2023.</w:t>
      </w:r>
    </w:p>
    <w:p w14:paraId="186F0346" w14:textId="77777777" w:rsidR="00815A44" w:rsidRPr="006149D0" w:rsidRDefault="00815A44" w:rsidP="006149D0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</w:p>
    <w:p w14:paraId="75DD65E0" w14:textId="77777777" w:rsidR="001636AD" w:rsidRDefault="001636AD" w:rsidP="00ED7257">
      <w:pPr>
        <w:spacing w:line="360" w:lineRule="auto"/>
        <w:ind w:left="-284"/>
        <w:jc w:val="both"/>
        <w:rPr>
          <w:rFonts w:ascii="Tahoma" w:hAnsi="Tahoma" w:cs="Tahoma"/>
          <w:bCs/>
          <w:szCs w:val="22"/>
          <w:lang w:val="es-SV" w:eastAsia="en-US"/>
        </w:rPr>
      </w:pPr>
    </w:p>
    <w:p w14:paraId="499A2D39" w14:textId="77777777" w:rsidR="00182A98" w:rsidRDefault="0069727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E025A4">
        <w:rPr>
          <w:rFonts w:ascii="Tahoma" w:hAnsi="Tahoma" w:cs="Tahoma"/>
          <w:lang w:val="es-SV"/>
        </w:rPr>
        <w:t>doce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E025A4">
        <w:rPr>
          <w:rFonts w:ascii="Tahoma" w:hAnsi="Tahoma" w:cs="Tahoma"/>
          <w:lang w:val="es-SV"/>
        </w:rPr>
        <w:t>quince de mayo</w:t>
      </w:r>
      <w:r w:rsidR="00036DC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14:paraId="3AC5BE72" w14:textId="77777777" w:rsidR="00696822" w:rsidRPr="00EF0DCD" w:rsidRDefault="00696822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</w:p>
    <w:p w14:paraId="229C3FFB" w14:textId="77777777" w:rsidR="00D94E2D" w:rsidRDefault="00D94E2D" w:rsidP="001D7E89">
      <w:pPr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2B746D" w:rsidRPr="000C7EBC" w14:paraId="2AC85684" w14:textId="77777777" w:rsidTr="008314FB">
        <w:trPr>
          <w:trHeight w:val="1286"/>
        </w:trPr>
        <w:tc>
          <w:tcPr>
            <w:tcW w:w="4678" w:type="dxa"/>
            <w:shd w:val="clear" w:color="auto" w:fill="auto"/>
          </w:tcPr>
          <w:p w14:paraId="02486352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14:paraId="2E16E92D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14:paraId="3FFC3985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14:paraId="4A376973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14:paraId="4AD53B37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714D9008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14:paraId="479B880E" w14:textId="77777777" w:rsidR="002B746D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  <w:p w14:paraId="34BF5262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2B746D" w:rsidRPr="000C7EBC" w14:paraId="0F8CAE9D" w14:textId="77777777" w:rsidTr="008314FB">
        <w:trPr>
          <w:trHeight w:val="571"/>
        </w:trPr>
        <w:tc>
          <w:tcPr>
            <w:tcW w:w="4678" w:type="dxa"/>
            <w:shd w:val="clear" w:color="auto" w:fill="auto"/>
          </w:tcPr>
          <w:p w14:paraId="62ABC26B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24E731C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6A2FD1F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75D56327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14:paraId="1649C7A8" w14:textId="77777777" w:rsidR="002B746D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14:paraId="277D2E82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</w:p>
          <w:p w14:paraId="086DE6BB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B393B91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DAF2D40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2467C898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14:paraId="3C87289D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14:paraId="282DEE1F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514E1FF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D2EB919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47FB62B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27C7167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3B1757D5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14:paraId="099150F0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14:paraId="26DAB066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14:paraId="2EAE0F26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14:paraId="6687F354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88EC525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682DD7EF" w14:textId="77777777" w:rsidR="002B746D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RAFAEL ERNESTO BAIRES FUENTES  </w:t>
            </w:r>
          </w:p>
          <w:p w14:paraId="41C1CE35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14:paraId="43108DB0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D1868E2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C7C9F09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3EDFCB4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C045676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5D75DB3C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14:paraId="0D687BFE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14:paraId="7C698807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7945CB1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1B4DEBA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2D132C0" w14:textId="77777777" w:rsidR="002B746D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E94DDE6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0011747C" w14:textId="77777777" w:rsidR="002B746D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14:paraId="38AE67CE" w14:textId="77777777" w:rsidR="002B746D" w:rsidRPr="000C7EBC" w:rsidRDefault="002B746D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14:paraId="15D10A81" w14:textId="77777777" w:rsidR="002B746D" w:rsidRPr="000C7EBC" w:rsidRDefault="002B746D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</w:tbl>
    <w:p w14:paraId="5F4F5108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15B04EC9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27CB2400" w14:textId="77777777"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3930B" w14:textId="77777777" w:rsidR="0039244C" w:rsidRDefault="0039244C" w:rsidP="001A7AEF">
      <w:r>
        <w:separator/>
      </w:r>
    </w:p>
  </w:endnote>
  <w:endnote w:type="continuationSeparator" w:id="0">
    <w:p w14:paraId="5A03D3D0" w14:textId="77777777" w:rsidR="0039244C" w:rsidRDefault="0039244C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A64D7" w14:textId="77777777" w:rsidR="0039244C" w:rsidRDefault="0039244C" w:rsidP="001A7AEF">
      <w:r>
        <w:separator/>
      </w:r>
    </w:p>
  </w:footnote>
  <w:footnote w:type="continuationSeparator" w:id="0">
    <w:p w14:paraId="2119AA99" w14:textId="77777777" w:rsidR="0039244C" w:rsidRDefault="0039244C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0C2"/>
    <w:multiLevelType w:val="hybridMultilevel"/>
    <w:tmpl w:val="EB42E976"/>
    <w:lvl w:ilvl="0" w:tplc="FE2EAD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2A29B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660C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E08BF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EA88D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B0737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84CAB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82C8E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CA9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03674"/>
    <w:multiLevelType w:val="hybridMultilevel"/>
    <w:tmpl w:val="9D3215DC"/>
    <w:lvl w:ilvl="0" w:tplc="E1262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1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3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28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9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2D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67008D"/>
    <w:multiLevelType w:val="hybridMultilevel"/>
    <w:tmpl w:val="94E0BCF6"/>
    <w:lvl w:ilvl="0" w:tplc="9C1EB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68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5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0C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48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E9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62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345A59"/>
    <w:multiLevelType w:val="hybridMultilevel"/>
    <w:tmpl w:val="C80AC2E4"/>
    <w:lvl w:ilvl="0" w:tplc="17C06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8B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81F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84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6FD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824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88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45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41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D10357"/>
    <w:multiLevelType w:val="hybridMultilevel"/>
    <w:tmpl w:val="B51C97BA"/>
    <w:lvl w:ilvl="0" w:tplc="5A8C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C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4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9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C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6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5F110F"/>
    <w:multiLevelType w:val="hybridMultilevel"/>
    <w:tmpl w:val="256CFD64"/>
    <w:lvl w:ilvl="0" w:tplc="984C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0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C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22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C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0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F151FB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EF43E1C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54748D0"/>
    <w:multiLevelType w:val="hybridMultilevel"/>
    <w:tmpl w:val="469E85A8"/>
    <w:lvl w:ilvl="0" w:tplc="1E98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6D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2A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CD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D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0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6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631B18"/>
    <w:multiLevelType w:val="hybridMultilevel"/>
    <w:tmpl w:val="3FF02CF6"/>
    <w:lvl w:ilvl="0" w:tplc="54BAE8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0A13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904437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78FD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DAC0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0255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06C7C6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C6E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51E9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5D00B30"/>
    <w:multiLevelType w:val="hybridMultilevel"/>
    <w:tmpl w:val="A9FE1DFA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6F74581"/>
    <w:multiLevelType w:val="hybridMultilevel"/>
    <w:tmpl w:val="3AE85B14"/>
    <w:lvl w:ilvl="0" w:tplc="7BA86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925C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26C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B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6BF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2B3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BE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2451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0E92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DC7097B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E5064"/>
    <w:multiLevelType w:val="hybridMultilevel"/>
    <w:tmpl w:val="91F04A32"/>
    <w:lvl w:ilvl="0" w:tplc="B3EE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E6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8C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E6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0A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22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6DB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A5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2A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3290BF4"/>
    <w:multiLevelType w:val="hybridMultilevel"/>
    <w:tmpl w:val="755CCD40"/>
    <w:lvl w:ilvl="0" w:tplc="BE0E9B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614FC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32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8C6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C2B2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90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C4AE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AA5A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1483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4CE32C3"/>
    <w:multiLevelType w:val="hybridMultilevel"/>
    <w:tmpl w:val="B0648A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23F00"/>
    <w:multiLevelType w:val="hybridMultilevel"/>
    <w:tmpl w:val="51383728"/>
    <w:lvl w:ilvl="0" w:tplc="782C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0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8C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EC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0F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6B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CA872AC"/>
    <w:multiLevelType w:val="hybridMultilevel"/>
    <w:tmpl w:val="F334DB12"/>
    <w:lvl w:ilvl="0" w:tplc="D8D62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284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C1E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45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8E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E2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8F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C6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0C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3673101"/>
    <w:multiLevelType w:val="hybridMultilevel"/>
    <w:tmpl w:val="781C4708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E04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9">
    <w:nsid w:val="6AD828E1"/>
    <w:multiLevelType w:val="hybridMultilevel"/>
    <w:tmpl w:val="47A27678"/>
    <w:lvl w:ilvl="0" w:tplc="7F0211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B677A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F56D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CBD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8A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9CCD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B42B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B2CE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889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6D5E000A"/>
    <w:multiLevelType w:val="hybridMultilevel"/>
    <w:tmpl w:val="6CFC9CB0"/>
    <w:lvl w:ilvl="0" w:tplc="B010E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2D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84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45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0E2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840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A50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ED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9431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5F7649C"/>
    <w:multiLevelType w:val="hybridMultilevel"/>
    <w:tmpl w:val="96221F4A"/>
    <w:lvl w:ilvl="0" w:tplc="515CB3F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70707"/>
    <w:multiLevelType w:val="hybridMultilevel"/>
    <w:tmpl w:val="8D6C0C2A"/>
    <w:lvl w:ilvl="0" w:tplc="1826B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6C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2F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2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1235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2E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E3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6E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9E80E4D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24"/>
  </w:num>
  <w:num w:numId="4">
    <w:abstractNumId w:val="6"/>
  </w:num>
  <w:num w:numId="5">
    <w:abstractNumId w:val="26"/>
  </w:num>
  <w:num w:numId="6">
    <w:abstractNumId w:val="14"/>
  </w:num>
  <w:num w:numId="7">
    <w:abstractNumId w:val="13"/>
  </w:num>
  <w:num w:numId="8">
    <w:abstractNumId w:val="9"/>
  </w:num>
  <w:num w:numId="9">
    <w:abstractNumId w:val="25"/>
  </w:num>
  <w:num w:numId="10">
    <w:abstractNumId w:val="28"/>
  </w:num>
  <w:num w:numId="11">
    <w:abstractNumId w:val="5"/>
  </w:num>
  <w:num w:numId="12">
    <w:abstractNumId w:val="34"/>
  </w:num>
  <w:num w:numId="13">
    <w:abstractNumId w:val="29"/>
  </w:num>
  <w:num w:numId="14">
    <w:abstractNumId w:val="2"/>
  </w:num>
  <w:num w:numId="15">
    <w:abstractNumId w:val="12"/>
  </w:num>
  <w:num w:numId="16">
    <w:abstractNumId w:val="22"/>
  </w:num>
  <w:num w:numId="17">
    <w:abstractNumId w:val="8"/>
  </w:num>
  <w:num w:numId="18">
    <w:abstractNumId w:val="27"/>
  </w:num>
  <w:num w:numId="19">
    <w:abstractNumId w:val="16"/>
  </w:num>
  <w:num w:numId="20">
    <w:abstractNumId w:val="35"/>
  </w:num>
  <w:num w:numId="21">
    <w:abstractNumId w:val="7"/>
  </w:num>
  <w:num w:numId="22">
    <w:abstractNumId w:val="20"/>
  </w:num>
  <w:num w:numId="23">
    <w:abstractNumId w:val="1"/>
  </w:num>
  <w:num w:numId="24">
    <w:abstractNumId w:val="36"/>
  </w:num>
  <w:num w:numId="25">
    <w:abstractNumId w:val="19"/>
  </w:num>
  <w:num w:numId="26">
    <w:abstractNumId w:val="23"/>
  </w:num>
  <w:num w:numId="27">
    <w:abstractNumId w:val="15"/>
  </w:num>
  <w:num w:numId="28">
    <w:abstractNumId w:val="21"/>
  </w:num>
  <w:num w:numId="29">
    <w:abstractNumId w:val="11"/>
  </w:num>
  <w:num w:numId="30">
    <w:abstractNumId w:val="10"/>
  </w:num>
  <w:num w:numId="31">
    <w:abstractNumId w:val="4"/>
  </w:num>
  <w:num w:numId="32">
    <w:abstractNumId w:val="0"/>
  </w:num>
  <w:num w:numId="33">
    <w:abstractNumId w:val="18"/>
  </w:num>
  <w:num w:numId="34">
    <w:abstractNumId w:val="3"/>
  </w:num>
  <w:num w:numId="35">
    <w:abstractNumId w:val="17"/>
  </w:num>
  <w:num w:numId="36">
    <w:abstractNumId w:val="32"/>
  </w:num>
  <w:num w:numId="37">
    <w:abstractNumId w:val="30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36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32C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1F88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A3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46D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9FC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0F52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44C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179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45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58C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587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809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9BE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2B5B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21B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49C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856"/>
    <w:rsid w:val="009F29B7"/>
    <w:rsid w:val="009F2D73"/>
    <w:rsid w:val="009F3970"/>
    <w:rsid w:val="009F39D9"/>
    <w:rsid w:val="009F3B19"/>
    <w:rsid w:val="009F3CCC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4EFA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5F6A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469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5F85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5A4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48CEC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0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10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67B2-0610-409A-9718-0944C101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2023-06-01T17:46:00Z</cp:lastPrinted>
  <dcterms:created xsi:type="dcterms:W3CDTF">2024-02-05T19:18:00Z</dcterms:created>
  <dcterms:modified xsi:type="dcterms:W3CDTF">2024-02-05T19:18:00Z</dcterms:modified>
</cp:coreProperties>
</file>