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19CE51A9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722FB6">
        <w:rPr>
          <w:rFonts w:ascii="Arial" w:hAnsi="Arial" w:cs="Arial"/>
          <w:b/>
          <w:sz w:val="20"/>
          <w:szCs w:val="22"/>
        </w:rPr>
        <w:t>01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722FB6">
        <w:rPr>
          <w:rFonts w:ascii="Arial" w:hAnsi="Arial" w:cs="Arial"/>
          <w:b/>
          <w:sz w:val="20"/>
          <w:szCs w:val="22"/>
        </w:rPr>
        <w:t>2023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4C3D2409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6302BB" w:rsidRPr="00730D80">
        <w:rPr>
          <w:rFonts w:ascii="Arial" w:hAnsi="Arial" w:cs="Arial"/>
          <w:b/>
          <w:sz w:val="20"/>
          <w:szCs w:val="22"/>
        </w:rPr>
        <w:t>SI-01</w:t>
      </w:r>
      <w:r w:rsidR="00722FB6">
        <w:rPr>
          <w:rFonts w:ascii="Arial" w:hAnsi="Arial" w:cs="Arial"/>
          <w:b/>
          <w:sz w:val="20"/>
          <w:szCs w:val="22"/>
        </w:rPr>
        <w:t>-2023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2424A6" w:rsidRPr="00730D80">
        <w:rPr>
          <w:rFonts w:ascii="Arial" w:hAnsi="Arial" w:cs="Arial"/>
          <w:sz w:val="20"/>
          <w:szCs w:val="22"/>
        </w:rPr>
        <w:t xml:space="preserve">presentada por </w:t>
      </w:r>
      <w:r w:rsidR="000452B9" w:rsidRPr="00730D80">
        <w:rPr>
          <w:rFonts w:ascii="Arial" w:hAnsi="Arial" w:cs="Arial"/>
          <w:sz w:val="20"/>
          <w:szCs w:val="22"/>
        </w:rPr>
        <w:t>el</w:t>
      </w:r>
      <w:r w:rsidR="002C0D5C" w:rsidRPr="00730D80">
        <w:rPr>
          <w:rFonts w:ascii="Arial" w:hAnsi="Arial" w:cs="Arial"/>
          <w:sz w:val="20"/>
          <w:szCs w:val="22"/>
        </w:rPr>
        <w:t xml:space="preserve"> señor</w:t>
      </w:r>
      <w:r w:rsidR="00182C4E">
        <w:rPr>
          <w:rFonts w:ascii="Arial" w:hAnsi="Arial" w:cs="Arial"/>
          <w:sz w:val="20"/>
          <w:szCs w:val="22"/>
          <w:lang w:val="es-ES"/>
        </w:rPr>
        <w:t xml:space="preserve">                                                                    </w:t>
      </w:r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50B3C897" w14:textId="0D9F791B" w:rsidR="000452B9" w:rsidRPr="00730D80" w:rsidRDefault="00115DC1" w:rsidP="000452B9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6302BB" w:rsidRPr="00730D80">
        <w:rPr>
          <w:rFonts w:ascii="Arial" w:hAnsi="Arial" w:cs="Arial"/>
          <w:b/>
          <w:i/>
          <w:sz w:val="20"/>
          <w:szCs w:val="22"/>
          <w:lang w:val="es-ES"/>
        </w:rPr>
        <w:t>“Solicito me extienda el constancia de tiempo de servicio y copia simple de planillas, fecha aproximada de ingreso marzo de 1984 a diciembre de 1997 con el cargo de técnico de sección contabilidad y técnico de auditoria interna”</w:t>
      </w: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53A29CE8" w14:textId="4AC0009E" w:rsidR="00015814" w:rsidRPr="00730D80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Las unidades administr</w:t>
      </w:r>
      <w:r w:rsidR="009B06D7" w:rsidRPr="00730D80">
        <w:rPr>
          <w:rFonts w:ascii="Arial" w:hAnsi="Arial" w:cs="Arial"/>
          <w:sz w:val="20"/>
          <w:szCs w:val="22"/>
        </w:rPr>
        <w:t>ativas responsables notificaron, que remiten:</w:t>
      </w:r>
    </w:p>
    <w:p w14:paraId="42E492A0" w14:textId="05969162" w:rsidR="009B06D7" w:rsidRPr="00730D80" w:rsidRDefault="009B06D7" w:rsidP="009B06D7">
      <w:pPr>
        <w:pStyle w:val="Prrafodelista"/>
        <w:numPr>
          <w:ilvl w:val="0"/>
          <w:numId w:val="5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Constancia de tiempo de servicio.</w:t>
      </w:r>
    </w:p>
    <w:p w14:paraId="6742B7EB" w14:textId="4BCC4F82" w:rsidR="009B06D7" w:rsidRPr="00730D80" w:rsidRDefault="009B06D7" w:rsidP="009B06D7">
      <w:pPr>
        <w:pStyle w:val="Prrafodelista"/>
        <w:numPr>
          <w:ilvl w:val="0"/>
          <w:numId w:val="5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Copias simples de planillas de ISSS donde aparece reportado el Señor </w:t>
      </w:r>
      <w:r w:rsidR="00182C4E">
        <w:rPr>
          <w:rFonts w:ascii="Arial" w:hAnsi="Arial" w:cs="Arial"/>
          <w:sz w:val="20"/>
          <w:szCs w:val="22"/>
        </w:rPr>
        <w:t xml:space="preserve">                          </w:t>
      </w:r>
      <w:bookmarkStart w:id="0" w:name="_GoBack"/>
      <w:bookmarkEnd w:id="0"/>
      <w:r w:rsidRPr="00730D80">
        <w:rPr>
          <w:rFonts w:ascii="Arial" w:hAnsi="Arial" w:cs="Arial"/>
          <w:sz w:val="20"/>
          <w:szCs w:val="22"/>
        </w:rPr>
        <w:t>del 1990 los meses de abril, mayo, junio, julio, agosto, septiembre, octubre, noviembre, y diciembre. Y los años 1001, 1992, 1993, 1994, 1995, 1996 y 1997.</w:t>
      </w:r>
    </w:p>
    <w:p w14:paraId="45AB6977" w14:textId="11D56527" w:rsidR="009B06D7" w:rsidRPr="00730D80" w:rsidRDefault="009B06D7" w:rsidP="009B06D7">
      <w:pPr>
        <w:pStyle w:val="Prrafodelista"/>
        <w:numPr>
          <w:ilvl w:val="0"/>
          <w:numId w:val="5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enero de 1998</w:t>
      </w:r>
      <w:r w:rsidR="00730D80" w:rsidRPr="00730D80">
        <w:rPr>
          <w:rFonts w:ascii="Arial" w:hAnsi="Arial" w:cs="Arial"/>
          <w:sz w:val="20"/>
          <w:szCs w:val="22"/>
        </w:rPr>
        <w:t>, se aclara que no hay reporte de cotización aunque en la constancia aparece finalización en el referido mes, dado que solicito un permiso sin goce salario para el mismo.</w:t>
      </w:r>
    </w:p>
    <w:p w14:paraId="10D6FB29" w14:textId="77777777" w:rsidR="002C0D5C" w:rsidRPr="00730D80" w:rsidRDefault="002C0D5C" w:rsidP="002C0D5C">
      <w:pPr>
        <w:pStyle w:val="Prrafodelista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7ABED28A" w14:textId="2B9C5F0C" w:rsidR="00E57AAA" w:rsidRDefault="006A2C39" w:rsidP="000452B9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Enviar</w:t>
      </w:r>
      <w:r w:rsidR="000452B9" w:rsidRPr="00730D80">
        <w:rPr>
          <w:rFonts w:ascii="Arial" w:hAnsi="Arial" w:cs="Arial"/>
          <w:b/>
          <w:sz w:val="20"/>
          <w:szCs w:val="22"/>
        </w:rPr>
        <w:t xml:space="preserve"> la información vía correo electrónico proporcionado por el peticionario.</w:t>
      </w:r>
    </w:p>
    <w:p w14:paraId="0A877636" w14:textId="6AA3A744" w:rsidR="00121220" w:rsidRPr="00730D80" w:rsidRDefault="00722FB6" w:rsidP="000452B9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La información cuenta con 228 folios útiles.</w:t>
      </w:r>
    </w:p>
    <w:p w14:paraId="059FE562" w14:textId="77777777" w:rsidR="00E57AAA" w:rsidRPr="00730D80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211B9284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722FB6">
        <w:rPr>
          <w:rFonts w:ascii="Arial" w:hAnsi="Arial" w:cs="Arial"/>
          <w:sz w:val="20"/>
          <w:szCs w:val="22"/>
        </w:rPr>
        <w:t>1</w:t>
      </w:r>
      <w:r w:rsidR="00D63AB6" w:rsidRPr="00730D80">
        <w:rPr>
          <w:rFonts w:ascii="Arial" w:hAnsi="Arial" w:cs="Arial"/>
          <w:sz w:val="20"/>
          <w:szCs w:val="22"/>
        </w:rPr>
        <w:t xml:space="preserve"> </w:t>
      </w:r>
      <w:r w:rsidR="00815342" w:rsidRPr="00730D80">
        <w:rPr>
          <w:rFonts w:ascii="Arial" w:hAnsi="Arial" w:cs="Arial"/>
          <w:sz w:val="20"/>
          <w:szCs w:val="22"/>
        </w:rPr>
        <w:t xml:space="preserve">de </w:t>
      </w:r>
      <w:r w:rsidR="00730D80" w:rsidRPr="00730D80">
        <w:rPr>
          <w:rFonts w:ascii="Arial" w:hAnsi="Arial" w:cs="Arial"/>
          <w:sz w:val="20"/>
          <w:szCs w:val="22"/>
        </w:rPr>
        <w:t>febrero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730D80" w:rsidRPr="00730D80">
        <w:rPr>
          <w:rFonts w:ascii="Arial" w:hAnsi="Arial" w:cs="Arial"/>
          <w:sz w:val="20"/>
          <w:szCs w:val="22"/>
        </w:rPr>
        <w:t>dos mil veintitrés</w:t>
      </w:r>
      <w:r w:rsidRPr="00730D80">
        <w:rPr>
          <w:rFonts w:ascii="Arial" w:hAnsi="Arial" w:cs="Arial"/>
          <w:sz w:val="20"/>
          <w:szCs w:val="22"/>
        </w:rPr>
        <w:t>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09218458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Arleht Pocasangre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F2C90" w14:textId="77777777" w:rsidR="006C2FB3" w:rsidRDefault="006C2FB3" w:rsidP="00E52398">
      <w:r>
        <w:separator/>
      </w:r>
    </w:p>
  </w:endnote>
  <w:endnote w:type="continuationSeparator" w:id="0">
    <w:p w14:paraId="008295A8" w14:textId="77777777" w:rsidR="006C2FB3" w:rsidRDefault="006C2FB3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04E15" w14:textId="77777777" w:rsidR="006C2FB3" w:rsidRDefault="006C2FB3" w:rsidP="00E52398">
      <w:r>
        <w:separator/>
      </w:r>
    </w:p>
  </w:footnote>
  <w:footnote w:type="continuationSeparator" w:id="0">
    <w:p w14:paraId="1582E94C" w14:textId="77777777" w:rsidR="006C2FB3" w:rsidRDefault="006C2FB3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220"/>
    <w:rsid w:val="00121581"/>
    <w:rsid w:val="0013571B"/>
    <w:rsid w:val="00182C4E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302BB"/>
    <w:rsid w:val="00694DFE"/>
    <w:rsid w:val="006A2C39"/>
    <w:rsid w:val="006A361F"/>
    <w:rsid w:val="006C2FB3"/>
    <w:rsid w:val="006F5CE9"/>
    <w:rsid w:val="00707853"/>
    <w:rsid w:val="00707BCF"/>
    <w:rsid w:val="00722FB6"/>
    <w:rsid w:val="00730D80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B06D7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2023-02-01T16:16:00Z</cp:lastPrinted>
  <dcterms:created xsi:type="dcterms:W3CDTF">2023-12-07T21:37:00Z</dcterms:created>
  <dcterms:modified xsi:type="dcterms:W3CDTF">2023-12-07T21:37:00Z</dcterms:modified>
</cp:coreProperties>
</file>