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05E" w:rsidRDefault="001A205E" w:rsidP="00C47ACB">
      <w:pPr>
        <w:pStyle w:val="Encabezado"/>
        <w:spacing w:line="360" w:lineRule="auto"/>
        <w:ind w:right="360"/>
        <w:jc w:val="both"/>
        <w:rPr>
          <w:rFonts w:ascii="Tahoma" w:hAnsi="Tahoma" w:cs="Tahoma"/>
          <w:i/>
          <w:lang w:val="es-SV"/>
        </w:rPr>
      </w:pPr>
    </w:p>
    <w:p w:rsidR="001A205E" w:rsidRDefault="001A205E" w:rsidP="00C47ACB">
      <w:pPr>
        <w:pStyle w:val="Encabezado"/>
        <w:spacing w:line="360" w:lineRule="auto"/>
        <w:ind w:right="360"/>
        <w:jc w:val="both"/>
        <w:rPr>
          <w:rFonts w:ascii="Tahoma" w:hAnsi="Tahoma" w:cs="Tahoma"/>
          <w:i/>
          <w:lang w:val="es-SV"/>
        </w:rPr>
      </w:pPr>
    </w:p>
    <w:p w:rsidR="001A205E" w:rsidRDefault="001A205E" w:rsidP="00C47ACB">
      <w:pPr>
        <w:pStyle w:val="Encabezado"/>
        <w:spacing w:line="360" w:lineRule="auto"/>
        <w:ind w:right="360"/>
        <w:jc w:val="both"/>
        <w:rPr>
          <w:rFonts w:ascii="Tahoma" w:hAnsi="Tahoma" w:cs="Tahoma"/>
          <w:i/>
          <w:lang w:val="es-SV"/>
        </w:rPr>
      </w:pPr>
    </w:p>
    <w:p w:rsidR="001A205E" w:rsidRDefault="001A205E" w:rsidP="00C47ACB">
      <w:pPr>
        <w:pStyle w:val="Encabezado"/>
        <w:spacing w:line="360" w:lineRule="auto"/>
        <w:ind w:right="360"/>
        <w:jc w:val="both"/>
        <w:rPr>
          <w:rFonts w:ascii="Tahoma" w:hAnsi="Tahoma" w:cs="Tahoma"/>
          <w:i/>
          <w:lang w:val="es-SV"/>
        </w:rPr>
      </w:pPr>
    </w:p>
    <w:p w:rsidR="001A205E" w:rsidRDefault="001A205E" w:rsidP="00C47ACB">
      <w:pPr>
        <w:pStyle w:val="Encabezado"/>
        <w:spacing w:line="360" w:lineRule="auto"/>
        <w:ind w:right="360"/>
        <w:jc w:val="both"/>
        <w:rPr>
          <w:rFonts w:ascii="Tahoma" w:hAnsi="Tahoma" w:cs="Tahoma"/>
          <w:i/>
          <w:lang w:val="es-SV"/>
        </w:rPr>
      </w:pPr>
    </w:p>
    <w:p w:rsidR="001A205E" w:rsidRDefault="001A205E"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013566">
        <w:rPr>
          <w:rFonts w:ascii="Tahoma" w:hAnsi="Tahoma" w:cs="Tahoma"/>
          <w:i/>
          <w:lang w:val="es-SV"/>
        </w:rPr>
        <w:t>165</w:t>
      </w:r>
      <w:r w:rsidR="002455FB">
        <w:rPr>
          <w:rFonts w:ascii="Tahoma" w:hAnsi="Tahoma" w:cs="Tahoma"/>
          <w:i/>
          <w:lang w:val="es-SV"/>
        </w:rPr>
        <w:t>8</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Default="002455FB" w:rsidP="009E4035">
      <w:pPr>
        <w:pStyle w:val="Encabezado"/>
        <w:spacing w:line="360" w:lineRule="auto"/>
        <w:ind w:right="360"/>
        <w:jc w:val="both"/>
        <w:rPr>
          <w:rFonts w:ascii="Tahoma" w:hAnsi="Tahoma" w:cs="Tahoma"/>
          <w:i/>
          <w:lang w:val="es-SV"/>
        </w:rPr>
      </w:pPr>
      <w:r>
        <w:rPr>
          <w:rFonts w:ascii="Tahoma" w:hAnsi="Tahoma" w:cs="Tahoma"/>
          <w:i/>
          <w:lang w:val="es-SV"/>
        </w:rPr>
        <w:t>15</w:t>
      </w:r>
      <w:r w:rsidR="0046326A">
        <w:rPr>
          <w:rFonts w:ascii="Tahoma" w:hAnsi="Tahoma" w:cs="Tahoma"/>
          <w:i/>
          <w:lang w:val="es-SV"/>
        </w:rPr>
        <w:t xml:space="preserve"> de </w:t>
      </w:r>
      <w:r w:rsidR="002035BD">
        <w:rPr>
          <w:rFonts w:ascii="Tahoma" w:hAnsi="Tahoma" w:cs="Tahoma"/>
          <w:i/>
          <w:lang w:val="es-SV"/>
        </w:rPr>
        <w:t>diciembre</w:t>
      </w:r>
      <w:r w:rsidR="009E1953" w:rsidRPr="00AD0C23">
        <w:rPr>
          <w:rFonts w:ascii="Tahoma" w:hAnsi="Tahoma" w:cs="Tahoma"/>
          <w:i/>
          <w:lang w:val="es-SV"/>
        </w:rPr>
        <w:t xml:space="preserve"> </w:t>
      </w:r>
      <w:r w:rsidR="006835C7" w:rsidRPr="00AD0C23">
        <w:rPr>
          <w:rFonts w:ascii="Tahoma" w:hAnsi="Tahoma" w:cs="Tahoma"/>
          <w:i/>
          <w:lang w:val="es-SV"/>
        </w:rPr>
        <w:t>de 2022</w:t>
      </w:r>
    </w:p>
    <w:p w:rsidR="00E931F3" w:rsidRPr="00AD0C23" w:rsidRDefault="00E931F3" w:rsidP="009E4035">
      <w:pPr>
        <w:pStyle w:val="Encabezado"/>
        <w:spacing w:line="360" w:lineRule="auto"/>
        <w:ind w:right="360"/>
        <w:jc w:val="both"/>
        <w:rPr>
          <w:rFonts w:ascii="Tahoma" w:hAnsi="Tahoma" w:cs="Tahoma"/>
          <w:i/>
          <w:lang w:val="es-SV"/>
        </w:rPr>
      </w:pP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013566">
        <w:rPr>
          <w:rFonts w:ascii="Tahoma" w:hAnsi="Tahoma" w:cs="Tahoma"/>
          <w:b/>
          <w:lang w:val="es-SV"/>
        </w:rPr>
        <w:t>5</w:t>
      </w:r>
      <w:r w:rsidR="002455FB">
        <w:rPr>
          <w:rFonts w:ascii="Tahoma" w:hAnsi="Tahoma" w:cs="Tahoma"/>
          <w:b/>
          <w:lang w:val="es-SV"/>
        </w:rPr>
        <w:t>8</w:t>
      </w:r>
      <w:r w:rsidR="006835C7" w:rsidRPr="00AD0C23">
        <w:rPr>
          <w:rFonts w:ascii="Tahoma" w:hAnsi="Tahoma" w:cs="Tahoma"/>
          <w:b/>
          <w:lang w:val="es-SV"/>
        </w:rPr>
        <w:t>/2022</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2035BD">
        <w:rPr>
          <w:rFonts w:ascii="Tahoma" w:hAnsi="Tahoma" w:cs="Tahoma"/>
          <w:lang w:val="es-SV"/>
        </w:rPr>
        <w:t>doce</w:t>
      </w:r>
      <w:r w:rsidR="00013566">
        <w:rPr>
          <w:rFonts w:ascii="Tahoma" w:hAnsi="Tahoma" w:cs="Tahoma"/>
          <w:lang w:val="es-SV"/>
        </w:rPr>
        <w:t xml:space="preserv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2455FB">
        <w:rPr>
          <w:rFonts w:ascii="Tahoma" w:hAnsi="Tahoma" w:cs="Tahoma"/>
          <w:lang w:val="es-SV"/>
        </w:rPr>
        <w:t>quince</w:t>
      </w:r>
      <w:r w:rsidR="0046326A">
        <w:rPr>
          <w:rFonts w:ascii="Tahoma" w:hAnsi="Tahoma" w:cs="Tahoma"/>
          <w:lang w:val="es-SV"/>
        </w:rPr>
        <w:t xml:space="preserve"> de </w:t>
      </w:r>
      <w:r w:rsidR="002035BD">
        <w:rPr>
          <w:rFonts w:ascii="Tahoma" w:hAnsi="Tahoma" w:cs="Tahoma"/>
          <w:lang w:val="es-SV"/>
        </w:rPr>
        <w:t>diciembre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Pr="00353071" w:rsidRDefault="00353071" w:rsidP="002035BD">
      <w:pPr>
        <w:pStyle w:val="Sinespaciado"/>
        <w:numPr>
          <w:ilvl w:val="0"/>
          <w:numId w:val="12"/>
        </w:numPr>
        <w:spacing w:line="360" w:lineRule="auto"/>
        <w:ind w:left="714" w:hanging="357"/>
        <w:jc w:val="both"/>
        <w:rPr>
          <w:rFonts w:ascii="Tahoma" w:hAnsi="Tahoma" w:cs="Tahoma"/>
          <w:b/>
          <w:sz w:val="20"/>
          <w:szCs w:val="20"/>
          <w:lang w:val="es-SV" w:eastAsia="es-ES"/>
        </w:rPr>
      </w:pPr>
      <w:r w:rsidRPr="00A44761">
        <w:rPr>
          <w:rFonts w:ascii="Tahoma" w:hAnsi="Tahoma" w:cs="Tahoma"/>
          <w:b/>
          <w:sz w:val="20"/>
          <w:szCs w:val="20"/>
          <w:lang w:val="es-SV" w:eastAsia="es-ES"/>
        </w:rPr>
        <w:t xml:space="preserve">LECTURA </w:t>
      </w:r>
      <w:r w:rsidRPr="00353071">
        <w:rPr>
          <w:rFonts w:ascii="Tahoma" w:hAnsi="Tahoma" w:cs="Tahoma"/>
          <w:b/>
          <w:sz w:val="20"/>
          <w:szCs w:val="20"/>
          <w:lang w:val="es-SV" w:eastAsia="es-ES"/>
        </w:rPr>
        <w:t>DEL ACTA ANTERIOR.</w:t>
      </w:r>
    </w:p>
    <w:p w:rsidR="002455FB" w:rsidRPr="002455FB" w:rsidRDefault="002455FB" w:rsidP="002455FB">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55FB">
        <w:rPr>
          <w:rFonts w:ascii="Tahoma" w:hAnsi="Tahoma" w:cs="Tahoma"/>
          <w:b/>
          <w:color w:val="auto"/>
          <w:sz w:val="20"/>
          <w:szCs w:val="20"/>
          <w:lang w:val="es-SV" w:eastAsia="es-ES"/>
        </w:rPr>
        <w:t>INFORME SOBRE PLAN DE TRABAJO DE LA UNIDAD DE RIESGOS PARA EL AÑO 2023.</w:t>
      </w:r>
    </w:p>
    <w:p w:rsidR="002455FB" w:rsidRPr="002455FB" w:rsidRDefault="002455FB" w:rsidP="002455FB">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55FB">
        <w:rPr>
          <w:rFonts w:ascii="Tahoma" w:hAnsi="Tahoma" w:cs="Tahoma"/>
          <w:b/>
          <w:color w:val="auto"/>
          <w:sz w:val="20"/>
          <w:szCs w:val="20"/>
          <w:lang w:val="es-SV" w:eastAsia="es-ES"/>
        </w:rPr>
        <w:t>APROBACION A LA MODIFICACIONES DE LA POLITICA DE RIESGOS INSTITUCIONAL.</w:t>
      </w:r>
    </w:p>
    <w:p w:rsidR="002455FB" w:rsidRPr="002455FB" w:rsidRDefault="002455FB" w:rsidP="002455FB">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55FB">
        <w:rPr>
          <w:rFonts w:ascii="Tahoma" w:hAnsi="Tahoma" w:cs="Tahoma"/>
          <w:b/>
          <w:color w:val="auto"/>
          <w:sz w:val="20"/>
          <w:szCs w:val="20"/>
          <w:lang w:val="es-SV" w:eastAsia="es-ES"/>
        </w:rPr>
        <w:t>TERMINOS DE REFERENCIA PARA CONTRATAR LOS SERVICIOS PROFESIONALES DE AUDITORIA EXTERNA FINANCIERA, EJERCICIO FISCAL 2023 PARA LA CORPORACIÓN SALVADOREÑA DE INVERSIONES (CORSAIN) LIBRE GESTIÓN CORSAIN LG-71/2022 P/2023.</w:t>
      </w:r>
    </w:p>
    <w:p w:rsidR="002455FB" w:rsidRPr="002455FB" w:rsidRDefault="002455FB" w:rsidP="002455FB">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53071">
        <w:rPr>
          <w:rFonts w:ascii="Tahoma" w:hAnsi="Tahoma" w:cs="Tahoma"/>
          <w:sz w:val="20"/>
          <w:szCs w:val="20"/>
          <w:lang w:val="es-SV"/>
        </w:rPr>
        <w:t>165</w:t>
      </w:r>
      <w:r w:rsidR="002455FB">
        <w:rPr>
          <w:rFonts w:ascii="Tahoma" w:hAnsi="Tahoma" w:cs="Tahoma"/>
          <w:sz w:val="20"/>
          <w:szCs w:val="20"/>
          <w:lang w:val="es-SV"/>
        </w:rPr>
        <w:t>7</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2455FB">
        <w:rPr>
          <w:rFonts w:ascii="Tahoma" w:hAnsi="Tahoma" w:cs="Tahoma"/>
          <w:sz w:val="20"/>
          <w:szCs w:val="20"/>
          <w:lang w:val="es-SV"/>
        </w:rPr>
        <w:t>8</w:t>
      </w:r>
      <w:r w:rsidR="00013566">
        <w:rPr>
          <w:rFonts w:ascii="Tahoma" w:hAnsi="Tahoma" w:cs="Tahoma"/>
          <w:sz w:val="20"/>
          <w:szCs w:val="20"/>
          <w:lang w:val="es-SV"/>
        </w:rPr>
        <w:t xml:space="preserve"> de </w:t>
      </w:r>
      <w:r w:rsidR="002455FB">
        <w:rPr>
          <w:rFonts w:ascii="Tahoma" w:hAnsi="Tahoma" w:cs="Tahoma"/>
          <w:sz w:val="20"/>
          <w:szCs w:val="20"/>
          <w:lang w:val="es-SV"/>
        </w:rPr>
        <w:t>diciembre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1A205E" w:rsidRDefault="001A205E" w:rsidP="000048FF">
      <w:pPr>
        <w:pStyle w:val="Sinespaciado"/>
        <w:tabs>
          <w:tab w:val="left" w:pos="284"/>
        </w:tabs>
        <w:spacing w:after="200" w:line="360" w:lineRule="auto"/>
        <w:ind w:left="-76"/>
        <w:jc w:val="both"/>
        <w:rPr>
          <w:rFonts w:ascii="Tahoma" w:hAnsi="Tahoma" w:cs="Tahoma"/>
          <w:sz w:val="20"/>
          <w:szCs w:val="20"/>
          <w:lang w:val="es-SV"/>
        </w:rPr>
      </w:pPr>
    </w:p>
    <w:p w:rsidR="002455FB" w:rsidRDefault="002455FB" w:rsidP="002455FB">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2455FB">
        <w:rPr>
          <w:rFonts w:ascii="Tahoma" w:hAnsi="Tahoma" w:cs="Tahoma"/>
          <w:b/>
          <w:sz w:val="20"/>
          <w:szCs w:val="20"/>
          <w:u w:val="double"/>
          <w:lang w:val="es-SV"/>
        </w:rPr>
        <w:lastRenderedPageBreak/>
        <w:t>INFORME SOBRE PLAN DE TRABAJO DE LA UNIDAD DE RIESGOS PARA EL AÑO 2023.</w:t>
      </w:r>
    </w:p>
    <w:p w:rsidR="001F63A7" w:rsidRPr="001A205E" w:rsidRDefault="002455FB" w:rsidP="00621887">
      <w:pPr>
        <w:pStyle w:val="Sinespaciado"/>
        <w:tabs>
          <w:tab w:val="left" w:pos="-142"/>
        </w:tabs>
        <w:spacing w:after="200" w:line="360" w:lineRule="auto"/>
        <w:jc w:val="both"/>
        <w:rPr>
          <w:rFonts w:ascii="Tahoma" w:hAnsi="Tahoma" w:cs="Tahoma"/>
          <w:szCs w:val="20"/>
          <w:lang w:val="es-MX"/>
        </w:rPr>
      </w:pPr>
      <w:r w:rsidRPr="00621887">
        <w:rPr>
          <w:rFonts w:ascii="Tahoma" w:hAnsi="Tahoma" w:cs="Tahoma"/>
          <w:sz w:val="20"/>
          <w:szCs w:val="20"/>
          <w:lang w:eastAsia="es-ES"/>
        </w:rPr>
        <w:t>El Director Presidente somete a conocimiento del Consejo Directivo el PLAN DE TRABAJO DE LA UNI</w:t>
      </w:r>
      <w:r w:rsidR="00621887" w:rsidRPr="00621887">
        <w:rPr>
          <w:rFonts w:ascii="Tahoma" w:hAnsi="Tahoma" w:cs="Tahoma"/>
          <w:sz w:val="20"/>
          <w:szCs w:val="20"/>
          <w:lang w:eastAsia="es-ES"/>
        </w:rPr>
        <w:t>DAD DE RIESGOS PARA EL AÑO 2023, cede la palabra al Lic.</w:t>
      </w:r>
      <w:r w:rsidR="0072343A">
        <w:rPr>
          <w:rFonts w:ascii="Tahoma" w:hAnsi="Tahoma" w:cs="Tahoma"/>
          <w:sz w:val="20"/>
          <w:szCs w:val="20"/>
          <w:lang w:eastAsia="es-ES"/>
        </w:rPr>
        <w:t xml:space="preserve">             </w:t>
      </w:r>
      <w:r w:rsidR="00621887" w:rsidRPr="00621887">
        <w:rPr>
          <w:rFonts w:ascii="Tahoma" w:hAnsi="Tahoma" w:cs="Tahoma"/>
          <w:sz w:val="20"/>
          <w:szCs w:val="20"/>
          <w:lang w:eastAsia="es-ES"/>
        </w:rPr>
        <w:t xml:space="preserve">, Coordinador de Riesgos y expone como base la </w:t>
      </w:r>
      <w:r w:rsidR="00E74298" w:rsidRPr="00621887">
        <w:rPr>
          <w:rFonts w:ascii="Tahoma" w:hAnsi="Tahoma" w:cs="Tahoma"/>
          <w:sz w:val="20"/>
          <w:szCs w:val="20"/>
          <w:lang w:val="es-MX" w:eastAsia="es-ES"/>
        </w:rPr>
        <w:t>Ley de Supervisión y Regulación del Sistema Financiero, de la Superint</w:t>
      </w:r>
      <w:r w:rsidR="00621887" w:rsidRPr="00621887">
        <w:rPr>
          <w:rFonts w:ascii="Tahoma" w:hAnsi="Tahoma" w:cs="Tahoma"/>
          <w:sz w:val="20"/>
          <w:szCs w:val="20"/>
          <w:lang w:val="es-MX" w:eastAsia="es-ES"/>
        </w:rPr>
        <w:t xml:space="preserve">endencia del Sistema Financiero, la </w:t>
      </w:r>
      <w:r w:rsidR="00E74298" w:rsidRPr="00621887">
        <w:rPr>
          <w:rFonts w:ascii="Tahoma" w:hAnsi="Tahoma" w:cs="Tahoma"/>
          <w:sz w:val="20"/>
          <w:szCs w:val="20"/>
          <w:lang w:val="es-MX"/>
        </w:rPr>
        <w:t>Política de Riesgos</w:t>
      </w:r>
      <w:r w:rsidR="00621887" w:rsidRPr="00621887">
        <w:rPr>
          <w:rFonts w:ascii="Tahoma" w:hAnsi="Tahoma" w:cs="Tahoma"/>
          <w:sz w:val="20"/>
          <w:szCs w:val="20"/>
          <w:lang w:val="es-MX"/>
        </w:rPr>
        <w:t xml:space="preserve">, el </w:t>
      </w:r>
      <w:r w:rsidR="00E74298" w:rsidRPr="00621887">
        <w:rPr>
          <w:rFonts w:ascii="Tahoma" w:hAnsi="Tahoma" w:cs="Tahoma"/>
          <w:sz w:val="20"/>
          <w:szCs w:val="20"/>
          <w:lang w:val="es-MX"/>
        </w:rPr>
        <w:t>Manual de Gestión Integral de Riesgos</w:t>
      </w:r>
      <w:r w:rsidR="00621887">
        <w:rPr>
          <w:rFonts w:ascii="Tahoma" w:hAnsi="Tahoma" w:cs="Tahoma"/>
          <w:sz w:val="20"/>
          <w:szCs w:val="20"/>
          <w:lang w:val="es-MX"/>
        </w:rPr>
        <w:t xml:space="preserve"> y las </w:t>
      </w:r>
      <w:r w:rsidR="00E74298" w:rsidRPr="00621887">
        <w:rPr>
          <w:rFonts w:ascii="Tahoma" w:hAnsi="Tahoma" w:cs="Tahoma"/>
          <w:sz w:val="20"/>
          <w:szCs w:val="20"/>
          <w:lang w:val="es-MX"/>
        </w:rPr>
        <w:t>Normas para el Funcionamiento del Comité de Riesgos</w:t>
      </w:r>
      <w:r w:rsidR="00621887">
        <w:rPr>
          <w:rFonts w:ascii="Tahoma" w:hAnsi="Tahoma" w:cs="Tahoma"/>
          <w:sz w:val="20"/>
          <w:szCs w:val="20"/>
          <w:lang w:val="es-MX"/>
        </w:rPr>
        <w:t>. E</w:t>
      </w:r>
      <w:r w:rsidR="00621887" w:rsidRPr="00621887">
        <w:rPr>
          <w:rFonts w:ascii="Tahoma" w:hAnsi="Tahoma" w:cs="Tahoma"/>
          <w:sz w:val="20"/>
          <w:szCs w:val="20"/>
          <w:lang w:val="es-MX"/>
        </w:rPr>
        <w:t xml:space="preserve">n sesión N° 69/2022 de fecha 06 de Diciembre de 2022, se </w:t>
      </w:r>
      <w:r w:rsidR="00621887" w:rsidRPr="001A205E">
        <w:rPr>
          <w:rFonts w:ascii="Tahoma" w:hAnsi="Tahoma" w:cs="Tahoma"/>
          <w:sz w:val="20"/>
          <w:szCs w:val="20"/>
          <w:lang w:val="es-MX"/>
        </w:rPr>
        <w:t>discutió, analizó y se acordó aprobar y presentar para el conocimiento de Consejo Directivo el Plan de Trabajo de la Unidad de Riesgos para el año 2023., según detalle:</w:t>
      </w:r>
    </w:p>
    <w:tbl>
      <w:tblPr>
        <w:tblW w:w="9352" w:type="dxa"/>
        <w:tblCellMar>
          <w:left w:w="70" w:type="dxa"/>
          <w:right w:w="70" w:type="dxa"/>
        </w:tblCellMar>
        <w:tblLook w:val="04A0" w:firstRow="1" w:lastRow="0" w:firstColumn="1" w:lastColumn="0" w:noHBand="0" w:noVBand="1"/>
      </w:tblPr>
      <w:tblGrid>
        <w:gridCol w:w="859"/>
        <w:gridCol w:w="8493"/>
      </w:tblGrid>
      <w:tr w:rsidR="00DE15B2" w:rsidRPr="00DE15B2" w:rsidTr="00DE15B2">
        <w:trPr>
          <w:trHeight w:val="357"/>
        </w:trPr>
        <w:tc>
          <w:tcPr>
            <w:tcW w:w="859"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DE15B2" w:rsidRPr="00DE15B2" w:rsidRDefault="00DE15B2" w:rsidP="00DE15B2">
            <w:pPr>
              <w:jc w:val="center"/>
              <w:rPr>
                <w:rFonts w:ascii="Calibri" w:hAnsi="Calibri" w:cs="Calibri"/>
                <w:b/>
                <w:bCs/>
                <w:color w:val="000000"/>
                <w:sz w:val="22"/>
                <w:lang w:val="es-SV" w:eastAsia="es-SV"/>
              </w:rPr>
            </w:pPr>
            <w:r w:rsidRPr="00DE15B2">
              <w:rPr>
                <w:rFonts w:ascii="Calibri" w:hAnsi="Calibri" w:cs="Calibri"/>
                <w:b/>
                <w:bCs/>
                <w:color w:val="000000"/>
                <w:sz w:val="22"/>
                <w:lang w:val="es-SV" w:eastAsia="es-SV"/>
              </w:rPr>
              <w:t>N°</w:t>
            </w:r>
          </w:p>
        </w:tc>
        <w:tc>
          <w:tcPr>
            <w:tcW w:w="8493"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DE15B2" w:rsidRPr="00DE15B2" w:rsidRDefault="00DE15B2" w:rsidP="00DE15B2">
            <w:pPr>
              <w:jc w:val="center"/>
              <w:rPr>
                <w:rFonts w:ascii="Calibri" w:hAnsi="Calibri" w:cs="Calibri"/>
                <w:b/>
                <w:bCs/>
                <w:color w:val="000000"/>
                <w:sz w:val="22"/>
                <w:lang w:val="es-SV" w:eastAsia="es-SV"/>
              </w:rPr>
            </w:pPr>
            <w:r w:rsidRPr="00DE15B2">
              <w:rPr>
                <w:rFonts w:ascii="Calibri" w:hAnsi="Calibri" w:cs="Calibri"/>
                <w:b/>
                <w:bCs/>
                <w:color w:val="000000"/>
                <w:sz w:val="22"/>
                <w:lang w:val="es-SV" w:eastAsia="es-SV"/>
              </w:rPr>
              <w:t>Actividades</w:t>
            </w:r>
          </w:p>
        </w:tc>
      </w:tr>
      <w:tr w:rsidR="00DE15B2" w:rsidRPr="00DE15B2" w:rsidTr="00DE15B2">
        <w:trPr>
          <w:trHeight w:val="357"/>
        </w:trPr>
        <w:tc>
          <w:tcPr>
            <w:tcW w:w="859" w:type="dxa"/>
            <w:vMerge/>
            <w:tcBorders>
              <w:top w:val="single" w:sz="8" w:space="0" w:color="auto"/>
              <w:left w:val="single" w:sz="8" w:space="0" w:color="auto"/>
              <w:bottom w:val="single" w:sz="8" w:space="0" w:color="000000"/>
              <w:right w:val="single" w:sz="8" w:space="0" w:color="auto"/>
            </w:tcBorders>
            <w:vAlign w:val="center"/>
            <w:hideMark/>
          </w:tcPr>
          <w:p w:rsidR="00DE15B2" w:rsidRPr="00DE15B2" w:rsidRDefault="00DE15B2" w:rsidP="00DE15B2">
            <w:pPr>
              <w:rPr>
                <w:rFonts w:ascii="Calibri" w:hAnsi="Calibri" w:cs="Calibri"/>
                <w:b/>
                <w:bCs/>
                <w:color w:val="000000"/>
                <w:lang w:val="es-SV" w:eastAsia="es-SV"/>
              </w:rPr>
            </w:pPr>
          </w:p>
        </w:tc>
        <w:tc>
          <w:tcPr>
            <w:tcW w:w="8493" w:type="dxa"/>
            <w:vMerge/>
            <w:tcBorders>
              <w:top w:val="single" w:sz="8" w:space="0" w:color="auto"/>
              <w:left w:val="single" w:sz="8" w:space="0" w:color="auto"/>
              <w:bottom w:val="single" w:sz="8" w:space="0" w:color="000000"/>
              <w:right w:val="single" w:sz="8" w:space="0" w:color="auto"/>
            </w:tcBorders>
            <w:vAlign w:val="center"/>
            <w:hideMark/>
          </w:tcPr>
          <w:p w:rsidR="00DE15B2" w:rsidRPr="00DE15B2" w:rsidRDefault="00DE15B2" w:rsidP="00DE15B2">
            <w:pPr>
              <w:rPr>
                <w:rFonts w:ascii="Calibri" w:hAnsi="Calibri" w:cs="Calibri"/>
                <w:b/>
                <w:bCs/>
                <w:color w:val="000000"/>
                <w:lang w:val="es-SV" w:eastAsia="es-SV"/>
              </w:rPr>
            </w:pPr>
          </w:p>
        </w:tc>
      </w:tr>
      <w:tr w:rsidR="00DE15B2" w:rsidRPr="00DE15B2" w:rsidTr="001A205E">
        <w:trPr>
          <w:trHeight w:val="244"/>
        </w:trPr>
        <w:tc>
          <w:tcPr>
            <w:tcW w:w="859" w:type="dxa"/>
            <w:vMerge/>
            <w:tcBorders>
              <w:top w:val="single" w:sz="8" w:space="0" w:color="auto"/>
              <w:left w:val="single" w:sz="8" w:space="0" w:color="auto"/>
              <w:bottom w:val="single" w:sz="8" w:space="0" w:color="000000"/>
              <w:right w:val="single" w:sz="8" w:space="0" w:color="auto"/>
            </w:tcBorders>
            <w:vAlign w:val="center"/>
            <w:hideMark/>
          </w:tcPr>
          <w:p w:rsidR="00DE15B2" w:rsidRPr="00DE15B2" w:rsidRDefault="00DE15B2" w:rsidP="00DE15B2">
            <w:pPr>
              <w:rPr>
                <w:rFonts w:ascii="Calibri" w:hAnsi="Calibri" w:cs="Calibri"/>
                <w:b/>
                <w:bCs/>
                <w:color w:val="000000"/>
                <w:lang w:val="es-SV" w:eastAsia="es-SV"/>
              </w:rPr>
            </w:pPr>
          </w:p>
        </w:tc>
        <w:tc>
          <w:tcPr>
            <w:tcW w:w="8493" w:type="dxa"/>
            <w:vMerge/>
            <w:tcBorders>
              <w:top w:val="single" w:sz="8" w:space="0" w:color="auto"/>
              <w:left w:val="single" w:sz="8" w:space="0" w:color="auto"/>
              <w:bottom w:val="single" w:sz="8" w:space="0" w:color="000000"/>
              <w:right w:val="single" w:sz="8" w:space="0" w:color="auto"/>
            </w:tcBorders>
            <w:vAlign w:val="center"/>
            <w:hideMark/>
          </w:tcPr>
          <w:p w:rsidR="00DE15B2" w:rsidRPr="00DE15B2" w:rsidRDefault="00DE15B2" w:rsidP="00DE15B2">
            <w:pPr>
              <w:rPr>
                <w:rFonts w:ascii="Calibri" w:hAnsi="Calibri" w:cs="Calibri"/>
                <w:b/>
                <w:bCs/>
                <w:color w:val="000000"/>
                <w:lang w:val="es-SV" w:eastAsia="es-SV"/>
              </w:rPr>
            </w:pPr>
          </w:p>
        </w:tc>
      </w:tr>
      <w:tr w:rsidR="00DE15B2" w:rsidRPr="00DE15B2" w:rsidTr="00DE15B2">
        <w:trPr>
          <w:trHeight w:val="371"/>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Revisión y actualización del Manual de Gestión Integral de Riesgos</w:t>
            </w:r>
          </w:p>
        </w:tc>
      </w:tr>
      <w:tr w:rsidR="00DE15B2" w:rsidRPr="00DE15B2" w:rsidTr="00DE15B2">
        <w:trPr>
          <w:trHeight w:val="405"/>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2</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Revisión y actualización de la Política de Riesgo</w:t>
            </w:r>
          </w:p>
        </w:tc>
      </w:tr>
      <w:tr w:rsidR="00DE15B2" w:rsidRPr="00DE15B2" w:rsidTr="00DE15B2">
        <w:trPr>
          <w:trHeight w:val="411"/>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3</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Revisión y actualización del Sistema de Indicadores Control del Riesgo Operacional</w:t>
            </w:r>
          </w:p>
        </w:tc>
      </w:tr>
      <w:tr w:rsidR="00DE15B2" w:rsidRPr="00DE15B2" w:rsidTr="00DE15B2">
        <w:trPr>
          <w:trHeight w:val="403"/>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4</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Revisión y actualización de las Normas para el Funcionamiento de Comité de Riesgos.</w:t>
            </w:r>
          </w:p>
        </w:tc>
      </w:tr>
      <w:tr w:rsidR="00DE15B2" w:rsidRPr="00DE15B2" w:rsidTr="00DE15B2">
        <w:trPr>
          <w:trHeight w:val="550"/>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5</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Divulgación sobre la Gestión de Riesgos al personal de la corporación (Campaña vía correo electrónico)</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6</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Divulgación Gestión de Riesgos al personal de la Corporación (Presentación aula virtual o presencial)</w:t>
            </w:r>
          </w:p>
        </w:tc>
      </w:tr>
      <w:tr w:rsidR="00DE15B2" w:rsidRPr="00DE15B2" w:rsidTr="00DE15B2">
        <w:trPr>
          <w:trHeight w:val="550"/>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7</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Divulgación del Plan de Continuidad del Negocio al personal de la corporación (Campaña vía correo electrónico)</w:t>
            </w:r>
          </w:p>
        </w:tc>
      </w:tr>
      <w:tr w:rsidR="00DE15B2" w:rsidRPr="00DE15B2" w:rsidTr="001A205E">
        <w:trPr>
          <w:trHeight w:val="544"/>
        </w:trPr>
        <w:tc>
          <w:tcPr>
            <w:tcW w:w="859" w:type="dxa"/>
            <w:tcBorders>
              <w:top w:val="nil"/>
              <w:left w:val="single" w:sz="8" w:space="0" w:color="auto"/>
              <w:bottom w:val="single" w:sz="8" w:space="0" w:color="auto"/>
              <w:right w:val="single" w:sz="8" w:space="0" w:color="auto"/>
            </w:tcBorders>
            <w:shd w:val="clear" w:color="auto" w:fill="auto"/>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8</w:t>
            </w:r>
          </w:p>
        </w:tc>
        <w:tc>
          <w:tcPr>
            <w:tcW w:w="8493" w:type="dxa"/>
            <w:tcBorders>
              <w:top w:val="nil"/>
              <w:left w:val="nil"/>
              <w:bottom w:val="single" w:sz="8" w:space="0" w:color="auto"/>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Divulgación del Plan de Continuidad del Negocio al personal de la corporación (Presentación aula virtual o presencial)</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9</w:t>
            </w:r>
          </w:p>
        </w:tc>
        <w:tc>
          <w:tcPr>
            <w:tcW w:w="8493" w:type="dxa"/>
            <w:tcBorders>
              <w:top w:val="nil"/>
              <w:left w:val="nil"/>
              <w:bottom w:val="nil"/>
              <w:right w:val="nil"/>
            </w:tcBorders>
            <w:shd w:val="clear" w:color="auto" w:fill="auto"/>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Administrativa</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9.1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9.2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12"/>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10</w:t>
            </w:r>
          </w:p>
        </w:tc>
        <w:tc>
          <w:tcPr>
            <w:tcW w:w="8493" w:type="dxa"/>
            <w:tcBorders>
              <w:top w:val="single" w:sz="8" w:space="0" w:color="auto"/>
              <w:left w:val="nil"/>
              <w:bottom w:val="nil"/>
              <w:right w:val="nil"/>
            </w:tcBorders>
            <w:shd w:val="clear" w:color="auto" w:fill="auto"/>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Departamento de Proyectos e Inversiones</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10.1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10.2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12"/>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11</w:t>
            </w:r>
          </w:p>
        </w:tc>
        <w:tc>
          <w:tcPr>
            <w:tcW w:w="8493" w:type="dxa"/>
            <w:tcBorders>
              <w:top w:val="single" w:sz="8" w:space="0" w:color="auto"/>
              <w:left w:val="nil"/>
              <w:bottom w:val="nil"/>
              <w:right w:val="nil"/>
            </w:tcBorders>
            <w:shd w:val="clear" w:color="auto" w:fill="auto"/>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Financiera Institucional</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11.1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11.2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12"/>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12</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Legal</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12.1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12.2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27"/>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13</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de Comunicaciones</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13.1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13.2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12"/>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14</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de Tecnología de la Información</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14.1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14.2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12"/>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15</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de Acceso a la Información</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15.1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lang w:val="es-SV" w:eastAsia="es-SV"/>
              </w:rPr>
            </w:pPr>
            <w:r w:rsidRPr="00DE15B2">
              <w:rPr>
                <w:rFonts w:ascii="Calibri" w:hAnsi="Calibri" w:cs="Calibri"/>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15.2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lang w:val="es-SV" w:eastAsia="es-SV"/>
              </w:rPr>
            </w:pPr>
            <w:r w:rsidRPr="00DE15B2">
              <w:rPr>
                <w:rFonts w:ascii="Calibri" w:hAnsi="Calibri" w:cs="Calibri"/>
                <w:lang w:val="es-SV" w:eastAsia="es-SV"/>
              </w:rPr>
              <w:t>Reporte para Comité de Riesgo</w:t>
            </w:r>
          </w:p>
        </w:tc>
      </w:tr>
      <w:tr w:rsidR="00DE15B2" w:rsidRPr="00DE15B2" w:rsidTr="00DE15B2">
        <w:trPr>
          <w:trHeight w:val="327"/>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16</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Gerencia Puerto CORSAIN</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16.1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16.2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27"/>
        </w:trPr>
        <w:tc>
          <w:tcPr>
            <w:tcW w:w="859" w:type="dxa"/>
            <w:tcBorders>
              <w:top w:val="single" w:sz="8" w:space="0" w:color="auto"/>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17</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Unidad de Adquisiciones y Contrataciones Institucional</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17.1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Mapa de Riesgos</w:t>
            </w:r>
          </w:p>
        </w:tc>
      </w:tr>
      <w:tr w:rsidR="00DE15B2" w:rsidRPr="00DE15B2" w:rsidTr="00DE15B2">
        <w:trPr>
          <w:trHeight w:val="327"/>
        </w:trPr>
        <w:tc>
          <w:tcPr>
            <w:tcW w:w="859" w:type="dxa"/>
            <w:tcBorders>
              <w:top w:val="nil"/>
              <w:left w:val="single" w:sz="8" w:space="0" w:color="auto"/>
              <w:bottom w:val="single" w:sz="8" w:space="0" w:color="auto"/>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lastRenderedPageBreak/>
              <w:t>17.2</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18</w:t>
            </w:r>
          </w:p>
        </w:tc>
        <w:tc>
          <w:tcPr>
            <w:tcW w:w="8493" w:type="dxa"/>
            <w:tcBorders>
              <w:top w:val="nil"/>
              <w:left w:val="nil"/>
              <w:bottom w:val="nil"/>
              <w:right w:val="nil"/>
            </w:tcBorders>
            <w:shd w:val="clear" w:color="000000" w:fill="FFFFFF"/>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Informe de Indicadores para el Control del Riesgo Operacional</w:t>
            </w:r>
          </w:p>
        </w:tc>
      </w:tr>
      <w:tr w:rsidR="00DE15B2" w:rsidRPr="00DE15B2" w:rsidTr="00DE15B2">
        <w:trPr>
          <w:trHeight w:val="312"/>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18.1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Análisis del avance de medidas para mitigar los riesgos</w:t>
            </w:r>
          </w:p>
        </w:tc>
      </w:tr>
      <w:tr w:rsidR="00DE15B2" w:rsidRPr="00DE15B2" w:rsidTr="00DE15B2">
        <w:trPr>
          <w:trHeight w:val="327"/>
        </w:trPr>
        <w:tc>
          <w:tcPr>
            <w:tcW w:w="859" w:type="dxa"/>
            <w:tcBorders>
              <w:top w:val="nil"/>
              <w:left w:val="single" w:sz="8" w:space="0" w:color="auto"/>
              <w:bottom w:val="nil"/>
              <w:right w:val="single" w:sz="8" w:space="0" w:color="auto"/>
            </w:tcBorders>
            <w:shd w:val="clear" w:color="000000" w:fill="FFFFFF"/>
            <w:noWrap/>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18.2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Riesgos</w:t>
            </w:r>
          </w:p>
        </w:tc>
      </w:tr>
      <w:tr w:rsidR="00DE15B2" w:rsidRPr="00DE15B2" w:rsidTr="00DE15B2">
        <w:trPr>
          <w:trHeight w:val="327"/>
        </w:trPr>
        <w:tc>
          <w:tcPr>
            <w:tcW w:w="859" w:type="dxa"/>
            <w:tcBorders>
              <w:top w:val="single" w:sz="8" w:space="0" w:color="auto"/>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19</w:t>
            </w:r>
          </w:p>
        </w:tc>
        <w:tc>
          <w:tcPr>
            <w:tcW w:w="8493" w:type="dxa"/>
            <w:tcBorders>
              <w:top w:val="single" w:sz="8" w:space="0" w:color="auto"/>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Riesgo de Liquidez y de Mercado</w:t>
            </w:r>
          </w:p>
        </w:tc>
      </w:tr>
      <w:tr w:rsidR="00DE15B2" w:rsidRPr="00DE15B2" w:rsidTr="00DE15B2">
        <w:trPr>
          <w:trHeight w:val="417"/>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19.1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Análisis y medición del R. Liquidez y de Mercado</w:t>
            </w:r>
          </w:p>
        </w:tc>
      </w:tr>
      <w:tr w:rsidR="00DE15B2" w:rsidRPr="00DE15B2" w:rsidTr="00DE15B2">
        <w:trPr>
          <w:trHeight w:val="417"/>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19.2</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para Comité de Riesgos</w:t>
            </w:r>
          </w:p>
        </w:tc>
      </w:tr>
      <w:tr w:rsidR="00DE15B2" w:rsidRPr="00DE15B2" w:rsidTr="00DE15B2">
        <w:trPr>
          <w:trHeight w:val="402"/>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20</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Informe de Riesgo Institucional</w:t>
            </w:r>
          </w:p>
        </w:tc>
      </w:tr>
      <w:tr w:rsidR="00DE15B2" w:rsidRPr="00DE15B2" w:rsidTr="00DE15B2">
        <w:trPr>
          <w:trHeight w:val="402"/>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20.1</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Actualización del mapa de riesgo operacional Institucional</w:t>
            </w:r>
          </w:p>
        </w:tc>
      </w:tr>
      <w:tr w:rsidR="00DE15B2" w:rsidRPr="00DE15B2" w:rsidTr="00DE15B2">
        <w:trPr>
          <w:trHeight w:val="402"/>
        </w:trPr>
        <w:tc>
          <w:tcPr>
            <w:tcW w:w="859" w:type="dxa"/>
            <w:tcBorders>
              <w:top w:val="nil"/>
              <w:left w:val="single" w:sz="8" w:space="0" w:color="auto"/>
              <w:bottom w:val="nil"/>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20.2</w:t>
            </w:r>
          </w:p>
        </w:tc>
        <w:tc>
          <w:tcPr>
            <w:tcW w:w="8493" w:type="dxa"/>
            <w:tcBorders>
              <w:top w:val="nil"/>
              <w:left w:val="nil"/>
              <w:bottom w:val="nil"/>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Reporte a Comité de Riesgos incluye Riesgo de Liquidez</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color w:val="000000"/>
                <w:lang w:val="es-SV" w:eastAsia="es-SV"/>
              </w:rPr>
            </w:pPr>
            <w:r w:rsidRPr="00DE15B2">
              <w:rPr>
                <w:rFonts w:ascii="Calibri" w:hAnsi="Calibri" w:cs="Calibri"/>
                <w:color w:val="000000"/>
                <w:lang w:val="es-SV" w:eastAsia="es-SV"/>
              </w:rPr>
              <w:t>20.3</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color w:val="000000"/>
                <w:lang w:val="es-SV" w:eastAsia="es-SV"/>
              </w:rPr>
            </w:pPr>
            <w:r w:rsidRPr="00DE15B2">
              <w:rPr>
                <w:rFonts w:ascii="Calibri" w:hAnsi="Calibri" w:cs="Calibri"/>
                <w:color w:val="000000"/>
                <w:lang w:val="es-SV" w:eastAsia="es-SV"/>
              </w:rPr>
              <w:t>Presentación para Consejo Directivo</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21</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Seguimiento de Indicadores de Riesgo Operacional</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22</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Seguimiento de Limites de Concentración Deposito a Plazos</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23</w:t>
            </w:r>
          </w:p>
        </w:tc>
        <w:tc>
          <w:tcPr>
            <w:tcW w:w="8493" w:type="dxa"/>
            <w:tcBorders>
              <w:top w:val="nil"/>
              <w:left w:val="nil"/>
              <w:bottom w:val="single" w:sz="8" w:space="0" w:color="auto"/>
              <w:right w:val="nil"/>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Informe al Consejo Directivo Riesgo de Liquidez y de Mercado</w:t>
            </w:r>
          </w:p>
        </w:tc>
      </w:tr>
      <w:tr w:rsidR="00DE15B2" w:rsidRPr="00DE15B2" w:rsidTr="00DE15B2">
        <w:trPr>
          <w:trHeight w:val="402"/>
        </w:trPr>
        <w:tc>
          <w:tcPr>
            <w:tcW w:w="859" w:type="dxa"/>
            <w:tcBorders>
              <w:top w:val="nil"/>
              <w:left w:val="single" w:sz="8" w:space="0" w:color="auto"/>
              <w:bottom w:val="single" w:sz="8" w:space="0" w:color="auto"/>
              <w:right w:val="single" w:sz="8" w:space="0" w:color="auto"/>
            </w:tcBorders>
            <w:shd w:val="clear" w:color="000000" w:fill="FFFFFF"/>
            <w:noWrap/>
            <w:vAlign w:val="center"/>
            <w:hideMark/>
          </w:tcPr>
          <w:p w:rsidR="00DE15B2" w:rsidRPr="00DE15B2" w:rsidRDefault="00DE15B2" w:rsidP="00DE15B2">
            <w:pPr>
              <w:jc w:val="center"/>
              <w:rPr>
                <w:rFonts w:ascii="Calibri" w:hAnsi="Calibri" w:cs="Calibri"/>
                <w:b/>
                <w:bCs/>
                <w:color w:val="000000"/>
                <w:lang w:val="es-SV" w:eastAsia="es-SV"/>
              </w:rPr>
            </w:pPr>
            <w:r w:rsidRPr="00DE15B2">
              <w:rPr>
                <w:rFonts w:ascii="Calibri" w:hAnsi="Calibri" w:cs="Calibri"/>
                <w:b/>
                <w:bCs/>
                <w:color w:val="000000"/>
                <w:lang w:val="es-SV" w:eastAsia="es-SV"/>
              </w:rPr>
              <w:t>24</w:t>
            </w:r>
          </w:p>
        </w:tc>
        <w:tc>
          <w:tcPr>
            <w:tcW w:w="8493" w:type="dxa"/>
            <w:tcBorders>
              <w:top w:val="nil"/>
              <w:left w:val="nil"/>
              <w:bottom w:val="single" w:sz="8" w:space="0" w:color="auto"/>
              <w:right w:val="single" w:sz="12" w:space="0" w:color="auto"/>
            </w:tcBorders>
            <w:shd w:val="clear" w:color="000000" w:fill="FFFFFF"/>
            <w:vAlign w:val="center"/>
            <w:hideMark/>
          </w:tcPr>
          <w:p w:rsidR="00DE15B2" w:rsidRPr="00DE15B2" w:rsidRDefault="00DE15B2" w:rsidP="00DE15B2">
            <w:pPr>
              <w:rPr>
                <w:rFonts w:ascii="Calibri" w:hAnsi="Calibri" w:cs="Calibri"/>
                <w:b/>
                <w:bCs/>
                <w:color w:val="000000"/>
                <w:lang w:val="es-SV" w:eastAsia="es-SV"/>
              </w:rPr>
            </w:pPr>
            <w:r w:rsidRPr="00DE15B2">
              <w:rPr>
                <w:rFonts w:ascii="Calibri" w:hAnsi="Calibri" w:cs="Calibri"/>
                <w:b/>
                <w:bCs/>
                <w:color w:val="000000"/>
                <w:lang w:val="es-SV" w:eastAsia="es-SV"/>
              </w:rPr>
              <w:t>Informe al Consejo Directivo Riesgo Operacional</w:t>
            </w:r>
          </w:p>
        </w:tc>
      </w:tr>
    </w:tbl>
    <w:p w:rsidR="00621887" w:rsidRDefault="00621887" w:rsidP="00621887">
      <w:pPr>
        <w:pStyle w:val="Sinespaciado"/>
        <w:tabs>
          <w:tab w:val="left" w:pos="-142"/>
        </w:tabs>
        <w:spacing w:after="200" w:line="360" w:lineRule="auto"/>
        <w:ind w:left="-426" w:right="-426"/>
        <w:jc w:val="both"/>
        <w:rPr>
          <w:rFonts w:ascii="Tahoma" w:hAnsi="Tahoma" w:cs="Tahoma"/>
          <w:sz w:val="20"/>
          <w:szCs w:val="20"/>
          <w:lang w:val="es-SV"/>
        </w:rPr>
      </w:pPr>
    </w:p>
    <w:p w:rsidR="00DE15B2" w:rsidRPr="00621887" w:rsidRDefault="001A205E" w:rsidP="001A205E">
      <w:pPr>
        <w:pStyle w:val="Sinespaciado"/>
        <w:tabs>
          <w:tab w:val="left" w:pos="-142"/>
        </w:tabs>
        <w:spacing w:after="200" w:line="360" w:lineRule="auto"/>
        <w:ind w:right="-426"/>
        <w:jc w:val="both"/>
        <w:rPr>
          <w:rFonts w:ascii="Tahoma" w:hAnsi="Tahoma" w:cs="Tahoma"/>
          <w:sz w:val="20"/>
          <w:szCs w:val="20"/>
          <w:lang w:val="es-SV"/>
        </w:rPr>
      </w:pPr>
      <w:r>
        <w:rPr>
          <w:rFonts w:ascii="Tahoma" w:hAnsi="Tahoma" w:cs="Tahoma"/>
          <w:sz w:val="20"/>
          <w:szCs w:val="20"/>
          <w:lang w:val="es-SV"/>
        </w:rPr>
        <w:t>Se informa al Consejo Directivo los meses y las semanas correspondientes en la cual se ejecutaran las actividades anteriormente detalladas.</w:t>
      </w:r>
    </w:p>
    <w:p w:rsidR="002455FB" w:rsidRPr="0046520D" w:rsidRDefault="002455FB" w:rsidP="002455FB">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2455FB" w:rsidRPr="00677267" w:rsidRDefault="002455FB" w:rsidP="002455FB">
      <w:pPr>
        <w:spacing w:line="360" w:lineRule="auto"/>
        <w:jc w:val="both"/>
        <w:rPr>
          <w:rFonts w:ascii="Tahoma" w:hAnsi="Tahoma" w:cs="Tahoma"/>
          <w:b/>
        </w:rPr>
      </w:pPr>
      <w:r w:rsidRPr="00677267">
        <w:rPr>
          <w:rFonts w:ascii="Tahoma" w:hAnsi="Tahoma" w:cs="Tahoma"/>
          <w:b/>
        </w:rPr>
        <w:t xml:space="preserve">ACUERDO </w:t>
      </w:r>
      <w:r w:rsidR="000A53CB">
        <w:rPr>
          <w:rFonts w:ascii="Tahoma" w:hAnsi="Tahoma" w:cs="Tahoma"/>
          <w:b/>
        </w:rPr>
        <w:t>1-1658</w:t>
      </w:r>
      <w:r w:rsidRPr="00677267">
        <w:rPr>
          <w:rFonts w:ascii="Tahoma" w:hAnsi="Tahoma" w:cs="Tahoma"/>
          <w:b/>
        </w:rPr>
        <w:t>-2022</w:t>
      </w:r>
    </w:p>
    <w:p w:rsidR="001F63A7" w:rsidRPr="000A53CB" w:rsidRDefault="00E74298" w:rsidP="001A205E">
      <w:pPr>
        <w:pStyle w:val="Sinespaciado"/>
        <w:tabs>
          <w:tab w:val="left" w:pos="284"/>
        </w:tabs>
        <w:spacing w:after="200" w:line="360" w:lineRule="auto"/>
        <w:jc w:val="both"/>
        <w:rPr>
          <w:rFonts w:ascii="Tahoma" w:hAnsi="Tahoma" w:cs="Tahoma"/>
          <w:sz w:val="20"/>
          <w:lang w:val="es-SV"/>
        </w:rPr>
      </w:pPr>
      <w:r w:rsidRPr="000A53CB">
        <w:rPr>
          <w:rFonts w:ascii="Tahoma" w:hAnsi="Tahoma" w:cs="Tahoma"/>
          <w:sz w:val="20"/>
          <w:lang w:val="es-MX"/>
        </w:rPr>
        <w:t>Darse por enterado del Plan de Trabajo de la Unidad de Riesgo para el año 2023, aprobado por el Comité de Riesgos en sesión 69 de fecha 6 de diciembre de 2022.</w:t>
      </w:r>
    </w:p>
    <w:p w:rsidR="002455FB" w:rsidRDefault="002455FB" w:rsidP="002455FB">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2455FB">
        <w:rPr>
          <w:rFonts w:ascii="Tahoma" w:hAnsi="Tahoma" w:cs="Tahoma"/>
          <w:b/>
          <w:sz w:val="20"/>
          <w:szCs w:val="20"/>
          <w:u w:val="double"/>
          <w:lang w:val="es-SV"/>
        </w:rPr>
        <w:t>APROBACION A LA MODIFICACIONES DE LA POLITICA DE RIESGOS INSTITUCIONAL.</w:t>
      </w:r>
    </w:p>
    <w:p w:rsidR="000A53CB" w:rsidRDefault="000A53CB" w:rsidP="001A205E">
      <w:pPr>
        <w:pStyle w:val="Sinespaciado"/>
        <w:tabs>
          <w:tab w:val="left" w:pos="-142"/>
        </w:tabs>
        <w:spacing w:after="200" w:line="360" w:lineRule="auto"/>
        <w:jc w:val="both"/>
        <w:rPr>
          <w:rFonts w:ascii="Tahoma" w:hAnsi="Tahoma" w:cs="Tahoma"/>
          <w:sz w:val="20"/>
          <w:szCs w:val="20"/>
          <w:lang w:val="es-MX"/>
        </w:rPr>
      </w:pPr>
      <w:r w:rsidRPr="00621887">
        <w:rPr>
          <w:rFonts w:ascii="Tahoma" w:hAnsi="Tahoma" w:cs="Tahoma"/>
          <w:sz w:val="20"/>
          <w:szCs w:val="20"/>
          <w:lang w:eastAsia="es-ES"/>
        </w:rPr>
        <w:t xml:space="preserve">El Director Presidente somete a </w:t>
      </w:r>
      <w:r>
        <w:rPr>
          <w:rFonts w:ascii="Tahoma" w:hAnsi="Tahoma" w:cs="Tahoma"/>
          <w:sz w:val="20"/>
          <w:szCs w:val="20"/>
          <w:lang w:eastAsia="es-ES"/>
        </w:rPr>
        <w:t>aprobación</w:t>
      </w:r>
      <w:r w:rsidRPr="00621887">
        <w:rPr>
          <w:rFonts w:ascii="Tahoma" w:hAnsi="Tahoma" w:cs="Tahoma"/>
          <w:sz w:val="20"/>
          <w:szCs w:val="20"/>
          <w:lang w:eastAsia="es-ES"/>
        </w:rPr>
        <w:t xml:space="preserve"> del Consejo Directivo </w:t>
      </w:r>
      <w:r>
        <w:rPr>
          <w:rFonts w:ascii="Tahoma" w:hAnsi="Tahoma" w:cs="Tahoma"/>
          <w:sz w:val="20"/>
          <w:szCs w:val="20"/>
          <w:lang w:eastAsia="es-ES"/>
        </w:rPr>
        <w:t>las MODFICACIONES A LA POLITICA DE RIESGOS INSTITUCIONAL</w:t>
      </w:r>
      <w:r w:rsidRPr="00621887">
        <w:rPr>
          <w:rFonts w:ascii="Tahoma" w:hAnsi="Tahoma" w:cs="Tahoma"/>
          <w:sz w:val="20"/>
          <w:szCs w:val="20"/>
          <w:lang w:eastAsia="es-ES"/>
        </w:rPr>
        <w:t>, cede la palabra al Lic.</w:t>
      </w:r>
      <w:r w:rsidR="0072343A">
        <w:rPr>
          <w:rFonts w:ascii="Tahoma" w:hAnsi="Tahoma" w:cs="Tahoma"/>
          <w:sz w:val="20"/>
          <w:szCs w:val="20"/>
          <w:lang w:eastAsia="es-ES"/>
        </w:rPr>
        <w:t xml:space="preserve">            </w:t>
      </w:r>
      <w:r w:rsidRPr="00621887">
        <w:rPr>
          <w:rFonts w:ascii="Tahoma" w:hAnsi="Tahoma" w:cs="Tahoma"/>
          <w:sz w:val="20"/>
          <w:szCs w:val="20"/>
          <w:lang w:eastAsia="es-ES"/>
        </w:rPr>
        <w:t xml:space="preserve">, Coordinador de Riesgos y expone como base la </w:t>
      </w:r>
      <w:r w:rsidRPr="00621887">
        <w:rPr>
          <w:rFonts w:ascii="Tahoma" w:hAnsi="Tahoma" w:cs="Tahoma"/>
          <w:sz w:val="20"/>
          <w:szCs w:val="20"/>
          <w:lang w:val="es-MX" w:eastAsia="es-ES"/>
        </w:rPr>
        <w:t xml:space="preserve">Ley de Supervisión y Regulación del Sistema Financiero, de la Superintendencia del Sistema Financiero, la </w:t>
      </w:r>
      <w:r w:rsidRPr="00621887">
        <w:rPr>
          <w:rFonts w:ascii="Tahoma" w:hAnsi="Tahoma" w:cs="Tahoma"/>
          <w:sz w:val="20"/>
          <w:szCs w:val="20"/>
          <w:lang w:val="es-MX"/>
        </w:rPr>
        <w:t>Política de Riesgos, el Manual de Gestión Integral de Riesgos</w:t>
      </w:r>
      <w:r>
        <w:rPr>
          <w:rFonts w:ascii="Tahoma" w:hAnsi="Tahoma" w:cs="Tahoma"/>
          <w:sz w:val="20"/>
          <w:szCs w:val="20"/>
          <w:lang w:val="es-MX"/>
        </w:rPr>
        <w:t xml:space="preserve"> y las </w:t>
      </w:r>
      <w:r w:rsidRPr="00621887">
        <w:rPr>
          <w:rFonts w:ascii="Tahoma" w:hAnsi="Tahoma" w:cs="Tahoma"/>
          <w:sz w:val="20"/>
          <w:szCs w:val="20"/>
          <w:lang w:val="es-MX"/>
        </w:rPr>
        <w:t>Normas para el Funcionamiento del Comité de Riesgos</w:t>
      </w:r>
      <w:r>
        <w:rPr>
          <w:rFonts w:ascii="Tahoma" w:hAnsi="Tahoma" w:cs="Tahoma"/>
          <w:sz w:val="20"/>
          <w:szCs w:val="20"/>
          <w:lang w:val="es-MX"/>
        </w:rPr>
        <w:t>. Explica que e</w:t>
      </w:r>
      <w:r w:rsidRPr="00621887">
        <w:rPr>
          <w:rFonts w:ascii="Tahoma" w:hAnsi="Tahoma" w:cs="Tahoma"/>
          <w:sz w:val="20"/>
          <w:szCs w:val="20"/>
          <w:lang w:val="es-MX"/>
        </w:rPr>
        <w:t>n sesión N° 69/2022 de fecha 06 de Diciembre de 2022, se discutió, analizó y se acordó</w:t>
      </w:r>
      <w:r>
        <w:rPr>
          <w:rFonts w:ascii="Tahoma" w:hAnsi="Tahoma" w:cs="Tahoma"/>
          <w:sz w:val="20"/>
          <w:szCs w:val="20"/>
          <w:lang w:val="es-MX"/>
        </w:rPr>
        <w:t xml:space="preserve"> </w:t>
      </w:r>
      <w:r w:rsidRPr="00621887">
        <w:rPr>
          <w:rFonts w:ascii="Tahoma" w:hAnsi="Tahoma" w:cs="Tahoma"/>
          <w:sz w:val="20"/>
          <w:szCs w:val="20"/>
          <w:lang w:val="es-MX"/>
        </w:rPr>
        <w:t xml:space="preserve">presentar para </w:t>
      </w:r>
      <w:r>
        <w:rPr>
          <w:rFonts w:ascii="Tahoma" w:hAnsi="Tahoma" w:cs="Tahoma"/>
          <w:sz w:val="20"/>
          <w:szCs w:val="20"/>
          <w:lang w:val="es-MX"/>
        </w:rPr>
        <w:t xml:space="preserve">aprobación </w:t>
      </w:r>
      <w:r w:rsidRPr="00621887">
        <w:rPr>
          <w:rFonts w:ascii="Tahoma" w:hAnsi="Tahoma" w:cs="Tahoma"/>
          <w:sz w:val="20"/>
          <w:szCs w:val="20"/>
          <w:lang w:val="es-MX"/>
        </w:rPr>
        <w:t>de</w:t>
      </w:r>
      <w:r>
        <w:rPr>
          <w:rFonts w:ascii="Tahoma" w:hAnsi="Tahoma" w:cs="Tahoma"/>
          <w:sz w:val="20"/>
          <w:szCs w:val="20"/>
          <w:lang w:val="es-MX"/>
        </w:rPr>
        <w:t>l</w:t>
      </w:r>
      <w:r w:rsidRPr="00621887">
        <w:rPr>
          <w:rFonts w:ascii="Tahoma" w:hAnsi="Tahoma" w:cs="Tahoma"/>
          <w:sz w:val="20"/>
          <w:szCs w:val="20"/>
          <w:lang w:val="es-MX"/>
        </w:rPr>
        <w:t xml:space="preserve"> Consejo Directivo </w:t>
      </w:r>
      <w:r>
        <w:rPr>
          <w:rFonts w:ascii="Tahoma" w:hAnsi="Tahoma" w:cs="Tahoma"/>
          <w:sz w:val="20"/>
          <w:szCs w:val="20"/>
          <w:lang w:val="es-MX"/>
        </w:rPr>
        <w:t>las actualizaciones a la Poltica de Riesgos Institucional, según detalle:</w:t>
      </w:r>
    </w:p>
    <w:tbl>
      <w:tblPr>
        <w:tblW w:w="978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4"/>
        <w:gridCol w:w="3685"/>
        <w:gridCol w:w="1843"/>
      </w:tblGrid>
      <w:tr w:rsidR="004C7538" w:rsidRPr="001A205E" w:rsidTr="004C7538">
        <w:trPr>
          <w:trHeight w:val="563"/>
        </w:trPr>
        <w:tc>
          <w:tcPr>
            <w:tcW w:w="4254" w:type="dxa"/>
            <w:shd w:val="clear" w:color="auto" w:fill="D5DCE4" w:themeFill="text2" w:themeFillTint="33"/>
            <w:tcMar>
              <w:top w:w="15" w:type="dxa"/>
              <w:left w:w="43" w:type="dxa"/>
              <w:bottom w:w="0" w:type="dxa"/>
              <w:right w:w="43" w:type="dxa"/>
            </w:tcMar>
            <w:hideMark/>
          </w:tcPr>
          <w:p w:rsidR="000A53CB" w:rsidRPr="001A205E" w:rsidRDefault="000A53CB" w:rsidP="000A53CB">
            <w:pPr>
              <w:jc w:val="center"/>
              <w:rPr>
                <w:rFonts w:ascii="Arial" w:hAnsi="Arial" w:cs="Arial"/>
                <w:lang w:val="es-SV" w:eastAsia="es-SV"/>
              </w:rPr>
            </w:pPr>
            <w:r w:rsidRPr="001A205E">
              <w:rPr>
                <w:rFonts w:ascii="Calibri" w:hAnsi="Calibri" w:cs="Calibri"/>
                <w:b/>
                <w:bCs/>
                <w:color w:val="000000"/>
                <w:kern w:val="24"/>
                <w:lang w:val="es-SV" w:eastAsia="es-SV"/>
              </w:rPr>
              <w:t>Actual</w:t>
            </w:r>
          </w:p>
        </w:tc>
        <w:tc>
          <w:tcPr>
            <w:tcW w:w="3685" w:type="dxa"/>
            <w:shd w:val="clear" w:color="auto" w:fill="D5DCE4" w:themeFill="text2" w:themeFillTint="33"/>
            <w:tcMar>
              <w:top w:w="15" w:type="dxa"/>
              <w:left w:w="43" w:type="dxa"/>
              <w:bottom w:w="0" w:type="dxa"/>
              <w:right w:w="43" w:type="dxa"/>
            </w:tcMar>
            <w:hideMark/>
          </w:tcPr>
          <w:p w:rsidR="000A53CB" w:rsidRPr="001A205E" w:rsidRDefault="000A53CB" w:rsidP="000A53CB">
            <w:pPr>
              <w:jc w:val="center"/>
              <w:rPr>
                <w:rFonts w:ascii="Arial" w:hAnsi="Arial" w:cs="Arial"/>
                <w:lang w:val="es-SV" w:eastAsia="es-SV"/>
              </w:rPr>
            </w:pPr>
            <w:r w:rsidRPr="001A205E">
              <w:rPr>
                <w:rFonts w:ascii="Calibri" w:hAnsi="Calibri" w:cs="Calibri"/>
                <w:b/>
                <w:bCs/>
                <w:color w:val="000000"/>
                <w:kern w:val="24"/>
                <w:lang w:val="es-SV" w:eastAsia="es-SV"/>
              </w:rPr>
              <w:t>Propuesta de Modificación</w:t>
            </w:r>
          </w:p>
        </w:tc>
        <w:tc>
          <w:tcPr>
            <w:tcW w:w="1843" w:type="dxa"/>
            <w:shd w:val="clear" w:color="auto" w:fill="D5DCE4" w:themeFill="text2" w:themeFillTint="33"/>
            <w:tcMar>
              <w:top w:w="15" w:type="dxa"/>
              <w:left w:w="43" w:type="dxa"/>
              <w:bottom w:w="0" w:type="dxa"/>
              <w:right w:w="43" w:type="dxa"/>
            </w:tcMar>
            <w:hideMark/>
          </w:tcPr>
          <w:p w:rsidR="000A53CB" w:rsidRPr="001A205E" w:rsidRDefault="000A53CB" w:rsidP="000A53CB">
            <w:pPr>
              <w:jc w:val="center"/>
              <w:rPr>
                <w:rFonts w:ascii="Arial" w:hAnsi="Arial" w:cs="Arial"/>
                <w:lang w:val="es-SV" w:eastAsia="es-SV"/>
              </w:rPr>
            </w:pPr>
            <w:r w:rsidRPr="001A205E">
              <w:rPr>
                <w:rFonts w:ascii="Calibri" w:hAnsi="Calibri" w:cs="Calibri"/>
                <w:b/>
                <w:bCs/>
                <w:color w:val="000000"/>
                <w:kern w:val="24"/>
                <w:lang w:val="es-SV" w:eastAsia="es-SV"/>
              </w:rPr>
              <w:t>Justificación</w:t>
            </w:r>
          </w:p>
        </w:tc>
      </w:tr>
      <w:tr w:rsidR="000A53CB" w:rsidRPr="001A205E" w:rsidTr="004C7538">
        <w:trPr>
          <w:trHeight w:val="1074"/>
        </w:trPr>
        <w:tc>
          <w:tcPr>
            <w:tcW w:w="4254"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color w:val="000000"/>
                <w:kern w:val="24"/>
                <w:lang w:val="es-ES" w:eastAsia="es-SV"/>
              </w:rPr>
              <w:t>N/A</w:t>
            </w:r>
          </w:p>
        </w:tc>
        <w:tc>
          <w:tcPr>
            <w:tcW w:w="3685"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b/>
                <w:bCs/>
                <w:color w:val="000000"/>
                <w:kern w:val="24"/>
                <w:lang w:val="es-SV" w:eastAsia="es-SV"/>
              </w:rPr>
              <w:t>Jefaturas de Unidades Organizativas:</w:t>
            </w:r>
            <w:r w:rsidRPr="001A205E">
              <w:rPr>
                <w:rFonts w:ascii="Calibri" w:hAnsi="Calibri" w:cs="Calibri"/>
                <w:color w:val="000000"/>
                <w:kern w:val="24"/>
                <w:lang w:val="es-SV" w:eastAsia="es-SV"/>
              </w:rPr>
              <w:t xml:space="preserve"> Se refiera a puestos laborales con cargo de Gerente, Jefatura de Unidad, Coordinador de Unidad y Encargados de áreas.</w:t>
            </w:r>
          </w:p>
        </w:tc>
        <w:tc>
          <w:tcPr>
            <w:tcW w:w="1843" w:type="dxa"/>
            <w:shd w:val="clear" w:color="auto" w:fill="auto"/>
            <w:tcMar>
              <w:top w:w="15" w:type="dxa"/>
              <w:left w:w="43" w:type="dxa"/>
              <w:bottom w:w="0" w:type="dxa"/>
              <w:right w:w="43" w:type="dxa"/>
            </w:tcMar>
            <w:hideMark/>
          </w:tcPr>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ES" w:eastAsia="es-SV"/>
              </w:rPr>
              <w:t>Se agregó la definición de Jefaturas de Unidades Organizativas y se hace referencia en el documento</w:t>
            </w:r>
          </w:p>
        </w:tc>
      </w:tr>
      <w:tr w:rsidR="000A53CB" w:rsidRPr="001A205E" w:rsidTr="004C7538">
        <w:trPr>
          <w:trHeight w:val="1444"/>
        </w:trPr>
        <w:tc>
          <w:tcPr>
            <w:tcW w:w="4254"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b/>
                <w:bCs/>
                <w:color w:val="000000"/>
                <w:kern w:val="24"/>
                <w:lang w:val="es-SV" w:eastAsia="es-SV"/>
              </w:rPr>
              <w:t>1.3 Comité de Riesgos</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El Comité de Riesgos es un órgano de apoyo al Consejo Directivo de la Corporación para la administración de Riesgos de CORSAIN, y dentro de sus principales funciones se encuentran:</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1) Definir y mantener un flujo continuo de comunicaciones entre el Consejo Directivo, la </w:t>
            </w:r>
            <w:r w:rsidRPr="001A205E">
              <w:rPr>
                <w:rFonts w:ascii="Calibri" w:hAnsi="Calibri" w:cs="Calibri"/>
                <w:color w:val="000000"/>
                <w:kern w:val="24"/>
                <w:lang w:val="es-SV" w:eastAsia="es-SV"/>
              </w:rPr>
              <w:lastRenderedPageBreak/>
              <w:t xml:space="preserve">Unidad de Riesgos, Auditoría Interna y los Funcionarios Públicos de las diferentes </w:t>
            </w:r>
            <w:r w:rsidRPr="001A205E">
              <w:rPr>
                <w:rFonts w:ascii="Calibri" w:hAnsi="Calibri" w:cs="Calibri"/>
                <w:color w:val="000000"/>
                <w:kern w:val="24"/>
                <w:u w:val="single"/>
                <w:lang w:val="es-SV" w:eastAsia="es-SV"/>
              </w:rPr>
              <w:t>Gerencias, Jefes</w:t>
            </w:r>
            <w:r w:rsidRPr="001A205E">
              <w:rPr>
                <w:rFonts w:ascii="Calibri" w:hAnsi="Calibri" w:cs="Calibri"/>
                <w:color w:val="000000"/>
                <w:kern w:val="24"/>
                <w:lang w:val="es-SV" w:eastAsia="es-SV"/>
              </w:rPr>
              <w:t>, Coordinadores y Especialistas con respecto a los siguientes asuntos </w:t>
            </w:r>
          </w:p>
        </w:tc>
        <w:tc>
          <w:tcPr>
            <w:tcW w:w="3685"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b/>
                <w:bCs/>
                <w:color w:val="000000"/>
                <w:kern w:val="24"/>
                <w:lang w:val="es-SV" w:eastAsia="es-SV"/>
              </w:rPr>
              <w:lastRenderedPageBreak/>
              <w:t>1.3 Comité de Riesgos</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El Comité de Riesgos es un órgano de apoyo al Consejo Directivo de la Corporación para la administración de Riesgos de CORSAIN, y dentro de sus principales funciones se encuentran:</w:t>
            </w:r>
          </w:p>
          <w:p w:rsidR="000A53CB" w:rsidRPr="001A205E" w:rsidRDefault="000A53CB" w:rsidP="00017457">
            <w:pPr>
              <w:jc w:val="both"/>
              <w:rPr>
                <w:rFonts w:ascii="Arial" w:hAnsi="Arial" w:cs="Arial"/>
                <w:lang w:val="es-SV" w:eastAsia="es-SV"/>
              </w:rPr>
            </w:pPr>
            <w:r w:rsidRPr="001A205E">
              <w:rPr>
                <w:rFonts w:ascii="Calibri" w:hAnsi="Calibri" w:cs="Calibri"/>
                <w:color w:val="000000"/>
                <w:kern w:val="24"/>
                <w:lang w:val="es-SV" w:eastAsia="es-SV"/>
              </w:rPr>
              <w:lastRenderedPageBreak/>
              <w:t xml:space="preserve">1) Definir y mantener un flujo continuo de comunicaciones entre el Consejo Directivo, la Unidad de Riesgos, Auditoría Interna y los Funcionarios Públicos de las diferentes </w:t>
            </w:r>
            <w:r w:rsidRPr="001A205E">
              <w:rPr>
                <w:rFonts w:ascii="Calibri" w:hAnsi="Calibri" w:cs="Calibri"/>
                <w:color w:val="000000"/>
                <w:kern w:val="24"/>
                <w:u w:val="single"/>
                <w:lang w:val="es-SV" w:eastAsia="es-SV"/>
              </w:rPr>
              <w:t>Jefaturas de las Unidades Organizativas</w:t>
            </w:r>
            <w:r w:rsidRPr="001A205E">
              <w:rPr>
                <w:rFonts w:ascii="Calibri" w:hAnsi="Calibri" w:cs="Calibri"/>
                <w:color w:val="000000"/>
                <w:kern w:val="24"/>
                <w:lang w:val="es-SV" w:eastAsia="es-SV"/>
              </w:rPr>
              <w:t xml:space="preserve"> con respecto a los siguientes asuntos: </w:t>
            </w:r>
          </w:p>
        </w:tc>
        <w:tc>
          <w:tcPr>
            <w:tcW w:w="1843" w:type="dxa"/>
            <w:vMerge w:val="restart"/>
            <w:shd w:val="clear" w:color="auto" w:fill="auto"/>
            <w:tcMar>
              <w:top w:w="15" w:type="dxa"/>
              <w:left w:w="43" w:type="dxa"/>
              <w:bottom w:w="0" w:type="dxa"/>
              <w:right w:w="43" w:type="dxa"/>
            </w:tcMar>
            <w:hideMark/>
          </w:tcPr>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lastRenderedPageBreak/>
              <w:t>Se realizó el cambio para ser congruente con la nueva estructura organizativa</w:t>
            </w:r>
          </w:p>
        </w:tc>
      </w:tr>
      <w:tr w:rsidR="000A53CB" w:rsidRPr="001A205E" w:rsidTr="004C7538">
        <w:trPr>
          <w:trHeight w:val="1444"/>
        </w:trPr>
        <w:tc>
          <w:tcPr>
            <w:tcW w:w="4254" w:type="dxa"/>
            <w:shd w:val="clear" w:color="auto" w:fill="auto"/>
            <w:tcMar>
              <w:top w:w="15" w:type="dxa"/>
              <w:left w:w="43" w:type="dxa"/>
              <w:bottom w:w="0" w:type="dxa"/>
              <w:right w:w="43" w:type="dxa"/>
            </w:tcMar>
            <w:hideMark/>
          </w:tcPr>
          <w:p w:rsidR="000A53CB" w:rsidRPr="001A205E" w:rsidRDefault="000A53CB" w:rsidP="000A53CB">
            <w:pPr>
              <w:jc w:val="both"/>
              <w:rPr>
                <w:rFonts w:ascii="Arial" w:hAnsi="Arial" w:cs="Arial"/>
                <w:lang w:val="es-SV" w:eastAsia="es-SV"/>
              </w:rPr>
            </w:pPr>
            <w:r w:rsidRPr="001A205E">
              <w:rPr>
                <w:rFonts w:ascii="Calibri" w:hAnsi="Calibri" w:cs="Calibri"/>
                <w:b/>
                <w:bCs/>
                <w:color w:val="000000"/>
                <w:kern w:val="24"/>
                <w:lang w:val="es-SV" w:eastAsia="es-SV"/>
              </w:rPr>
              <w:lastRenderedPageBreak/>
              <w:t>1.3 Comité de Riesgos</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ES" w:eastAsia="es-SV"/>
              </w:rPr>
              <w:t xml:space="preserve">Dicho Comité estará constituido de acuerdo a lo aprobado por un Director externo. </w:t>
            </w:r>
            <w:r w:rsidRPr="001A205E">
              <w:rPr>
                <w:rFonts w:ascii="Calibri" w:hAnsi="Calibri" w:cs="Calibri"/>
                <w:color w:val="000000"/>
                <w:kern w:val="24"/>
                <w:u w:val="single"/>
                <w:lang w:val="es-ES" w:eastAsia="es-SV"/>
              </w:rPr>
              <w:t>Gerente General, Gerente de Finanzas, Gerente Legal</w:t>
            </w:r>
            <w:r w:rsidRPr="001A205E">
              <w:rPr>
                <w:rFonts w:ascii="Calibri" w:hAnsi="Calibri" w:cs="Calibri"/>
                <w:color w:val="000000"/>
                <w:kern w:val="24"/>
                <w:lang w:val="es-ES" w:eastAsia="es-SV"/>
              </w:rPr>
              <w:t>, y el Coordinador de Riesgos</w:t>
            </w:r>
            <w:r w:rsidRPr="001A205E">
              <w:rPr>
                <w:rFonts w:ascii="Calibri" w:hAnsi="Calibri" w:cs="Calibri"/>
                <w:color w:val="000000"/>
                <w:kern w:val="24"/>
                <w:lang w:val="es-SV" w:eastAsia="es-SV"/>
              </w:rPr>
              <w:t> </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El Comité tendrá un Coordinador que será el  Director Externo designado por el Consejo Directivo, y a las reuniones que celebre el Comité de Riesgos podrán ser convocados los diferentes </w:t>
            </w:r>
            <w:r w:rsidRPr="001A205E">
              <w:rPr>
                <w:rFonts w:ascii="Calibri" w:hAnsi="Calibri" w:cs="Calibri"/>
                <w:color w:val="000000"/>
                <w:kern w:val="24"/>
                <w:u w:val="single"/>
                <w:lang w:val="es-SV" w:eastAsia="es-SV"/>
              </w:rPr>
              <w:t xml:space="preserve">Gerentes, Jefes, Coordinadores o cualquier otro funcionario </w:t>
            </w:r>
            <w:r w:rsidRPr="001A205E">
              <w:rPr>
                <w:rFonts w:ascii="Calibri" w:hAnsi="Calibri" w:cs="Calibri"/>
                <w:color w:val="000000"/>
                <w:kern w:val="24"/>
                <w:lang w:val="es-SV" w:eastAsia="es-SV"/>
              </w:rPr>
              <w:t>que el Comité considere conveniente para presentar el punto correspondiente que se haya incluido en la agenda</w:t>
            </w:r>
          </w:p>
        </w:tc>
        <w:tc>
          <w:tcPr>
            <w:tcW w:w="3685" w:type="dxa"/>
            <w:shd w:val="clear" w:color="auto" w:fill="auto"/>
            <w:tcMar>
              <w:top w:w="15" w:type="dxa"/>
              <w:left w:w="43" w:type="dxa"/>
              <w:bottom w:w="0" w:type="dxa"/>
              <w:right w:w="43" w:type="dxa"/>
            </w:tcMar>
            <w:hideMark/>
          </w:tcPr>
          <w:p w:rsidR="000A53CB" w:rsidRPr="001A205E" w:rsidRDefault="000A53CB" w:rsidP="000A53CB">
            <w:pPr>
              <w:jc w:val="both"/>
              <w:rPr>
                <w:rFonts w:ascii="Arial" w:hAnsi="Arial" w:cs="Arial"/>
                <w:lang w:val="es-SV" w:eastAsia="es-SV"/>
              </w:rPr>
            </w:pPr>
            <w:r w:rsidRPr="001A205E">
              <w:rPr>
                <w:rFonts w:ascii="Calibri" w:hAnsi="Calibri" w:cs="Calibri"/>
                <w:b/>
                <w:bCs/>
                <w:color w:val="000000"/>
                <w:kern w:val="24"/>
                <w:lang w:val="es-SV" w:eastAsia="es-SV"/>
              </w:rPr>
              <w:t>1.3 Comité de Riesgos</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Dicho Comité estará constituido de acuerdo a lo aprobado por un Director externo, </w:t>
            </w:r>
            <w:r w:rsidRPr="001A205E">
              <w:rPr>
                <w:rFonts w:ascii="Calibri" w:hAnsi="Calibri" w:cs="Calibri"/>
                <w:color w:val="000000"/>
                <w:kern w:val="24"/>
                <w:u w:val="single"/>
                <w:lang w:val="es-SV" w:eastAsia="es-SV"/>
              </w:rPr>
              <w:t xml:space="preserve">Coordinador Administrativo de Presidencia, Colaborador Jurídico </w:t>
            </w:r>
            <w:r w:rsidRPr="001A205E">
              <w:rPr>
                <w:rFonts w:ascii="Calibri" w:hAnsi="Calibri" w:cs="Calibri"/>
                <w:color w:val="000000"/>
                <w:kern w:val="24"/>
                <w:lang w:val="es-SV" w:eastAsia="es-SV"/>
              </w:rPr>
              <w:t>y el Coordinador de Riesgos</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El Comité tendrá un Coordinador que será el  Director Externo designado por el Consejo Directivo, y a las reuniones que celebre el Comité de Riesgos podrán ser convocados las diferentes </w:t>
            </w:r>
            <w:r w:rsidRPr="001A205E">
              <w:rPr>
                <w:rFonts w:ascii="Calibri" w:hAnsi="Calibri" w:cs="Calibri"/>
                <w:color w:val="000000"/>
                <w:kern w:val="24"/>
                <w:u w:val="single"/>
                <w:lang w:val="es-SV" w:eastAsia="es-SV"/>
              </w:rPr>
              <w:t xml:space="preserve">Jefaturas de las Unidades Organizativas o </w:t>
            </w:r>
            <w:r w:rsidRPr="001A205E">
              <w:rPr>
                <w:rFonts w:ascii="Calibri" w:hAnsi="Calibri" w:cs="Calibri"/>
                <w:color w:val="000000"/>
                <w:kern w:val="24"/>
                <w:lang w:val="es-SV" w:eastAsia="es-SV"/>
              </w:rPr>
              <w:t>cualquier otro funcionario que el Comité considere conveniente para presentar el punto correspondiente que se haya incluido en la agenda</w:t>
            </w:r>
          </w:p>
        </w:tc>
        <w:tc>
          <w:tcPr>
            <w:tcW w:w="1843" w:type="dxa"/>
            <w:vMerge/>
            <w:shd w:val="clear" w:color="auto" w:fill="auto"/>
            <w:vAlign w:val="center"/>
            <w:hideMark/>
          </w:tcPr>
          <w:p w:rsidR="000A53CB" w:rsidRPr="001A205E" w:rsidRDefault="000A53CB" w:rsidP="000A53CB">
            <w:pPr>
              <w:rPr>
                <w:rFonts w:ascii="Arial" w:hAnsi="Arial" w:cs="Arial"/>
                <w:lang w:val="es-SV" w:eastAsia="es-SV"/>
              </w:rPr>
            </w:pPr>
          </w:p>
        </w:tc>
      </w:tr>
      <w:tr w:rsidR="000A53CB" w:rsidRPr="001A205E" w:rsidTr="004C7538">
        <w:trPr>
          <w:trHeight w:val="1444"/>
        </w:trPr>
        <w:tc>
          <w:tcPr>
            <w:tcW w:w="4254"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b/>
                <w:bCs/>
                <w:color w:val="000000"/>
                <w:kern w:val="24"/>
                <w:lang w:val="es-SV" w:eastAsia="es-SV"/>
              </w:rPr>
              <w:t xml:space="preserve">1.4 Unidad de Riesgos </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Depende de la </w:t>
            </w:r>
            <w:r w:rsidRPr="001A205E">
              <w:rPr>
                <w:rFonts w:ascii="Calibri" w:hAnsi="Calibri" w:cs="Calibri"/>
                <w:color w:val="000000"/>
                <w:kern w:val="24"/>
                <w:u w:val="single"/>
                <w:lang w:val="es-SV" w:eastAsia="es-SV"/>
              </w:rPr>
              <w:t xml:space="preserve">Gerencia General </w:t>
            </w:r>
            <w:r w:rsidRPr="001A205E">
              <w:rPr>
                <w:rFonts w:ascii="Calibri" w:hAnsi="Calibri" w:cs="Calibri"/>
                <w:color w:val="000000"/>
                <w:kern w:val="24"/>
                <w:lang w:val="es-SV" w:eastAsia="es-SV"/>
              </w:rPr>
              <w:t>para asegurar una adecuada separación de funciones y responsabilidades, y que sus informes sean conocidos por el Comité de Riesgos y por el Consejo Directivo</w:t>
            </w:r>
          </w:p>
        </w:tc>
        <w:tc>
          <w:tcPr>
            <w:tcW w:w="3685" w:type="dxa"/>
            <w:shd w:val="clear" w:color="auto" w:fill="auto"/>
            <w:tcMar>
              <w:top w:w="15" w:type="dxa"/>
              <w:left w:w="43" w:type="dxa"/>
              <w:bottom w:w="0" w:type="dxa"/>
              <w:right w:w="43" w:type="dxa"/>
            </w:tcMar>
            <w:hideMark/>
          </w:tcPr>
          <w:p w:rsidR="000A53CB" w:rsidRPr="001A205E" w:rsidRDefault="000A53CB" w:rsidP="000A53CB">
            <w:pPr>
              <w:rPr>
                <w:rFonts w:ascii="Arial" w:hAnsi="Arial" w:cs="Arial"/>
                <w:lang w:val="es-SV" w:eastAsia="es-SV"/>
              </w:rPr>
            </w:pPr>
            <w:r w:rsidRPr="001A205E">
              <w:rPr>
                <w:rFonts w:ascii="Calibri" w:hAnsi="Calibri" w:cs="Calibri"/>
                <w:b/>
                <w:bCs/>
                <w:color w:val="000000"/>
                <w:kern w:val="24"/>
                <w:lang w:val="es-SV" w:eastAsia="es-SV"/>
              </w:rPr>
              <w:t xml:space="preserve">1.4 Unidad de Riesgos </w:t>
            </w:r>
          </w:p>
          <w:p w:rsidR="000A53CB" w:rsidRPr="001A205E" w:rsidRDefault="000A53CB" w:rsidP="000A53CB">
            <w:pPr>
              <w:jc w:val="both"/>
              <w:rPr>
                <w:rFonts w:ascii="Arial" w:hAnsi="Arial" w:cs="Arial"/>
                <w:lang w:val="es-SV" w:eastAsia="es-SV"/>
              </w:rPr>
            </w:pPr>
            <w:r w:rsidRPr="001A205E">
              <w:rPr>
                <w:rFonts w:ascii="Calibri" w:hAnsi="Calibri" w:cs="Calibri"/>
                <w:color w:val="000000"/>
                <w:kern w:val="24"/>
                <w:lang w:val="es-SV" w:eastAsia="es-SV"/>
              </w:rPr>
              <w:t xml:space="preserve">Depende de </w:t>
            </w:r>
            <w:r w:rsidRPr="001A205E">
              <w:rPr>
                <w:rFonts w:ascii="Calibri" w:hAnsi="Calibri" w:cs="Calibri"/>
                <w:color w:val="000000"/>
                <w:kern w:val="24"/>
                <w:u w:val="single"/>
                <w:lang w:val="es-SV" w:eastAsia="es-SV"/>
              </w:rPr>
              <w:t>Presidencia</w:t>
            </w:r>
            <w:r w:rsidRPr="001A205E">
              <w:rPr>
                <w:rFonts w:ascii="Calibri" w:hAnsi="Calibri" w:cs="Calibri"/>
                <w:color w:val="000000"/>
                <w:kern w:val="24"/>
                <w:lang w:val="es-SV" w:eastAsia="es-SV"/>
              </w:rPr>
              <w:t>, para asegurar una adecuada separación de funciones y responsabilidades, y que sus informes sean conocidos por el Comité de Riesgos y por el Consejo Directivo</w:t>
            </w:r>
          </w:p>
        </w:tc>
        <w:tc>
          <w:tcPr>
            <w:tcW w:w="1843" w:type="dxa"/>
            <w:vMerge/>
            <w:shd w:val="clear" w:color="auto" w:fill="auto"/>
            <w:vAlign w:val="center"/>
            <w:hideMark/>
          </w:tcPr>
          <w:p w:rsidR="000A53CB" w:rsidRPr="001A205E" w:rsidRDefault="000A53CB" w:rsidP="000A53CB">
            <w:pPr>
              <w:rPr>
                <w:rFonts w:ascii="Arial" w:hAnsi="Arial" w:cs="Arial"/>
                <w:lang w:val="es-SV" w:eastAsia="es-SV"/>
              </w:rPr>
            </w:pPr>
          </w:p>
        </w:tc>
      </w:tr>
    </w:tbl>
    <w:p w:rsidR="000A53CB" w:rsidRDefault="000A53CB" w:rsidP="000A53CB">
      <w:pPr>
        <w:pStyle w:val="Sinespaciado"/>
        <w:tabs>
          <w:tab w:val="left" w:pos="284"/>
        </w:tabs>
        <w:spacing w:after="200" w:line="360" w:lineRule="auto"/>
        <w:jc w:val="both"/>
        <w:rPr>
          <w:rFonts w:ascii="Tahoma" w:hAnsi="Tahoma" w:cs="Tahoma"/>
          <w:b/>
          <w:sz w:val="20"/>
          <w:szCs w:val="20"/>
          <w:u w:val="double"/>
          <w:lang w:val="es-SV"/>
        </w:rPr>
      </w:pPr>
    </w:p>
    <w:p w:rsidR="000A53CB" w:rsidRPr="0046520D" w:rsidRDefault="000A53CB" w:rsidP="000A53CB">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0A53CB" w:rsidRPr="00677267" w:rsidRDefault="000A53CB" w:rsidP="000A53CB">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2-1658</w:t>
      </w:r>
      <w:r w:rsidRPr="00677267">
        <w:rPr>
          <w:rFonts w:ascii="Tahoma" w:hAnsi="Tahoma" w:cs="Tahoma"/>
          <w:b/>
        </w:rPr>
        <w:t>-2022</w:t>
      </w:r>
    </w:p>
    <w:p w:rsidR="00054CBE" w:rsidRPr="000A53CB" w:rsidRDefault="00054CBE" w:rsidP="001A205E">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MX"/>
        </w:rPr>
        <w:t xml:space="preserve">Aprobar las modificaciones </w:t>
      </w:r>
      <w:r>
        <w:rPr>
          <w:rFonts w:ascii="Tahoma" w:hAnsi="Tahoma" w:cs="Tahoma"/>
          <w:sz w:val="20"/>
          <w:szCs w:val="20"/>
          <w:lang w:eastAsia="es-ES"/>
        </w:rPr>
        <w:t xml:space="preserve">a la Política de Riesgos Institucional, presentadas por el Coordinador de Riesgos, vistas en sesión de Comité de Riesgos sesión </w:t>
      </w:r>
      <w:r w:rsidRPr="000A53CB">
        <w:rPr>
          <w:rFonts w:ascii="Tahoma" w:hAnsi="Tahoma" w:cs="Tahoma"/>
          <w:sz w:val="20"/>
          <w:lang w:val="es-MX"/>
        </w:rPr>
        <w:t>69 de fecha 6 de diciembre de 2022.</w:t>
      </w:r>
    </w:p>
    <w:p w:rsidR="002455FB" w:rsidRDefault="002455FB" w:rsidP="002455FB">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2455FB">
        <w:rPr>
          <w:rFonts w:ascii="Tahoma" w:hAnsi="Tahoma" w:cs="Tahoma"/>
          <w:b/>
          <w:sz w:val="20"/>
          <w:szCs w:val="20"/>
          <w:u w:val="double"/>
          <w:lang w:val="es-SV"/>
        </w:rPr>
        <w:t>TERMINOS DE REFERENCIA PARA CONTRATAR LOS SERVICIOS PROFESIONALES DE AUDITORIA EXTERNA FINANCIERA, EJERCICIO FISCAL 2023 PARA LA CORPORACIÓN SALVADOREÑA DE INVERSIONES (CORSAIN) LIBRE GESTIÓN CORSAIN LG-71/2022 P/2023.</w:t>
      </w:r>
    </w:p>
    <w:p w:rsidR="00054CBE" w:rsidRPr="00054CBE" w:rsidRDefault="00054CBE" w:rsidP="001A205E">
      <w:pPr>
        <w:pStyle w:val="Sinespaciado"/>
        <w:tabs>
          <w:tab w:val="left" w:pos="-142"/>
        </w:tabs>
        <w:spacing w:after="200" w:line="360" w:lineRule="auto"/>
        <w:jc w:val="both"/>
        <w:rPr>
          <w:rFonts w:ascii="Tahoma" w:hAnsi="Tahoma" w:cs="Tahoma"/>
          <w:sz w:val="20"/>
          <w:szCs w:val="20"/>
          <w:lang w:val="es-SV"/>
        </w:rPr>
      </w:pPr>
      <w:r w:rsidRPr="00054CBE">
        <w:rPr>
          <w:rFonts w:ascii="Tahoma" w:hAnsi="Tahoma" w:cs="Tahoma"/>
          <w:sz w:val="20"/>
          <w:szCs w:val="20"/>
          <w:lang w:eastAsia="es-ES"/>
        </w:rPr>
        <w:t>El Director Presidente somete a consideración del Consejo Directivo los TERMINOS DE REFERENCIA PARA CONTRATAR LOS SERVICIOS PROFESIONALES DE AUDITORIA EXTERNA FINANCIERA, EJERCICIO FISCAL 2023 PARA LA CORPORACIÓN SALVADOREÑA DE INVERSIONES (CORSAIN) LIBRE GESTIÓN CORSAIN LG-71/2022 P/2023, cede la palabra a la Licenciada</w:t>
      </w:r>
      <w:r w:rsidR="0072343A">
        <w:rPr>
          <w:rFonts w:ascii="Tahoma" w:hAnsi="Tahoma" w:cs="Tahoma"/>
          <w:sz w:val="20"/>
          <w:szCs w:val="20"/>
          <w:lang w:eastAsia="es-ES"/>
        </w:rPr>
        <w:t xml:space="preserve">             </w:t>
      </w:r>
      <w:r w:rsidRPr="00054CBE">
        <w:rPr>
          <w:rFonts w:ascii="Tahoma" w:hAnsi="Tahoma" w:cs="Tahoma"/>
          <w:sz w:val="20"/>
          <w:szCs w:val="20"/>
          <w:lang w:eastAsia="es-ES"/>
        </w:rPr>
        <w:t>, Jefe UFI y expone como base legal el articulo</w:t>
      </w:r>
      <w:r w:rsidRPr="00054CBE">
        <w:rPr>
          <w:rFonts w:ascii="Museo Sans 300" w:eastAsiaTheme="minorEastAsia" w:hAnsi="Museo Sans 300" w:cstheme="minorBidi"/>
          <w:color w:val="000000"/>
          <w:kern w:val="24"/>
          <w:sz w:val="20"/>
          <w:szCs w:val="20"/>
          <w:lang w:val="es-SV" w:eastAsia="es-SV"/>
        </w:rPr>
        <w:t xml:space="preserve"> </w:t>
      </w:r>
      <w:r w:rsidRPr="00054CBE">
        <w:rPr>
          <w:rFonts w:ascii="Tahoma" w:hAnsi="Tahoma" w:cs="Tahoma"/>
          <w:sz w:val="20"/>
          <w:szCs w:val="20"/>
          <w:lang w:val="es-SV"/>
        </w:rPr>
        <w:t xml:space="preserve">62 literal f), de la Ley de Creación de la Corporación Salvadoreña de Inversiones, </w:t>
      </w:r>
      <w:r w:rsidR="00627BE5" w:rsidRPr="00627BE5">
        <w:rPr>
          <w:rFonts w:ascii="Tahoma" w:hAnsi="Tahoma" w:cs="Tahoma"/>
          <w:i/>
          <w:sz w:val="20"/>
          <w:szCs w:val="20"/>
          <w:lang w:val="es-SV"/>
        </w:rPr>
        <w:t xml:space="preserve">que establece que </w:t>
      </w:r>
      <w:r w:rsidRPr="00627BE5">
        <w:rPr>
          <w:rFonts w:ascii="Tahoma" w:hAnsi="Tahoma" w:cs="Tahoma"/>
          <w:i/>
          <w:sz w:val="20"/>
          <w:szCs w:val="20"/>
          <w:lang w:val="es-SV"/>
        </w:rPr>
        <w:t>la Asamblea de Gobernadores nombrará a los auditores externos de una terna propuesta por la Superintendencia del Sistema Financiero;</w:t>
      </w:r>
      <w:r w:rsidRPr="00054CBE">
        <w:rPr>
          <w:rFonts w:ascii="Tahoma" w:hAnsi="Tahoma" w:cs="Tahoma"/>
          <w:sz w:val="20"/>
          <w:szCs w:val="20"/>
          <w:lang w:val="es-SV"/>
        </w:rPr>
        <w:t xml:space="preserve"> mediante nota referencia SAIEF-IE-23607, se recibió de la Superintendencia del Sistema Financiero, la terna de auditores a considerarse en el proceso de contratación de los servicios de Auditoria externa financiera para el ejercicio 2023, la cual </w:t>
      </w:r>
      <w:r w:rsidR="00627BE5" w:rsidRPr="00054CBE">
        <w:rPr>
          <w:rFonts w:ascii="Tahoma" w:hAnsi="Tahoma" w:cs="Tahoma"/>
          <w:sz w:val="20"/>
          <w:szCs w:val="20"/>
          <w:lang w:val="es-SV"/>
        </w:rPr>
        <w:t>está</w:t>
      </w:r>
      <w:r w:rsidRPr="00054CBE">
        <w:rPr>
          <w:rFonts w:ascii="Tahoma" w:hAnsi="Tahoma" w:cs="Tahoma"/>
          <w:sz w:val="20"/>
          <w:szCs w:val="20"/>
          <w:lang w:val="es-SV"/>
        </w:rPr>
        <w:t xml:space="preserve"> conformada de la siguiente manera:</w:t>
      </w:r>
    </w:p>
    <w:p w:rsidR="00054CBE" w:rsidRPr="00054CBE" w:rsidRDefault="00054CBE" w:rsidP="001A205E">
      <w:pPr>
        <w:pStyle w:val="Sinespaciado"/>
        <w:tabs>
          <w:tab w:val="left" w:pos="-142"/>
        </w:tabs>
        <w:spacing w:after="200" w:line="360" w:lineRule="auto"/>
        <w:jc w:val="both"/>
        <w:rPr>
          <w:rFonts w:ascii="Tahoma" w:hAnsi="Tahoma" w:cs="Tahoma"/>
          <w:sz w:val="20"/>
          <w:szCs w:val="20"/>
          <w:lang w:val="es-SV"/>
        </w:rPr>
      </w:pPr>
      <w:r w:rsidRPr="00054CBE">
        <w:rPr>
          <w:rFonts w:ascii="Tahoma" w:hAnsi="Tahoma" w:cs="Tahoma"/>
          <w:sz w:val="20"/>
          <w:szCs w:val="20"/>
          <w:lang w:val="es-SV"/>
        </w:rPr>
        <w:t>1. Murcia &amp; Murcia, S. A. de C. V.</w:t>
      </w:r>
    </w:p>
    <w:p w:rsidR="00054CBE" w:rsidRPr="00054CBE" w:rsidRDefault="00054CBE" w:rsidP="001A205E">
      <w:pPr>
        <w:pStyle w:val="Sinespaciado"/>
        <w:tabs>
          <w:tab w:val="left" w:pos="-142"/>
        </w:tabs>
        <w:spacing w:after="200" w:line="360" w:lineRule="auto"/>
        <w:jc w:val="both"/>
        <w:rPr>
          <w:rFonts w:ascii="Tahoma" w:hAnsi="Tahoma" w:cs="Tahoma"/>
          <w:sz w:val="20"/>
          <w:szCs w:val="20"/>
          <w:lang w:val="es-SV"/>
        </w:rPr>
      </w:pPr>
      <w:r w:rsidRPr="00054CBE">
        <w:rPr>
          <w:rFonts w:ascii="Tahoma" w:hAnsi="Tahoma" w:cs="Tahoma"/>
          <w:sz w:val="20"/>
          <w:szCs w:val="20"/>
          <w:lang w:val="es-SV"/>
        </w:rPr>
        <w:t>2. BMM &amp; Asociados, S.A. de C.V.</w:t>
      </w:r>
    </w:p>
    <w:p w:rsidR="00054CBE" w:rsidRPr="00054CBE" w:rsidRDefault="00054CBE" w:rsidP="001A205E">
      <w:pPr>
        <w:pStyle w:val="Sinespaciado"/>
        <w:tabs>
          <w:tab w:val="left" w:pos="-142"/>
        </w:tabs>
        <w:spacing w:after="200" w:line="360" w:lineRule="auto"/>
        <w:jc w:val="both"/>
        <w:rPr>
          <w:rFonts w:ascii="Tahoma" w:hAnsi="Tahoma" w:cs="Tahoma"/>
          <w:sz w:val="20"/>
          <w:szCs w:val="20"/>
          <w:lang w:val="es-SV"/>
        </w:rPr>
      </w:pPr>
      <w:r w:rsidRPr="00054CBE">
        <w:rPr>
          <w:rFonts w:ascii="Tahoma" w:hAnsi="Tahoma" w:cs="Tahoma"/>
          <w:sz w:val="20"/>
          <w:szCs w:val="20"/>
          <w:lang w:val="es-SV"/>
        </w:rPr>
        <w:t>3. CPA Auditores, S.A. de C. V.</w:t>
      </w:r>
    </w:p>
    <w:p w:rsidR="00054CBE" w:rsidRPr="00054CBE" w:rsidRDefault="00054CBE" w:rsidP="001A205E">
      <w:pPr>
        <w:pStyle w:val="Sinespaciado"/>
        <w:tabs>
          <w:tab w:val="left" w:pos="-142"/>
        </w:tabs>
        <w:spacing w:after="200" w:line="360" w:lineRule="auto"/>
        <w:jc w:val="both"/>
        <w:rPr>
          <w:rFonts w:ascii="Tahoma" w:hAnsi="Tahoma" w:cs="Tahoma"/>
          <w:sz w:val="20"/>
          <w:szCs w:val="20"/>
          <w:lang w:val="es-SV"/>
        </w:rPr>
      </w:pPr>
      <w:r w:rsidRPr="00054CBE">
        <w:rPr>
          <w:rFonts w:ascii="Tahoma" w:hAnsi="Tahoma" w:cs="Tahoma"/>
          <w:sz w:val="20"/>
          <w:szCs w:val="20"/>
          <w:lang w:val="es-SV"/>
        </w:rPr>
        <w:lastRenderedPageBreak/>
        <w:t>A continuación se presentan las especificaciones técnicas para el proceso de contratación de los servicios de Auditoria externa financiera ejercicio fiscal 2023.</w:t>
      </w:r>
    </w:p>
    <w:p w:rsidR="00627BE5" w:rsidRPr="00627BE5" w:rsidRDefault="00627BE5" w:rsidP="001A205E">
      <w:pPr>
        <w:pStyle w:val="Sinespaciado"/>
        <w:tabs>
          <w:tab w:val="left" w:pos="-142"/>
        </w:tabs>
        <w:spacing w:after="200" w:line="360" w:lineRule="auto"/>
        <w:jc w:val="both"/>
        <w:rPr>
          <w:rFonts w:ascii="Tahoma" w:hAnsi="Tahoma" w:cs="Tahoma"/>
          <w:sz w:val="20"/>
          <w:lang w:val="es-SV"/>
        </w:rPr>
      </w:pPr>
      <w:r w:rsidRPr="00627BE5">
        <w:rPr>
          <w:rFonts w:ascii="Tahoma" w:hAnsi="Tahoma" w:cs="Tahoma"/>
          <w:sz w:val="20"/>
          <w:lang w:val="es-ES_tradnl"/>
        </w:rPr>
        <w:t>Los términos de referencia para el proceso de contratación de los servicios de auditoría externa financiera para el ejercicio fiscal 2023, comprende 5 apartados detallados, así:</w:t>
      </w:r>
    </w:p>
    <w:p w:rsidR="009E6F8C" w:rsidRPr="00627BE5" w:rsidRDefault="0045503C" w:rsidP="001A205E">
      <w:pPr>
        <w:pStyle w:val="Sinespaciado"/>
        <w:numPr>
          <w:ilvl w:val="0"/>
          <w:numId w:val="13"/>
        </w:numPr>
        <w:tabs>
          <w:tab w:val="left" w:pos="-142"/>
        </w:tabs>
        <w:spacing w:after="200"/>
        <w:jc w:val="both"/>
        <w:rPr>
          <w:rFonts w:ascii="Tahoma" w:hAnsi="Tahoma" w:cs="Tahoma"/>
          <w:sz w:val="20"/>
          <w:lang w:val="es-SV"/>
        </w:rPr>
      </w:pPr>
      <w:r w:rsidRPr="00627BE5">
        <w:rPr>
          <w:rFonts w:ascii="Tahoma" w:hAnsi="Tahoma" w:cs="Tahoma"/>
          <w:b/>
          <w:bCs/>
          <w:sz w:val="20"/>
          <w:lang w:val="es-ES_tradnl"/>
        </w:rPr>
        <w:t>SECCIÓN I:  INSTRUCCIONES A LOS OFERTANTES</w:t>
      </w:r>
    </w:p>
    <w:p w:rsidR="009E6F8C" w:rsidRPr="00627BE5" w:rsidRDefault="0045503C" w:rsidP="001A205E">
      <w:pPr>
        <w:pStyle w:val="Sinespaciado"/>
        <w:numPr>
          <w:ilvl w:val="0"/>
          <w:numId w:val="13"/>
        </w:numPr>
        <w:tabs>
          <w:tab w:val="left" w:pos="-142"/>
        </w:tabs>
        <w:spacing w:after="200"/>
        <w:jc w:val="both"/>
        <w:rPr>
          <w:rFonts w:ascii="Tahoma" w:hAnsi="Tahoma" w:cs="Tahoma"/>
          <w:sz w:val="20"/>
          <w:lang w:val="es-SV"/>
        </w:rPr>
      </w:pPr>
      <w:r w:rsidRPr="00627BE5">
        <w:rPr>
          <w:rFonts w:ascii="Tahoma" w:hAnsi="Tahoma" w:cs="Tahoma"/>
          <w:b/>
          <w:bCs/>
          <w:sz w:val="20"/>
          <w:lang w:val="es-ES_tradnl"/>
        </w:rPr>
        <w:t>SECCIÓN II:  EVALUACIÓN DE OFERTAS</w:t>
      </w:r>
    </w:p>
    <w:p w:rsidR="009E6F8C" w:rsidRPr="00627BE5" w:rsidRDefault="0045503C" w:rsidP="001A205E">
      <w:pPr>
        <w:pStyle w:val="Sinespaciado"/>
        <w:numPr>
          <w:ilvl w:val="0"/>
          <w:numId w:val="13"/>
        </w:numPr>
        <w:tabs>
          <w:tab w:val="left" w:pos="-142"/>
        </w:tabs>
        <w:spacing w:after="200"/>
        <w:jc w:val="both"/>
        <w:rPr>
          <w:rFonts w:ascii="Tahoma" w:hAnsi="Tahoma" w:cs="Tahoma"/>
          <w:sz w:val="20"/>
          <w:lang w:val="es-SV"/>
        </w:rPr>
      </w:pPr>
      <w:r w:rsidRPr="00627BE5">
        <w:rPr>
          <w:rFonts w:ascii="Tahoma" w:hAnsi="Tahoma" w:cs="Tahoma"/>
          <w:b/>
          <w:bCs/>
          <w:sz w:val="20"/>
          <w:lang w:val="es-ES_tradnl"/>
        </w:rPr>
        <w:t>SECCIÓN III: DE LA ADJUDICACIÓN Y CONTRATACION</w:t>
      </w:r>
    </w:p>
    <w:p w:rsidR="009E6F8C" w:rsidRPr="00627BE5" w:rsidRDefault="0045503C" w:rsidP="001A205E">
      <w:pPr>
        <w:pStyle w:val="Sinespaciado"/>
        <w:numPr>
          <w:ilvl w:val="0"/>
          <w:numId w:val="13"/>
        </w:numPr>
        <w:tabs>
          <w:tab w:val="left" w:pos="-142"/>
        </w:tabs>
        <w:spacing w:after="200"/>
        <w:jc w:val="both"/>
        <w:rPr>
          <w:rFonts w:ascii="Tahoma" w:hAnsi="Tahoma" w:cs="Tahoma"/>
          <w:sz w:val="20"/>
          <w:lang w:val="es-SV"/>
        </w:rPr>
      </w:pPr>
      <w:r w:rsidRPr="00627BE5">
        <w:rPr>
          <w:rFonts w:ascii="Tahoma" w:hAnsi="Tahoma" w:cs="Tahoma"/>
          <w:b/>
          <w:bCs/>
          <w:sz w:val="20"/>
          <w:lang w:val="es-MX"/>
        </w:rPr>
        <w:t xml:space="preserve">SECCIÓN IV: </w:t>
      </w:r>
      <w:r w:rsidRPr="00627BE5">
        <w:rPr>
          <w:rFonts w:ascii="Tahoma" w:hAnsi="Tahoma" w:cs="Tahoma"/>
          <w:b/>
          <w:bCs/>
          <w:sz w:val="20"/>
        </w:rPr>
        <w:t>ESPECIFICACIONES TÉCNICAS</w:t>
      </w:r>
    </w:p>
    <w:p w:rsidR="009E6F8C" w:rsidRPr="00627BE5" w:rsidRDefault="0045503C" w:rsidP="001A205E">
      <w:pPr>
        <w:pStyle w:val="Sinespaciado"/>
        <w:numPr>
          <w:ilvl w:val="0"/>
          <w:numId w:val="13"/>
        </w:numPr>
        <w:tabs>
          <w:tab w:val="left" w:pos="-142"/>
        </w:tabs>
        <w:spacing w:after="200"/>
        <w:jc w:val="both"/>
        <w:rPr>
          <w:rFonts w:ascii="Tahoma" w:hAnsi="Tahoma" w:cs="Tahoma"/>
          <w:sz w:val="20"/>
          <w:lang w:val="es-SV"/>
        </w:rPr>
      </w:pPr>
      <w:r w:rsidRPr="00627BE5">
        <w:rPr>
          <w:rFonts w:ascii="Tahoma" w:hAnsi="Tahoma" w:cs="Tahoma"/>
          <w:b/>
          <w:bCs/>
          <w:sz w:val="20"/>
          <w:lang w:val="es-ES_tradnl"/>
        </w:rPr>
        <w:t>SECCIÓN V: ANEXOS</w:t>
      </w:r>
    </w:p>
    <w:p w:rsidR="00627BE5" w:rsidRPr="00627BE5" w:rsidRDefault="00627BE5" w:rsidP="00627BE5">
      <w:pPr>
        <w:pStyle w:val="Sinespaciado"/>
        <w:tabs>
          <w:tab w:val="left" w:pos="-142"/>
        </w:tabs>
        <w:spacing w:after="200" w:line="360" w:lineRule="auto"/>
        <w:ind w:left="-284"/>
        <w:jc w:val="both"/>
        <w:rPr>
          <w:rFonts w:ascii="Tahoma" w:hAnsi="Tahoma" w:cs="Tahoma"/>
          <w:sz w:val="20"/>
          <w:lang w:val="es-SV"/>
        </w:rPr>
      </w:pPr>
      <w:r w:rsidRPr="00627BE5">
        <w:rPr>
          <w:rFonts w:ascii="Tahoma" w:hAnsi="Tahoma" w:cs="Tahoma"/>
          <w:sz w:val="20"/>
          <w:lang w:val="es-SV"/>
        </w:rPr>
        <w:t>El contenido de las Instrucciones a los ofertantes, contenidas en la sección I de las bases, se resume en los siguientes apartados:</w:t>
      </w:r>
    </w:p>
    <w:p w:rsidR="009E6F8C" w:rsidRPr="00627BE5" w:rsidRDefault="0045503C" w:rsidP="00627BE5">
      <w:pPr>
        <w:pStyle w:val="Sinespaciado"/>
        <w:numPr>
          <w:ilvl w:val="0"/>
          <w:numId w:val="14"/>
        </w:numPr>
        <w:tabs>
          <w:tab w:val="clear" w:pos="720"/>
          <w:tab w:val="left" w:pos="-142"/>
        </w:tabs>
        <w:spacing w:after="200" w:line="360" w:lineRule="auto"/>
        <w:ind w:left="-284" w:firstLine="0"/>
        <w:jc w:val="both"/>
        <w:rPr>
          <w:rFonts w:ascii="Tahoma" w:hAnsi="Tahoma" w:cs="Tahoma"/>
          <w:b/>
          <w:bCs/>
          <w:sz w:val="20"/>
          <w:lang w:val="es-ES_tradnl"/>
        </w:rPr>
      </w:pPr>
      <w:r w:rsidRPr="00627BE5">
        <w:rPr>
          <w:rFonts w:ascii="Tahoma" w:hAnsi="Tahoma" w:cs="Tahoma"/>
          <w:b/>
          <w:bCs/>
          <w:sz w:val="20"/>
          <w:lang w:val="es-ES_tradnl"/>
        </w:rPr>
        <w:t>OBJETO DE LA CONTRATACIÓN</w:t>
      </w:r>
    </w:p>
    <w:p w:rsidR="00627BE5" w:rsidRPr="00627BE5" w:rsidRDefault="00627BE5" w:rsidP="001A205E">
      <w:pPr>
        <w:pStyle w:val="Sinespaciado"/>
        <w:tabs>
          <w:tab w:val="left" w:pos="-142"/>
        </w:tabs>
        <w:spacing w:after="200" w:line="360" w:lineRule="auto"/>
        <w:jc w:val="both"/>
        <w:rPr>
          <w:rFonts w:ascii="Tahoma" w:hAnsi="Tahoma" w:cs="Tahoma"/>
          <w:sz w:val="20"/>
          <w:lang w:val="es-SV"/>
        </w:rPr>
      </w:pPr>
      <w:r w:rsidRPr="00627BE5">
        <w:rPr>
          <w:rFonts w:ascii="Tahoma" w:hAnsi="Tahoma" w:cs="Tahoma"/>
          <w:sz w:val="20"/>
          <w:lang w:val="es-ES_tradnl"/>
        </w:rPr>
        <w:t xml:space="preserve">La </w:t>
      </w:r>
      <w:r w:rsidRPr="00627BE5">
        <w:rPr>
          <w:rFonts w:ascii="Tahoma" w:hAnsi="Tahoma" w:cs="Tahoma"/>
          <w:b/>
          <w:bCs/>
          <w:sz w:val="20"/>
          <w:lang w:val="es-ES_tradnl"/>
        </w:rPr>
        <w:t xml:space="preserve">CORPORACION SALVADOREÑA DE INVERSIONES, CORSAIN, </w:t>
      </w:r>
      <w:r w:rsidRPr="00627BE5">
        <w:rPr>
          <w:rFonts w:ascii="Tahoma" w:hAnsi="Tahoma" w:cs="Tahoma"/>
          <w:sz w:val="20"/>
          <w:lang w:val="es-ES_tradnl"/>
        </w:rPr>
        <w:t xml:space="preserve">a través de la Unidad de Adquisiciones y Contrataciones Institucional (UACI), promueve la Libre Gestión CORSAIN LG-0X/2022 P/2023 </w:t>
      </w:r>
      <w:r w:rsidRPr="00627BE5">
        <w:rPr>
          <w:rFonts w:ascii="Tahoma" w:hAnsi="Tahoma" w:cs="Tahoma"/>
          <w:b/>
          <w:bCs/>
          <w:sz w:val="20"/>
          <w:lang w:val="es-ES_tradnl"/>
        </w:rPr>
        <w:t xml:space="preserve">“SERVICIOS PROFESIONALES DE AUDITORÍA EXTERNA FINANCIERA, EJERCICIO FISCAL 2023, PARA LA CORPORACIÓN SALVADOREÑA DE INVERSIONES (CORSAIN )”, </w:t>
      </w:r>
      <w:r w:rsidRPr="00627BE5">
        <w:rPr>
          <w:rFonts w:ascii="Tahoma" w:hAnsi="Tahoma" w:cs="Tahoma"/>
          <w:sz w:val="20"/>
          <w:lang w:val="es-ES_tradnl"/>
        </w:rPr>
        <w:t>con la finalidad de seleccionar de la terna propuesta por la Superintendencia del Sistema Financiero,</w:t>
      </w:r>
      <w:r w:rsidRPr="00627BE5">
        <w:rPr>
          <w:rFonts w:ascii="Tahoma" w:hAnsi="Tahoma" w:cs="Tahoma"/>
          <w:b/>
          <w:bCs/>
          <w:sz w:val="20"/>
          <w:lang w:val="es-ES_tradnl"/>
        </w:rPr>
        <w:t xml:space="preserve"> </w:t>
      </w:r>
      <w:r w:rsidRPr="00627BE5">
        <w:rPr>
          <w:rFonts w:ascii="Tahoma" w:hAnsi="Tahoma" w:cs="Tahoma"/>
          <w:sz w:val="20"/>
          <w:lang w:val="es-ES_tradnl"/>
        </w:rPr>
        <w:t>adjunta en</w:t>
      </w:r>
      <w:r w:rsidRPr="00627BE5">
        <w:rPr>
          <w:rFonts w:ascii="Tahoma" w:hAnsi="Tahoma" w:cs="Tahoma"/>
          <w:b/>
          <w:bCs/>
          <w:sz w:val="20"/>
          <w:lang w:val="es-ES_tradnl"/>
        </w:rPr>
        <w:t xml:space="preserve"> Anexo 1</w:t>
      </w:r>
      <w:r w:rsidRPr="00627BE5">
        <w:rPr>
          <w:rFonts w:ascii="Tahoma" w:hAnsi="Tahoma" w:cs="Tahoma"/>
          <w:sz w:val="20"/>
          <w:lang w:val="es-ES_tradnl"/>
        </w:rPr>
        <w:t>, al Ofertante con quien firmará el contrato correspondiente, de conformidad con lo establecido en el Artículo 62 literal f) de la Ley Orgánica de CORSAIN.</w:t>
      </w:r>
    </w:p>
    <w:p w:rsidR="00627BE5" w:rsidRPr="00627BE5" w:rsidRDefault="00627BE5" w:rsidP="001A205E">
      <w:pPr>
        <w:pStyle w:val="Sinespaciado"/>
        <w:tabs>
          <w:tab w:val="left" w:pos="-142"/>
        </w:tabs>
        <w:spacing w:after="200" w:line="360" w:lineRule="auto"/>
        <w:jc w:val="both"/>
        <w:rPr>
          <w:rFonts w:ascii="Tahoma" w:hAnsi="Tahoma" w:cs="Tahoma"/>
          <w:sz w:val="20"/>
          <w:lang w:val="es-SV"/>
        </w:rPr>
      </w:pPr>
      <w:r w:rsidRPr="00627BE5">
        <w:rPr>
          <w:rFonts w:ascii="Tahoma" w:hAnsi="Tahoma" w:cs="Tahoma"/>
          <w:sz w:val="20"/>
          <w:lang w:val="es-ES_tradnl"/>
        </w:rPr>
        <w:t>El propósito de los presentes términos, es contratar a una persona natural o jurídica, nacional, para que brinde los servicios de Auditoría Externa Financiera, de conformidad a las Normas Internacionales de Auditoría, Normas de Auditoría Gubernamental de El Salvador, emitidas por la Corte de Cuentas de la República y las Disposiciones aplicables a la Corporación.</w:t>
      </w:r>
    </w:p>
    <w:p w:rsidR="00627BE5" w:rsidRPr="00627BE5" w:rsidRDefault="00627BE5" w:rsidP="001A205E">
      <w:pPr>
        <w:pStyle w:val="Sinespaciado"/>
        <w:tabs>
          <w:tab w:val="left" w:pos="-142"/>
        </w:tabs>
        <w:spacing w:after="200" w:line="360" w:lineRule="auto"/>
        <w:jc w:val="both"/>
        <w:rPr>
          <w:rFonts w:ascii="Tahoma" w:hAnsi="Tahoma" w:cs="Tahoma"/>
          <w:sz w:val="20"/>
          <w:lang w:val="es-SV"/>
        </w:rPr>
      </w:pPr>
      <w:r w:rsidRPr="00627BE5">
        <w:rPr>
          <w:rFonts w:ascii="Tahoma" w:hAnsi="Tahoma" w:cs="Tahoma"/>
          <w:sz w:val="20"/>
          <w:lang w:val="es-ES_tradnl"/>
        </w:rPr>
        <w:t>El Ofertante deberá presentar su oferta conforme a las condiciones y especificaciones detalladas en las presentes bases, en las Adendas, Enmiendas y Aclaraciones, si las hubiere.</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2.    CONDICIONES GENERALES PARA LA PREPARACIÓN DE OFERTAS</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3.    CONSULTAS SOBRE LAS BASES DE CONTRATACIÓN</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4.    ACLARACIONES, ADENDAS Y ENMIENDAS</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5.    IDIOMA</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6.    MONEDA DE LA OFERTA</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7.    PERÍODO DE VIGENCIA DE LA OFERTA</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8.    DOCUMENTOS COMPRENDIDOS EN LA OFERTA</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 xml:space="preserve">9.    RECEPCIÓN DE OFERTAS </w:t>
      </w:r>
    </w:p>
    <w:p w:rsidR="00627BE5" w:rsidRPr="00627BE5" w:rsidRDefault="00627BE5" w:rsidP="00627BE5">
      <w:pPr>
        <w:pStyle w:val="Sinespaciado"/>
        <w:tabs>
          <w:tab w:val="left" w:pos="-142"/>
        </w:tabs>
        <w:spacing w:after="200"/>
        <w:ind w:left="-284"/>
        <w:jc w:val="both"/>
        <w:rPr>
          <w:rFonts w:ascii="Tahoma" w:hAnsi="Tahoma" w:cs="Tahoma"/>
          <w:sz w:val="20"/>
          <w:lang w:val="es-SV"/>
        </w:rPr>
      </w:pPr>
      <w:r w:rsidRPr="00627BE5">
        <w:rPr>
          <w:rFonts w:ascii="Tahoma" w:hAnsi="Tahoma" w:cs="Tahoma"/>
          <w:b/>
          <w:bCs/>
          <w:sz w:val="20"/>
          <w:lang w:val="es-ES_tradnl"/>
        </w:rPr>
        <w:t>10.  SUBSANACIONES</w:t>
      </w:r>
    </w:p>
    <w:p w:rsidR="00627BE5" w:rsidRDefault="00627BE5" w:rsidP="00627BE5">
      <w:pPr>
        <w:pStyle w:val="Sinespaciado"/>
        <w:tabs>
          <w:tab w:val="left" w:pos="-142"/>
        </w:tabs>
        <w:spacing w:after="200" w:line="360" w:lineRule="auto"/>
        <w:ind w:left="-284"/>
        <w:jc w:val="both"/>
        <w:rPr>
          <w:rFonts w:ascii="Tahoma" w:hAnsi="Tahoma" w:cs="Tahoma"/>
          <w:sz w:val="20"/>
          <w:lang w:val="es-SV"/>
        </w:rPr>
      </w:pPr>
    </w:p>
    <w:p w:rsidR="001A205E" w:rsidRDefault="00627BE5" w:rsidP="001A205E">
      <w:pPr>
        <w:pStyle w:val="Sinespaciado"/>
        <w:spacing w:after="200" w:line="360" w:lineRule="auto"/>
        <w:jc w:val="both"/>
        <w:rPr>
          <w:rFonts w:ascii="Tahoma" w:hAnsi="Tahoma" w:cs="Tahoma"/>
          <w:b/>
          <w:bCs/>
          <w:sz w:val="20"/>
          <w:lang w:val="es-ES_tradnl"/>
        </w:rPr>
      </w:pPr>
      <w:r w:rsidRPr="00627BE5">
        <w:rPr>
          <w:rFonts w:ascii="Tahoma" w:hAnsi="Tahoma" w:cs="Tahoma"/>
          <w:sz w:val="20"/>
          <w:lang w:val="es-SV"/>
        </w:rPr>
        <w:t>La Sección II d</w:t>
      </w:r>
      <w:r w:rsidRPr="00627BE5">
        <w:rPr>
          <w:rFonts w:ascii="Tahoma" w:hAnsi="Tahoma" w:cs="Tahoma"/>
          <w:sz w:val="20"/>
          <w:lang w:val="es-ES_tradnl"/>
        </w:rPr>
        <w:t xml:space="preserve">escribe el proceso de evaluación de ofertas, que inicia con el análisis del Cuadro de Recepción de Ofertas, </w:t>
      </w:r>
      <w:r w:rsidRPr="00627BE5">
        <w:rPr>
          <w:rFonts w:ascii="Tahoma" w:hAnsi="Tahoma" w:cs="Tahoma"/>
          <w:sz w:val="20"/>
          <w:lang w:val="es-SV"/>
        </w:rPr>
        <w:t>siendo el contenido de esta sección según se detalla a continuación:</w:t>
      </w:r>
      <w:r>
        <w:rPr>
          <w:rFonts w:ascii="Tahoma" w:hAnsi="Tahoma" w:cs="Tahoma"/>
          <w:sz w:val="20"/>
          <w:lang w:val="es-SV"/>
        </w:rPr>
        <w:t xml:space="preserve"> </w:t>
      </w:r>
      <w:r w:rsidRPr="00627BE5">
        <w:rPr>
          <w:rFonts w:ascii="Tahoma" w:hAnsi="Tahoma" w:cs="Tahoma"/>
          <w:b/>
          <w:bCs/>
          <w:sz w:val="20"/>
          <w:lang w:val="es-ES_tradnl"/>
        </w:rPr>
        <w:t>1. EVALUACIÓN DE OFERTAS</w:t>
      </w:r>
      <w:r>
        <w:rPr>
          <w:rFonts w:ascii="Tahoma" w:hAnsi="Tahoma" w:cs="Tahoma"/>
          <w:b/>
          <w:bCs/>
          <w:sz w:val="20"/>
          <w:lang w:val="es-ES_tradnl"/>
        </w:rPr>
        <w:t xml:space="preserve">, </w:t>
      </w:r>
      <w:r w:rsidRPr="00627BE5">
        <w:rPr>
          <w:rFonts w:ascii="Tahoma" w:hAnsi="Tahoma" w:cs="Tahoma"/>
          <w:b/>
          <w:bCs/>
          <w:sz w:val="20"/>
          <w:lang w:val="es-ES_tradnl"/>
        </w:rPr>
        <w:t>2. EVALUACIÓN FINANCIERA</w:t>
      </w:r>
      <w:r>
        <w:rPr>
          <w:rFonts w:ascii="Tahoma" w:hAnsi="Tahoma" w:cs="Tahoma"/>
          <w:b/>
          <w:bCs/>
          <w:sz w:val="20"/>
          <w:lang w:val="es-ES_tradnl"/>
        </w:rPr>
        <w:t xml:space="preserve">, </w:t>
      </w:r>
      <w:r w:rsidRPr="00627BE5">
        <w:rPr>
          <w:rFonts w:ascii="Tahoma" w:hAnsi="Tahoma" w:cs="Tahoma"/>
          <w:b/>
          <w:bCs/>
          <w:sz w:val="20"/>
          <w:lang w:val="es-ES_tradnl"/>
        </w:rPr>
        <w:t>3. EVALUACIÓN TÉCNICA</w:t>
      </w:r>
      <w:r w:rsidR="001A205E">
        <w:rPr>
          <w:rFonts w:ascii="Tahoma" w:hAnsi="Tahoma" w:cs="Tahoma"/>
          <w:b/>
          <w:bCs/>
          <w:sz w:val="20"/>
          <w:lang w:val="es-ES_tradnl"/>
        </w:rPr>
        <w:t>,</w:t>
      </w:r>
    </w:p>
    <w:p w:rsidR="001A205E" w:rsidRDefault="001A205E" w:rsidP="001A205E">
      <w:pPr>
        <w:pStyle w:val="Sinespaciado"/>
        <w:spacing w:after="200" w:line="360" w:lineRule="auto"/>
        <w:jc w:val="both"/>
        <w:rPr>
          <w:rFonts w:ascii="Tahoma" w:hAnsi="Tahoma" w:cs="Tahoma"/>
          <w:b/>
          <w:bCs/>
          <w:sz w:val="20"/>
          <w:lang w:val="es-ES_tradnl"/>
        </w:rPr>
      </w:pPr>
    </w:p>
    <w:p w:rsidR="00627BE5" w:rsidRPr="00627BE5" w:rsidRDefault="001E4310" w:rsidP="001A205E">
      <w:pPr>
        <w:pStyle w:val="Sinespaciado"/>
        <w:spacing w:after="200" w:line="360" w:lineRule="auto"/>
        <w:jc w:val="both"/>
        <w:rPr>
          <w:rFonts w:ascii="Tahoma" w:hAnsi="Tahoma" w:cs="Tahoma"/>
          <w:sz w:val="20"/>
          <w:lang w:val="es-SV"/>
        </w:rPr>
      </w:pPr>
      <w:r>
        <w:rPr>
          <w:rFonts w:ascii="Tahoma" w:hAnsi="Tahoma" w:cs="Tahoma"/>
          <w:b/>
          <w:bCs/>
          <w:sz w:val="20"/>
          <w:lang w:val="es-ES_tradnl"/>
        </w:rPr>
        <w:t>4.</w:t>
      </w:r>
      <w:r w:rsidRPr="00627BE5">
        <w:rPr>
          <w:rFonts w:ascii="Tahoma" w:hAnsi="Tahoma" w:cs="Tahoma"/>
          <w:b/>
          <w:bCs/>
          <w:sz w:val="20"/>
          <w:lang w:val="es-ES_tradnl"/>
        </w:rPr>
        <w:t xml:space="preserve"> EVALUACIÓN</w:t>
      </w:r>
      <w:r w:rsidR="00627BE5" w:rsidRPr="00627BE5">
        <w:rPr>
          <w:rFonts w:ascii="Tahoma" w:hAnsi="Tahoma" w:cs="Tahoma"/>
          <w:b/>
          <w:bCs/>
          <w:sz w:val="20"/>
          <w:lang w:val="es-ES_tradnl"/>
        </w:rPr>
        <w:t xml:space="preserve"> DE LA OFERTA ECONÓMICA</w:t>
      </w:r>
      <w:r w:rsidR="00627BE5">
        <w:rPr>
          <w:rFonts w:ascii="Tahoma" w:hAnsi="Tahoma" w:cs="Tahoma"/>
          <w:b/>
          <w:bCs/>
          <w:sz w:val="20"/>
          <w:lang w:val="es-ES_tradnl"/>
        </w:rPr>
        <w:t xml:space="preserve">, 5. DECLARACIÓN DE DESIERTA, </w:t>
      </w:r>
      <w:r w:rsidR="00627BE5" w:rsidRPr="00627BE5">
        <w:rPr>
          <w:rFonts w:ascii="Tahoma" w:hAnsi="Tahoma" w:cs="Tahoma"/>
          <w:b/>
          <w:bCs/>
          <w:sz w:val="20"/>
          <w:lang w:val="es-ES_tradnl"/>
        </w:rPr>
        <w:t>6. RECOMENDACIÓN DE EVALUACIÓN DE OFERTAS</w:t>
      </w:r>
      <w:r w:rsidR="00627BE5">
        <w:rPr>
          <w:rFonts w:ascii="Tahoma" w:hAnsi="Tahoma" w:cs="Tahoma"/>
          <w:b/>
          <w:bCs/>
          <w:sz w:val="20"/>
          <w:lang w:val="es-ES_tradnl"/>
        </w:rPr>
        <w:t>.</w:t>
      </w:r>
    </w:p>
    <w:p w:rsidR="00627BE5" w:rsidRPr="00627BE5" w:rsidRDefault="00627BE5" w:rsidP="00627BE5">
      <w:pPr>
        <w:pStyle w:val="Sinespaciado"/>
        <w:tabs>
          <w:tab w:val="left" w:pos="284"/>
        </w:tabs>
        <w:spacing w:after="200" w:line="360" w:lineRule="auto"/>
        <w:jc w:val="both"/>
        <w:rPr>
          <w:rFonts w:ascii="Tahoma" w:hAnsi="Tahoma" w:cs="Tahoma"/>
          <w:b/>
          <w:sz w:val="20"/>
          <w:lang w:val="es-SV"/>
        </w:rPr>
      </w:pPr>
      <w:r w:rsidRPr="00627BE5">
        <w:rPr>
          <w:rFonts w:ascii="Tahoma" w:hAnsi="Tahoma" w:cs="Tahoma"/>
          <w:sz w:val="20"/>
          <w:lang w:val="es-ES_tradnl"/>
        </w:rPr>
        <w:t>En la sección III se detalla el proceso de adjudicación y contratación, a continuación se detalla el contenido de esta sección:</w:t>
      </w:r>
      <w:r>
        <w:rPr>
          <w:rFonts w:ascii="Tahoma" w:hAnsi="Tahoma" w:cs="Tahoma"/>
          <w:sz w:val="20"/>
          <w:lang w:val="es-ES_tradnl"/>
        </w:rPr>
        <w:t xml:space="preserve"> </w:t>
      </w:r>
      <w:r w:rsidRPr="00627BE5">
        <w:rPr>
          <w:rFonts w:ascii="Tahoma" w:hAnsi="Tahoma" w:cs="Tahoma"/>
          <w:b/>
          <w:bCs/>
          <w:sz w:val="20"/>
          <w:lang w:val="es-ES_tradnl"/>
        </w:rPr>
        <w:t>1.   ADJUDICACIÓN</w:t>
      </w:r>
      <w:r>
        <w:rPr>
          <w:rFonts w:ascii="Tahoma" w:hAnsi="Tahoma" w:cs="Tahoma"/>
          <w:b/>
          <w:bCs/>
          <w:sz w:val="20"/>
          <w:lang w:val="es-ES_tradnl"/>
        </w:rPr>
        <w:t xml:space="preserve">, </w:t>
      </w:r>
      <w:r w:rsidRPr="00627BE5">
        <w:rPr>
          <w:rFonts w:ascii="Tahoma" w:hAnsi="Tahoma" w:cs="Tahoma"/>
          <w:b/>
          <w:bCs/>
          <w:sz w:val="20"/>
          <w:lang w:val="es-ES_tradnl"/>
        </w:rPr>
        <w:t>2.   DOCUMENTOS CONTRACTUALES</w:t>
      </w:r>
      <w:r>
        <w:rPr>
          <w:rFonts w:ascii="Tahoma" w:hAnsi="Tahoma" w:cs="Tahoma"/>
          <w:b/>
          <w:bCs/>
          <w:sz w:val="20"/>
          <w:lang w:val="es-ES_tradnl"/>
        </w:rPr>
        <w:t xml:space="preserve">, </w:t>
      </w:r>
      <w:r w:rsidRPr="00627BE5">
        <w:rPr>
          <w:rFonts w:ascii="Tahoma" w:hAnsi="Tahoma" w:cs="Tahoma"/>
          <w:b/>
          <w:bCs/>
          <w:sz w:val="20"/>
          <w:lang w:val="es-ES_tradnl"/>
        </w:rPr>
        <w:t>3.   REQUISITOS PREVIOS A LA CONTRATACIÓN</w:t>
      </w:r>
      <w:r>
        <w:rPr>
          <w:rFonts w:ascii="Tahoma" w:hAnsi="Tahoma" w:cs="Tahoma"/>
          <w:b/>
          <w:bCs/>
          <w:sz w:val="20"/>
          <w:lang w:val="es-ES_tradnl"/>
        </w:rPr>
        <w:t xml:space="preserve">, </w:t>
      </w:r>
      <w:r w:rsidRPr="00627BE5">
        <w:rPr>
          <w:rFonts w:ascii="Tahoma" w:hAnsi="Tahoma" w:cs="Tahoma"/>
          <w:b/>
          <w:bCs/>
          <w:sz w:val="20"/>
          <w:lang w:val="es-ES_tradnl"/>
        </w:rPr>
        <w:t>4.   FIRMA DEL CONTRATO</w:t>
      </w:r>
      <w:r>
        <w:rPr>
          <w:rFonts w:ascii="Tahoma" w:hAnsi="Tahoma" w:cs="Tahoma"/>
          <w:b/>
          <w:bCs/>
          <w:sz w:val="20"/>
          <w:lang w:val="es-ES_tradnl"/>
        </w:rPr>
        <w:t xml:space="preserve">, </w:t>
      </w:r>
      <w:r w:rsidRPr="00627BE5">
        <w:rPr>
          <w:rFonts w:ascii="Tahoma" w:hAnsi="Tahoma" w:cs="Tahoma"/>
          <w:b/>
          <w:bCs/>
          <w:sz w:val="20"/>
          <w:lang w:val="es-ES_tradnl"/>
        </w:rPr>
        <w:t>5.   ORDEN DE INICIO</w:t>
      </w:r>
      <w:r>
        <w:rPr>
          <w:rFonts w:ascii="Tahoma" w:hAnsi="Tahoma" w:cs="Tahoma"/>
          <w:b/>
          <w:bCs/>
          <w:sz w:val="20"/>
          <w:lang w:val="es-ES_tradnl"/>
        </w:rPr>
        <w:t xml:space="preserve">, </w:t>
      </w:r>
      <w:r w:rsidRPr="00627BE5">
        <w:rPr>
          <w:rFonts w:ascii="Tahoma" w:hAnsi="Tahoma" w:cs="Tahoma"/>
          <w:b/>
          <w:bCs/>
          <w:sz w:val="20"/>
          <w:lang w:val="es-ES_tradnl"/>
        </w:rPr>
        <w:t>6.   GARAN</w:t>
      </w:r>
      <w:r>
        <w:rPr>
          <w:rFonts w:ascii="Tahoma" w:hAnsi="Tahoma" w:cs="Tahoma"/>
          <w:b/>
          <w:bCs/>
          <w:sz w:val="20"/>
          <w:lang w:val="es-ES_tradnl"/>
        </w:rPr>
        <w:t xml:space="preserve">TÍA DE CUMPLIMIENTO DE CONTRATO, </w:t>
      </w:r>
      <w:r w:rsidRPr="00627BE5">
        <w:rPr>
          <w:rFonts w:ascii="Tahoma" w:hAnsi="Tahoma" w:cs="Tahoma"/>
          <w:b/>
          <w:bCs/>
          <w:sz w:val="20"/>
          <w:lang w:val="es-ES_tradnl"/>
        </w:rPr>
        <w:t>7.   LUGAR Y PLAZO PARA LA  RECEPCIÓN  DEL SERVICIO</w:t>
      </w:r>
      <w:r>
        <w:rPr>
          <w:rFonts w:ascii="Tahoma" w:hAnsi="Tahoma" w:cs="Tahoma"/>
          <w:b/>
          <w:bCs/>
          <w:sz w:val="20"/>
          <w:lang w:val="es-ES_tradnl"/>
        </w:rPr>
        <w:t xml:space="preserve">, </w:t>
      </w:r>
      <w:r w:rsidRPr="00627BE5">
        <w:rPr>
          <w:rFonts w:ascii="Tahoma" w:hAnsi="Tahoma" w:cs="Tahoma"/>
          <w:b/>
          <w:bCs/>
          <w:sz w:val="20"/>
          <w:lang w:val="es-ES_tradnl"/>
        </w:rPr>
        <w:t>8.   PRÓRROGA DE CONTRATO</w:t>
      </w:r>
      <w:r>
        <w:rPr>
          <w:rFonts w:ascii="Tahoma" w:hAnsi="Tahoma" w:cs="Tahoma"/>
          <w:b/>
          <w:bCs/>
          <w:sz w:val="20"/>
          <w:lang w:val="es-ES_tradnl"/>
        </w:rPr>
        <w:t xml:space="preserve">, </w:t>
      </w:r>
      <w:r w:rsidRPr="00627BE5">
        <w:rPr>
          <w:rFonts w:ascii="Tahoma" w:hAnsi="Tahoma" w:cs="Tahoma"/>
          <w:b/>
          <w:bCs/>
          <w:sz w:val="20"/>
          <w:lang w:val="es-ES_tradnl"/>
        </w:rPr>
        <w:t>9.   ADMINISTRADOR DEL CONTRATO</w:t>
      </w:r>
      <w:r>
        <w:rPr>
          <w:rFonts w:ascii="Tahoma" w:hAnsi="Tahoma" w:cs="Tahoma"/>
          <w:b/>
          <w:bCs/>
          <w:sz w:val="20"/>
          <w:lang w:val="es-ES_tradnl"/>
        </w:rPr>
        <w:t xml:space="preserve">, 10.  FORMA DE PAGO, </w:t>
      </w:r>
      <w:r w:rsidRPr="00627BE5">
        <w:rPr>
          <w:rFonts w:ascii="Tahoma" w:hAnsi="Tahoma" w:cs="Tahoma"/>
          <w:b/>
          <w:bCs/>
          <w:sz w:val="20"/>
          <w:lang w:val="es-ES_tradnl"/>
        </w:rPr>
        <w:t>11.  MULTAS</w:t>
      </w:r>
      <w:r>
        <w:rPr>
          <w:rFonts w:ascii="Tahoma" w:hAnsi="Tahoma" w:cs="Tahoma"/>
          <w:b/>
          <w:bCs/>
          <w:sz w:val="20"/>
          <w:lang w:val="es-ES_tradnl"/>
        </w:rPr>
        <w:t xml:space="preserve">, </w:t>
      </w:r>
      <w:r w:rsidRPr="00627BE5">
        <w:rPr>
          <w:rFonts w:ascii="Tahoma" w:hAnsi="Tahoma" w:cs="Tahoma"/>
          <w:b/>
          <w:bCs/>
          <w:sz w:val="20"/>
          <w:lang w:val="es-ES_tradnl"/>
        </w:rPr>
        <w:t>12.  SANCIONES</w:t>
      </w:r>
    </w:p>
    <w:p w:rsidR="00627BE5" w:rsidRPr="00627BE5" w:rsidRDefault="00627BE5" w:rsidP="00627BE5">
      <w:pPr>
        <w:pStyle w:val="Sinespaciado"/>
        <w:tabs>
          <w:tab w:val="left" w:pos="284"/>
        </w:tabs>
        <w:spacing w:after="200" w:line="360" w:lineRule="auto"/>
        <w:jc w:val="both"/>
        <w:rPr>
          <w:rFonts w:ascii="Tahoma" w:hAnsi="Tahoma" w:cs="Tahoma"/>
          <w:b/>
          <w:sz w:val="20"/>
          <w:lang w:val="es-SV"/>
        </w:rPr>
      </w:pPr>
      <w:r w:rsidRPr="00627BE5">
        <w:rPr>
          <w:rFonts w:ascii="Tahoma" w:hAnsi="Tahoma" w:cs="Tahoma"/>
          <w:sz w:val="20"/>
          <w:lang w:val="es-ES_tradnl"/>
        </w:rPr>
        <w:t>La sección IV detalla las especificaciones técnicas requeridas por la Corporación para la realización del servicio de auditoria externa financiera, y el contenido de dicha sección se resume a continuación:</w:t>
      </w:r>
      <w:r>
        <w:rPr>
          <w:rFonts w:ascii="Tahoma" w:hAnsi="Tahoma" w:cs="Tahoma"/>
          <w:sz w:val="20"/>
          <w:lang w:val="es-ES_tradnl"/>
        </w:rPr>
        <w:t xml:space="preserve"> </w:t>
      </w:r>
      <w:r w:rsidRPr="00627BE5">
        <w:rPr>
          <w:rFonts w:ascii="Tahoma" w:hAnsi="Tahoma" w:cs="Tahoma"/>
          <w:b/>
          <w:bCs/>
          <w:sz w:val="20"/>
        </w:rPr>
        <w:t>1. OBJETIVO GENERAL</w:t>
      </w:r>
      <w:r>
        <w:rPr>
          <w:rFonts w:ascii="Tahoma" w:hAnsi="Tahoma" w:cs="Tahoma"/>
          <w:b/>
          <w:bCs/>
          <w:sz w:val="20"/>
        </w:rPr>
        <w:t xml:space="preserve">, </w:t>
      </w:r>
      <w:r w:rsidRPr="00627BE5">
        <w:rPr>
          <w:rFonts w:ascii="Tahoma" w:hAnsi="Tahoma" w:cs="Tahoma"/>
          <w:b/>
          <w:bCs/>
          <w:sz w:val="20"/>
          <w:lang w:val="es-ES_tradnl"/>
        </w:rPr>
        <w:t>2. ALCANCE DEL TRABAJO DE AUDITORÍA</w:t>
      </w:r>
      <w:r>
        <w:rPr>
          <w:rFonts w:ascii="Tahoma" w:hAnsi="Tahoma" w:cs="Tahoma"/>
          <w:b/>
          <w:bCs/>
          <w:sz w:val="20"/>
          <w:lang w:val="es-ES_tradnl"/>
        </w:rPr>
        <w:t xml:space="preserve">, </w:t>
      </w:r>
      <w:r w:rsidRPr="00627BE5">
        <w:rPr>
          <w:rFonts w:ascii="Tahoma" w:hAnsi="Tahoma" w:cs="Tahoma"/>
          <w:b/>
          <w:bCs/>
          <w:sz w:val="20"/>
          <w:lang w:val="es-ES_tradnl"/>
        </w:rPr>
        <w:t>3. CUMPLIMIENTO DE LEYES Y REGULACIONES APLICABLES</w:t>
      </w:r>
      <w:r>
        <w:rPr>
          <w:rFonts w:ascii="Tahoma" w:hAnsi="Tahoma" w:cs="Tahoma"/>
          <w:b/>
          <w:bCs/>
          <w:sz w:val="20"/>
          <w:lang w:val="es-ES_tradnl"/>
        </w:rPr>
        <w:t xml:space="preserve">, </w:t>
      </w:r>
      <w:r w:rsidRPr="00627BE5">
        <w:rPr>
          <w:rFonts w:ascii="Tahoma" w:hAnsi="Tahoma" w:cs="Tahoma"/>
          <w:b/>
          <w:bCs/>
          <w:sz w:val="20"/>
          <w:lang w:val="es-ES_tradnl"/>
        </w:rPr>
        <w:t>4. REQUISITOS PROFESIONALES DE LA FIRMA DE AUDITORÍA</w:t>
      </w:r>
      <w:r>
        <w:rPr>
          <w:rFonts w:ascii="Tahoma" w:hAnsi="Tahoma" w:cs="Tahoma"/>
          <w:b/>
          <w:bCs/>
          <w:sz w:val="20"/>
          <w:lang w:val="es-ES_tradnl"/>
        </w:rPr>
        <w:t xml:space="preserve">, </w:t>
      </w:r>
      <w:r w:rsidRPr="00627BE5">
        <w:rPr>
          <w:rFonts w:ascii="Tahoma" w:hAnsi="Tahoma" w:cs="Tahoma"/>
          <w:b/>
          <w:bCs/>
          <w:sz w:val="20"/>
          <w:lang w:val="es-ES_tradnl"/>
        </w:rPr>
        <w:t>5. DEL PERSONAL ASIGNADO</w:t>
      </w:r>
      <w:r>
        <w:rPr>
          <w:rFonts w:ascii="Tahoma" w:hAnsi="Tahoma" w:cs="Tahoma"/>
          <w:b/>
          <w:bCs/>
          <w:sz w:val="20"/>
          <w:lang w:val="es-ES_tradnl"/>
        </w:rPr>
        <w:t xml:space="preserve">, </w:t>
      </w:r>
      <w:r w:rsidRPr="00627BE5">
        <w:rPr>
          <w:rFonts w:ascii="Tahoma" w:hAnsi="Tahoma" w:cs="Tahoma"/>
          <w:b/>
          <w:bCs/>
          <w:sz w:val="20"/>
          <w:lang w:val="es-ES_tradnl"/>
        </w:rPr>
        <w:t>6. INFORMES  REQUERIDOS Y PRESENTACION DE LOS MISMOS A AUTORIDADES DE CORSAIN</w:t>
      </w:r>
      <w:r>
        <w:rPr>
          <w:rFonts w:ascii="Tahoma" w:hAnsi="Tahoma" w:cs="Tahoma"/>
          <w:b/>
          <w:bCs/>
          <w:sz w:val="20"/>
          <w:lang w:val="es-ES_tradnl"/>
        </w:rPr>
        <w:t xml:space="preserve">, </w:t>
      </w:r>
      <w:r w:rsidRPr="00627BE5">
        <w:rPr>
          <w:rFonts w:ascii="Tahoma" w:hAnsi="Tahoma" w:cs="Tahoma"/>
          <w:b/>
          <w:bCs/>
          <w:sz w:val="20"/>
          <w:lang w:val="es-ES_tradnl"/>
        </w:rPr>
        <w:t>7. PLAZO PARA REALIZAR LA AUDITORÍA</w:t>
      </w:r>
    </w:p>
    <w:p w:rsidR="00627BE5" w:rsidRPr="007E39C3" w:rsidRDefault="00627BE5" w:rsidP="00627BE5">
      <w:pPr>
        <w:pStyle w:val="Sinespaciado"/>
        <w:tabs>
          <w:tab w:val="left" w:pos="284"/>
        </w:tabs>
        <w:spacing w:after="200" w:line="360" w:lineRule="auto"/>
        <w:jc w:val="both"/>
        <w:rPr>
          <w:rFonts w:ascii="Tahoma" w:hAnsi="Tahoma" w:cs="Tahoma"/>
          <w:b/>
          <w:sz w:val="20"/>
          <w:lang w:val="es-SV"/>
        </w:rPr>
      </w:pPr>
      <w:r w:rsidRPr="00627BE5">
        <w:rPr>
          <w:rFonts w:ascii="Tahoma" w:hAnsi="Tahoma" w:cs="Tahoma"/>
          <w:sz w:val="20"/>
          <w:lang w:val="es-ES_tradnl"/>
        </w:rPr>
        <w:t>La sección</w:t>
      </w:r>
      <w:r w:rsidR="00EE0B34">
        <w:rPr>
          <w:rFonts w:ascii="Tahoma" w:hAnsi="Tahoma" w:cs="Tahoma"/>
          <w:sz w:val="20"/>
          <w:lang w:val="es-ES_tradnl"/>
        </w:rPr>
        <w:t xml:space="preserve"> V</w:t>
      </w:r>
      <w:r w:rsidRPr="00627BE5">
        <w:rPr>
          <w:rFonts w:ascii="Tahoma" w:hAnsi="Tahoma" w:cs="Tahoma"/>
          <w:sz w:val="20"/>
          <w:lang w:val="es-ES_tradnl"/>
        </w:rPr>
        <w:t xml:space="preserve">  comprende todos los anexos requeridos en el proceso de contratación de los servicios de auditoría externa financiera, iniciando con la terna de auditores que la Superintendencia del Sistema Financiero remite a solicitud de la Corporación, anexos que se detallan a continuación:</w:t>
      </w:r>
      <w:r w:rsidR="007E39C3">
        <w:rPr>
          <w:rFonts w:ascii="Tahoma" w:hAnsi="Tahoma" w:cs="Tahoma"/>
          <w:sz w:val="20"/>
          <w:lang w:val="es-ES_tradnl"/>
        </w:rPr>
        <w:t xml:space="preserve"> </w:t>
      </w:r>
      <w:r w:rsidRPr="007E39C3">
        <w:rPr>
          <w:rFonts w:ascii="Tahoma" w:hAnsi="Tahoma" w:cs="Tahoma"/>
          <w:b/>
          <w:bCs/>
          <w:sz w:val="20"/>
        </w:rPr>
        <w:t xml:space="preserve">ANEXO 1.   </w:t>
      </w:r>
      <w:r w:rsidRPr="007E39C3">
        <w:rPr>
          <w:rFonts w:ascii="Tahoma" w:hAnsi="Tahoma" w:cs="Tahoma"/>
          <w:b/>
          <w:bCs/>
          <w:sz w:val="20"/>
          <w:lang w:val="es-ES_tradnl"/>
        </w:rPr>
        <w:t>TERNA PROPUESTA POR LA SUPERINTENCIA DEL SISTEMA FINANCIERO</w:t>
      </w:r>
      <w:r w:rsidR="007E39C3">
        <w:rPr>
          <w:rFonts w:ascii="Tahoma" w:hAnsi="Tahoma" w:cs="Tahoma"/>
          <w:b/>
          <w:bCs/>
          <w:sz w:val="20"/>
          <w:lang w:val="es-ES_tradnl"/>
        </w:rPr>
        <w:t xml:space="preserve">, </w:t>
      </w:r>
      <w:r w:rsidRPr="007E39C3">
        <w:rPr>
          <w:rFonts w:ascii="Tahoma" w:hAnsi="Tahoma" w:cs="Tahoma"/>
          <w:b/>
          <w:bCs/>
          <w:sz w:val="20"/>
          <w:lang w:val="es-ES_tradnl"/>
        </w:rPr>
        <w:t>ANEXO 2.   MODELO DE CARTA DE OFERTA ECONOMICA</w:t>
      </w:r>
      <w:r w:rsidR="007E39C3">
        <w:rPr>
          <w:rFonts w:ascii="Tahoma" w:hAnsi="Tahoma" w:cs="Tahoma"/>
          <w:b/>
          <w:bCs/>
          <w:sz w:val="20"/>
          <w:lang w:val="es-ES_tradnl"/>
        </w:rPr>
        <w:t xml:space="preserve">, </w:t>
      </w:r>
      <w:r w:rsidRPr="007E39C3">
        <w:rPr>
          <w:rFonts w:ascii="Tahoma" w:hAnsi="Tahoma" w:cs="Tahoma"/>
          <w:b/>
          <w:bCs/>
          <w:sz w:val="20"/>
          <w:lang w:val="es-ES_tradnl"/>
        </w:rPr>
        <w:t>ANEXO 3.   MODELO DE PLAN DE OFERTA</w:t>
      </w:r>
      <w:r w:rsidR="007E39C3">
        <w:rPr>
          <w:rFonts w:ascii="Tahoma" w:hAnsi="Tahoma" w:cs="Tahoma"/>
          <w:b/>
          <w:bCs/>
          <w:sz w:val="20"/>
          <w:lang w:val="es-ES_tradnl"/>
        </w:rPr>
        <w:t xml:space="preserve">, </w:t>
      </w:r>
      <w:r w:rsidRPr="007E39C3">
        <w:rPr>
          <w:rFonts w:ascii="Tahoma" w:hAnsi="Tahoma" w:cs="Tahoma"/>
          <w:b/>
          <w:bCs/>
          <w:sz w:val="20"/>
          <w:lang w:val="es-ES_tradnl"/>
        </w:rPr>
        <w:t>ANEXO 4.   DATOS GENERALES DEL OFERTANTE</w:t>
      </w:r>
      <w:r w:rsidR="007E39C3">
        <w:rPr>
          <w:rFonts w:ascii="Tahoma" w:hAnsi="Tahoma" w:cs="Tahoma"/>
          <w:b/>
          <w:bCs/>
          <w:sz w:val="20"/>
          <w:lang w:val="es-ES_tradnl"/>
        </w:rPr>
        <w:t xml:space="preserve">, </w:t>
      </w:r>
      <w:r w:rsidRPr="007E39C3">
        <w:rPr>
          <w:rFonts w:ascii="Tahoma" w:hAnsi="Tahoma" w:cs="Tahoma"/>
          <w:b/>
          <w:bCs/>
          <w:sz w:val="20"/>
          <w:lang w:val="es-ES_tradnl"/>
        </w:rPr>
        <w:t>ANEXO 5.   DECLARACIÓN JURADA</w:t>
      </w:r>
      <w:r w:rsidR="007E39C3">
        <w:rPr>
          <w:rFonts w:ascii="Tahoma" w:hAnsi="Tahoma" w:cs="Tahoma"/>
          <w:b/>
          <w:bCs/>
          <w:sz w:val="20"/>
          <w:lang w:val="es-ES_tradnl"/>
        </w:rPr>
        <w:t xml:space="preserve">, ANEXO 6. </w:t>
      </w:r>
      <w:r w:rsidRPr="007E39C3">
        <w:rPr>
          <w:rFonts w:ascii="Tahoma" w:hAnsi="Tahoma" w:cs="Tahoma"/>
          <w:b/>
          <w:bCs/>
          <w:sz w:val="20"/>
          <w:lang w:val="es-SV"/>
        </w:rPr>
        <w:t>FORMATO CONSTANCIA DE EXPERIENCIA DEL OFERTANTE</w:t>
      </w:r>
      <w:r w:rsidR="007E39C3">
        <w:rPr>
          <w:rFonts w:ascii="Tahoma" w:hAnsi="Tahoma" w:cs="Tahoma"/>
          <w:b/>
          <w:bCs/>
          <w:sz w:val="20"/>
          <w:lang w:val="es-SV"/>
        </w:rPr>
        <w:t xml:space="preserve">, </w:t>
      </w:r>
      <w:r w:rsidR="007E39C3">
        <w:rPr>
          <w:rFonts w:ascii="Tahoma" w:hAnsi="Tahoma" w:cs="Tahoma"/>
          <w:b/>
          <w:bCs/>
          <w:sz w:val="20"/>
          <w:lang w:val="es-ES_tradnl"/>
        </w:rPr>
        <w:t xml:space="preserve">ANEXO 7. </w:t>
      </w:r>
      <w:r w:rsidRPr="007E39C3">
        <w:rPr>
          <w:rFonts w:ascii="Tahoma" w:hAnsi="Tahoma" w:cs="Tahoma"/>
          <w:b/>
          <w:bCs/>
          <w:sz w:val="20"/>
          <w:lang w:val="es-SV"/>
        </w:rPr>
        <w:t>FORMATO CONSTANCIA DE EXPERIENCIA DEL PERSONAL PROPUESTO PARA EL DESARROLLO DEL SERVICIO DE AUDITORIA</w:t>
      </w:r>
      <w:r w:rsidR="007E39C3">
        <w:rPr>
          <w:rFonts w:ascii="Tahoma" w:hAnsi="Tahoma" w:cs="Tahoma"/>
          <w:b/>
          <w:bCs/>
          <w:sz w:val="20"/>
          <w:lang w:val="es-SV"/>
        </w:rPr>
        <w:t xml:space="preserve">, </w:t>
      </w:r>
      <w:r w:rsidRPr="007E39C3">
        <w:rPr>
          <w:rFonts w:ascii="Tahoma" w:hAnsi="Tahoma" w:cs="Tahoma"/>
          <w:b/>
          <w:bCs/>
          <w:sz w:val="20"/>
          <w:lang w:val="es-ES_tradnl"/>
        </w:rPr>
        <w:t xml:space="preserve">ANEXO 8.   </w:t>
      </w:r>
      <w:r w:rsidRPr="007E39C3">
        <w:rPr>
          <w:rFonts w:ascii="Tahoma" w:hAnsi="Tahoma" w:cs="Tahoma"/>
          <w:b/>
          <w:bCs/>
          <w:sz w:val="20"/>
          <w:lang w:val="es-SV"/>
        </w:rPr>
        <w:t>CARTA COMPROMISO</w:t>
      </w:r>
      <w:r w:rsidR="007E39C3">
        <w:rPr>
          <w:rFonts w:ascii="Tahoma" w:hAnsi="Tahoma" w:cs="Tahoma"/>
          <w:b/>
          <w:bCs/>
          <w:sz w:val="20"/>
          <w:lang w:val="es-SV"/>
        </w:rPr>
        <w:t xml:space="preserve">, </w:t>
      </w:r>
      <w:r w:rsidRPr="007E39C3">
        <w:rPr>
          <w:rFonts w:ascii="Tahoma" w:hAnsi="Tahoma" w:cs="Tahoma"/>
          <w:b/>
          <w:bCs/>
          <w:sz w:val="20"/>
          <w:lang w:val="es-ES_tradnl"/>
        </w:rPr>
        <w:t>ANEXO 9.   MODELO GENERAL DE CONTRATO</w:t>
      </w:r>
      <w:r w:rsidR="007E39C3">
        <w:rPr>
          <w:rFonts w:ascii="Tahoma" w:hAnsi="Tahoma" w:cs="Tahoma"/>
          <w:b/>
          <w:bCs/>
          <w:sz w:val="20"/>
          <w:lang w:val="es-ES_tradnl"/>
        </w:rPr>
        <w:t xml:space="preserve">, </w:t>
      </w:r>
      <w:r w:rsidRPr="007E39C3">
        <w:rPr>
          <w:rFonts w:ascii="Tahoma" w:hAnsi="Tahoma" w:cs="Tahoma"/>
          <w:b/>
          <w:bCs/>
          <w:sz w:val="20"/>
          <w:lang w:val="es-ES_tradnl"/>
        </w:rPr>
        <w:t>ANEXO 10. MODELO DE GARANTÍA DE FIEL CUMPLIMIENTO DE CONTRATO</w:t>
      </w:r>
    </w:p>
    <w:p w:rsidR="00054CBE" w:rsidRPr="0046520D" w:rsidRDefault="00054CBE" w:rsidP="00054CBE">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054CBE" w:rsidRPr="00677267" w:rsidRDefault="00054CBE" w:rsidP="00054CBE">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3-1658</w:t>
      </w:r>
      <w:r w:rsidRPr="00677267">
        <w:rPr>
          <w:rFonts w:ascii="Tahoma" w:hAnsi="Tahoma" w:cs="Tahoma"/>
          <w:b/>
        </w:rPr>
        <w:t>-2022</w:t>
      </w:r>
    </w:p>
    <w:p w:rsidR="009E6F8C" w:rsidRPr="007E39C3" w:rsidRDefault="0045503C" w:rsidP="007E39C3">
      <w:pPr>
        <w:pStyle w:val="Sinespaciado"/>
        <w:numPr>
          <w:ilvl w:val="0"/>
          <w:numId w:val="15"/>
        </w:numPr>
        <w:tabs>
          <w:tab w:val="left" w:pos="284"/>
        </w:tabs>
        <w:spacing w:after="200" w:line="360" w:lineRule="auto"/>
        <w:jc w:val="both"/>
        <w:rPr>
          <w:rFonts w:ascii="Tahoma" w:hAnsi="Tahoma" w:cs="Tahoma"/>
          <w:sz w:val="20"/>
          <w:lang w:val="es-SV"/>
        </w:rPr>
      </w:pPr>
      <w:r w:rsidRPr="007E39C3">
        <w:rPr>
          <w:rFonts w:ascii="Tahoma" w:hAnsi="Tahoma" w:cs="Tahoma"/>
          <w:sz w:val="20"/>
          <w:lang w:val="es-SV"/>
        </w:rPr>
        <w:t>Darse por enterados del contenido de los Términos de Referencia para el proceso de contratación, de los servicios profesionales de auditoría externa financiera, para el ejercicio fiscal 2023, presentado por la Unidad Financiera Institucional.</w:t>
      </w:r>
    </w:p>
    <w:p w:rsidR="009E6F8C" w:rsidRPr="007E39C3" w:rsidRDefault="0045503C" w:rsidP="007E39C3">
      <w:pPr>
        <w:pStyle w:val="Sinespaciado"/>
        <w:numPr>
          <w:ilvl w:val="0"/>
          <w:numId w:val="15"/>
        </w:numPr>
        <w:tabs>
          <w:tab w:val="left" w:pos="284"/>
        </w:tabs>
        <w:spacing w:after="200" w:line="360" w:lineRule="auto"/>
        <w:jc w:val="both"/>
        <w:rPr>
          <w:rFonts w:ascii="Tahoma" w:hAnsi="Tahoma" w:cs="Tahoma"/>
          <w:sz w:val="20"/>
          <w:lang w:val="es-SV"/>
        </w:rPr>
      </w:pPr>
      <w:r w:rsidRPr="007E39C3">
        <w:rPr>
          <w:rFonts w:ascii="Tahoma" w:hAnsi="Tahoma" w:cs="Tahoma"/>
          <w:sz w:val="20"/>
          <w:lang w:val="es-SV"/>
        </w:rPr>
        <w:t>Aprobar los Términos de Referencia presentados y autorizar a la administración, para que inicie el proceso de contratación de los servicios profesionales de Auditoria Externa Financiera para CORSAIN ejercicio fiscal 2023.</w:t>
      </w:r>
    </w:p>
    <w:p w:rsidR="007D3027" w:rsidRPr="007D3027" w:rsidRDefault="007D3027" w:rsidP="007D3027">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7D3027">
        <w:rPr>
          <w:rFonts w:ascii="Tahoma" w:hAnsi="Tahoma" w:cs="Tahoma"/>
          <w:b/>
          <w:sz w:val="20"/>
          <w:szCs w:val="20"/>
          <w:u w:val="double"/>
          <w:lang w:val="es-SV"/>
        </w:rPr>
        <w:t>INFORMACIÓN CONFIDENCIAL, ART 24 DE LA LAIP.</w:t>
      </w:r>
    </w:p>
    <w:p w:rsidR="002455FB" w:rsidRPr="002455FB" w:rsidRDefault="002455FB" w:rsidP="007D3027">
      <w:pPr>
        <w:pStyle w:val="Sinespaciado"/>
        <w:tabs>
          <w:tab w:val="left" w:pos="284"/>
        </w:tabs>
        <w:spacing w:after="200" w:line="360" w:lineRule="auto"/>
        <w:ind w:left="284"/>
        <w:jc w:val="both"/>
        <w:rPr>
          <w:rFonts w:ascii="Tahoma" w:hAnsi="Tahoma" w:cs="Tahoma"/>
          <w:b/>
          <w:sz w:val="20"/>
          <w:szCs w:val="20"/>
          <w:u w:val="double"/>
          <w:lang w:val="es-SV"/>
        </w:rPr>
      </w:pPr>
    </w:p>
    <w:p w:rsidR="00706746" w:rsidRDefault="00706746" w:rsidP="00BA5803">
      <w:pPr>
        <w:pStyle w:val="Sinespaciado"/>
        <w:tabs>
          <w:tab w:val="left" w:pos="284"/>
        </w:tabs>
        <w:spacing w:after="200" w:line="360" w:lineRule="auto"/>
        <w:jc w:val="both"/>
        <w:rPr>
          <w:rFonts w:ascii="Tahoma" w:hAnsi="Tahoma" w:cs="Tahoma"/>
          <w:sz w:val="20"/>
          <w:szCs w:val="20"/>
          <w:lang w:val="es-SV" w:eastAsia="es-ES"/>
        </w:rPr>
      </w:pPr>
    </w:p>
    <w:p w:rsidR="00706746" w:rsidRDefault="00706746" w:rsidP="00BA5803">
      <w:pPr>
        <w:pStyle w:val="Sinespaciado"/>
        <w:tabs>
          <w:tab w:val="left" w:pos="284"/>
        </w:tabs>
        <w:spacing w:after="200" w:line="360" w:lineRule="auto"/>
        <w:jc w:val="both"/>
        <w:rPr>
          <w:rFonts w:ascii="Tahoma" w:hAnsi="Tahoma" w:cs="Tahoma"/>
          <w:sz w:val="20"/>
          <w:szCs w:val="20"/>
          <w:lang w:val="es-SV" w:eastAsia="es-ES"/>
        </w:rPr>
      </w:pPr>
    </w:p>
    <w:p w:rsidR="00BA5803" w:rsidRPr="00C1077A" w:rsidRDefault="00BA5803" w:rsidP="00BA5803">
      <w:pPr>
        <w:ind w:left="-284"/>
        <w:jc w:val="center"/>
        <w:rPr>
          <w:noProof/>
        </w:rPr>
      </w:pPr>
    </w:p>
    <w:p w:rsidR="00BA5803" w:rsidRPr="00C1077A" w:rsidRDefault="00BA5803" w:rsidP="00BA5803">
      <w:pPr>
        <w:ind w:left="284"/>
        <w:jc w:val="center"/>
        <w:rPr>
          <w:noProof/>
        </w:rPr>
      </w:pPr>
    </w:p>
    <w:tbl>
      <w:tblPr>
        <w:tblW w:w="6283" w:type="dxa"/>
        <w:jc w:val="center"/>
        <w:tblCellMar>
          <w:left w:w="0" w:type="dxa"/>
          <w:right w:w="0" w:type="dxa"/>
        </w:tblCellMar>
        <w:tblLook w:val="0600" w:firstRow="0" w:lastRow="0" w:firstColumn="0" w:lastColumn="0" w:noHBand="1" w:noVBand="1"/>
      </w:tblPr>
      <w:tblGrid>
        <w:gridCol w:w="6283"/>
      </w:tblGrid>
      <w:tr w:rsidR="00BA5803" w:rsidRPr="000C7EBC" w:rsidTr="0092265B">
        <w:trPr>
          <w:trHeight w:val="187"/>
          <w:jc w:val="center"/>
        </w:trPr>
        <w:tc>
          <w:tcPr>
            <w:tcW w:w="6283" w:type="dxa"/>
            <w:shd w:val="clear" w:color="auto" w:fill="auto"/>
            <w:tcMar>
              <w:top w:w="11" w:type="dxa"/>
              <w:left w:w="11" w:type="dxa"/>
              <w:bottom w:w="0" w:type="dxa"/>
              <w:right w:w="11" w:type="dxa"/>
            </w:tcMar>
            <w:vAlign w:val="bottom"/>
          </w:tcPr>
          <w:p w:rsidR="00BA5803" w:rsidRPr="000C7EBC" w:rsidRDefault="00BA5803" w:rsidP="0092265B">
            <w:pPr>
              <w:textAlignment w:val="bottom"/>
              <w:rPr>
                <w:rFonts w:asciiTheme="minorHAnsi" w:hAnsiTheme="minorHAnsi" w:cs="Tahoma"/>
                <w:b/>
                <w:bCs/>
                <w:color w:val="000000"/>
                <w:kern w:val="24"/>
                <w:sz w:val="18"/>
                <w:szCs w:val="18"/>
                <w:lang w:val="es-SV" w:eastAsia="es-SV"/>
              </w:rPr>
            </w:pPr>
          </w:p>
        </w:tc>
      </w:tr>
    </w:tbl>
    <w:p w:rsidR="00BA5803" w:rsidRDefault="00BA5803"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Default="007D3027" w:rsidP="00BA5803">
      <w:pPr>
        <w:pStyle w:val="Sinespaciado"/>
        <w:tabs>
          <w:tab w:val="left" w:pos="284"/>
        </w:tabs>
        <w:spacing w:after="200" w:line="360" w:lineRule="auto"/>
        <w:jc w:val="both"/>
        <w:rPr>
          <w:rFonts w:ascii="Tahoma" w:hAnsi="Tahoma" w:cs="Tahoma"/>
          <w:bCs/>
          <w:sz w:val="20"/>
          <w:szCs w:val="20"/>
          <w:lang w:val="es-SV"/>
        </w:rPr>
      </w:pPr>
    </w:p>
    <w:p w:rsidR="007D3027" w:rsidRPr="004B568B" w:rsidRDefault="007D3027" w:rsidP="00BA5803">
      <w:pPr>
        <w:pStyle w:val="Sinespaciado"/>
        <w:tabs>
          <w:tab w:val="left" w:pos="284"/>
        </w:tabs>
        <w:spacing w:after="200" w:line="360" w:lineRule="auto"/>
        <w:jc w:val="both"/>
        <w:rPr>
          <w:rFonts w:ascii="Tahoma" w:hAnsi="Tahoma" w:cs="Tahoma"/>
          <w:bCs/>
          <w:iCs/>
          <w:sz w:val="20"/>
          <w:lang w:val="es-SV"/>
        </w:rPr>
      </w:pPr>
    </w:p>
    <w:p w:rsidR="00182A98" w:rsidRDefault="00697279" w:rsidP="00EF0DCD">
      <w:pPr>
        <w:spacing w:line="360" w:lineRule="auto"/>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B14CCB">
        <w:rPr>
          <w:rFonts w:ascii="Tahoma" w:hAnsi="Tahoma" w:cs="Tahoma"/>
          <w:lang w:val="es-SV"/>
        </w:rPr>
        <w:t>quince</w:t>
      </w:r>
      <w:r w:rsidR="003314F5">
        <w:rPr>
          <w:rFonts w:ascii="Tahoma" w:hAnsi="Tahoma" w:cs="Tahoma"/>
          <w:lang w:val="es-SV"/>
        </w:rPr>
        <w:t xml:space="preserve"> </w:t>
      </w:r>
      <w:r w:rsidR="00C074F3" w:rsidRPr="002B0360">
        <w:rPr>
          <w:rFonts w:ascii="Tahoma" w:hAnsi="Tahoma" w:cs="Tahoma"/>
          <w:lang w:val="es-SV"/>
        </w:rPr>
        <w:t>horas</w:t>
      </w:r>
      <w:r w:rsidR="008071DB">
        <w:rPr>
          <w:rFonts w:ascii="Tahoma" w:hAnsi="Tahoma" w:cs="Tahoma"/>
          <w:lang w:val="es-SV"/>
        </w:rPr>
        <w:t xml:space="preserve"> con cuarenta 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8071DB">
        <w:rPr>
          <w:rFonts w:ascii="Tahoma" w:hAnsi="Tahoma" w:cs="Tahoma"/>
          <w:lang w:val="es-SV"/>
        </w:rPr>
        <w:t xml:space="preserve">quince </w:t>
      </w:r>
      <w:r w:rsidR="00B14CCB">
        <w:rPr>
          <w:rFonts w:ascii="Tahoma" w:hAnsi="Tahoma" w:cs="Tahoma"/>
          <w:lang w:val="es-SV"/>
        </w:rPr>
        <w:t xml:space="preserve"> de diciembre</w:t>
      </w:r>
      <w:r w:rsidR="007E34CA" w:rsidRPr="002B0360">
        <w:rPr>
          <w:rFonts w:ascii="Tahoma" w:hAnsi="Tahoma" w:cs="Tahoma"/>
          <w:lang w:val="es-SV"/>
        </w:rPr>
        <w:t xml:space="preserve"> del año dos mil veintidós.</w:t>
      </w:r>
    </w:p>
    <w:p w:rsidR="001A205E" w:rsidRPr="00EF0DCD" w:rsidRDefault="001A205E" w:rsidP="00EF0DCD">
      <w:pPr>
        <w:spacing w:line="360" w:lineRule="auto"/>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82A98" w:rsidRDefault="001D7E89" w:rsidP="002410AD">
            <w:pPr>
              <w:jc w:val="both"/>
              <w:rPr>
                <w:rFonts w:ascii="Tahoma" w:hAnsi="Tahoma" w:cs="Tahoma"/>
                <w:b/>
                <w:lang w:val="es-SV"/>
              </w:rPr>
            </w:pPr>
            <w:r w:rsidRPr="000C7EBC">
              <w:rPr>
                <w:rFonts w:ascii="Tahoma" w:hAnsi="Tahoma" w:cs="Tahoma"/>
                <w:b/>
                <w:lang w:val="es-SV"/>
              </w:rPr>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B63D53" w:rsidRDefault="00B63D5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18D" w:rsidRDefault="0035218D" w:rsidP="001A7AEF">
      <w:r>
        <w:separator/>
      </w:r>
    </w:p>
  </w:endnote>
  <w:endnote w:type="continuationSeparator" w:id="0">
    <w:p w:rsidR="0035218D" w:rsidRDefault="0035218D"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18D" w:rsidRDefault="0035218D" w:rsidP="001A7AEF">
      <w:r>
        <w:separator/>
      </w:r>
    </w:p>
  </w:footnote>
  <w:footnote w:type="continuationSeparator" w:id="0">
    <w:p w:rsidR="0035218D" w:rsidRDefault="0035218D"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2280B89"/>
    <w:multiLevelType w:val="hybridMultilevel"/>
    <w:tmpl w:val="93DCC160"/>
    <w:lvl w:ilvl="0" w:tplc="0068EF66">
      <w:start w:val="1"/>
      <w:numFmt w:val="bullet"/>
      <w:lvlText w:val=""/>
      <w:lvlJc w:val="left"/>
      <w:pPr>
        <w:tabs>
          <w:tab w:val="num" w:pos="720"/>
        </w:tabs>
        <w:ind w:left="720" w:hanging="360"/>
      </w:pPr>
      <w:rPr>
        <w:rFonts w:ascii="Wingdings" w:hAnsi="Wingdings" w:hint="default"/>
      </w:rPr>
    </w:lvl>
    <w:lvl w:ilvl="1" w:tplc="E27C6ABC" w:tentative="1">
      <w:start w:val="1"/>
      <w:numFmt w:val="bullet"/>
      <w:lvlText w:val=""/>
      <w:lvlJc w:val="left"/>
      <w:pPr>
        <w:tabs>
          <w:tab w:val="num" w:pos="1440"/>
        </w:tabs>
        <w:ind w:left="1440" w:hanging="360"/>
      </w:pPr>
      <w:rPr>
        <w:rFonts w:ascii="Wingdings" w:hAnsi="Wingdings" w:hint="default"/>
      </w:rPr>
    </w:lvl>
    <w:lvl w:ilvl="2" w:tplc="313AE180" w:tentative="1">
      <w:start w:val="1"/>
      <w:numFmt w:val="bullet"/>
      <w:lvlText w:val=""/>
      <w:lvlJc w:val="left"/>
      <w:pPr>
        <w:tabs>
          <w:tab w:val="num" w:pos="2160"/>
        </w:tabs>
        <w:ind w:left="2160" w:hanging="360"/>
      </w:pPr>
      <w:rPr>
        <w:rFonts w:ascii="Wingdings" w:hAnsi="Wingdings" w:hint="default"/>
      </w:rPr>
    </w:lvl>
    <w:lvl w:ilvl="3" w:tplc="7A383AA8" w:tentative="1">
      <w:start w:val="1"/>
      <w:numFmt w:val="bullet"/>
      <w:lvlText w:val=""/>
      <w:lvlJc w:val="left"/>
      <w:pPr>
        <w:tabs>
          <w:tab w:val="num" w:pos="2880"/>
        </w:tabs>
        <w:ind w:left="2880" w:hanging="360"/>
      </w:pPr>
      <w:rPr>
        <w:rFonts w:ascii="Wingdings" w:hAnsi="Wingdings" w:hint="default"/>
      </w:rPr>
    </w:lvl>
    <w:lvl w:ilvl="4" w:tplc="A624282E" w:tentative="1">
      <w:start w:val="1"/>
      <w:numFmt w:val="bullet"/>
      <w:lvlText w:val=""/>
      <w:lvlJc w:val="left"/>
      <w:pPr>
        <w:tabs>
          <w:tab w:val="num" w:pos="3600"/>
        </w:tabs>
        <w:ind w:left="3600" w:hanging="360"/>
      </w:pPr>
      <w:rPr>
        <w:rFonts w:ascii="Wingdings" w:hAnsi="Wingdings" w:hint="default"/>
      </w:rPr>
    </w:lvl>
    <w:lvl w:ilvl="5" w:tplc="E800FB28" w:tentative="1">
      <w:start w:val="1"/>
      <w:numFmt w:val="bullet"/>
      <w:lvlText w:val=""/>
      <w:lvlJc w:val="left"/>
      <w:pPr>
        <w:tabs>
          <w:tab w:val="num" w:pos="4320"/>
        </w:tabs>
        <w:ind w:left="4320" w:hanging="360"/>
      </w:pPr>
      <w:rPr>
        <w:rFonts w:ascii="Wingdings" w:hAnsi="Wingdings" w:hint="default"/>
      </w:rPr>
    </w:lvl>
    <w:lvl w:ilvl="6" w:tplc="B11E7DBE" w:tentative="1">
      <w:start w:val="1"/>
      <w:numFmt w:val="bullet"/>
      <w:lvlText w:val=""/>
      <w:lvlJc w:val="left"/>
      <w:pPr>
        <w:tabs>
          <w:tab w:val="num" w:pos="5040"/>
        </w:tabs>
        <w:ind w:left="5040" w:hanging="360"/>
      </w:pPr>
      <w:rPr>
        <w:rFonts w:ascii="Wingdings" w:hAnsi="Wingdings" w:hint="default"/>
      </w:rPr>
    </w:lvl>
    <w:lvl w:ilvl="7" w:tplc="4A983A6E" w:tentative="1">
      <w:start w:val="1"/>
      <w:numFmt w:val="bullet"/>
      <w:lvlText w:val=""/>
      <w:lvlJc w:val="left"/>
      <w:pPr>
        <w:tabs>
          <w:tab w:val="num" w:pos="5760"/>
        </w:tabs>
        <w:ind w:left="5760" w:hanging="360"/>
      </w:pPr>
      <w:rPr>
        <w:rFonts w:ascii="Wingdings" w:hAnsi="Wingdings" w:hint="default"/>
      </w:rPr>
    </w:lvl>
    <w:lvl w:ilvl="8" w:tplc="116E1D96" w:tentative="1">
      <w:start w:val="1"/>
      <w:numFmt w:val="bullet"/>
      <w:lvlText w:val=""/>
      <w:lvlJc w:val="left"/>
      <w:pPr>
        <w:tabs>
          <w:tab w:val="num" w:pos="6480"/>
        </w:tabs>
        <w:ind w:left="6480" w:hanging="360"/>
      </w:pPr>
      <w:rPr>
        <w:rFonts w:ascii="Wingdings" w:hAnsi="Wingdings" w:hint="default"/>
      </w:rPr>
    </w:lvl>
  </w:abstractNum>
  <w:abstractNum w:abstractNumId="6">
    <w:nsid w:val="5A680B54"/>
    <w:multiLevelType w:val="hybridMultilevel"/>
    <w:tmpl w:val="341212EE"/>
    <w:lvl w:ilvl="0" w:tplc="AF586EE0">
      <w:start w:val="1"/>
      <w:numFmt w:val="upperRoman"/>
      <w:lvlText w:val="%1."/>
      <w:lvlJc w:val="right"/>
      <w:pPr>
        <w:tabs>
          <w:tab w:val="num" w:pos="720"/>
        </w:tabs>
        <w:ind w:left="720" w:hanging="360"/>
      </w:pPr>
      <w:rPr>
        <w:b/>
      </w:rPr>
    </w:lvl>
    <w:lvl w:ilvl="1" w:tplc="5428E54C" w:tentative="1">
      <w:start w:val="1"/>
      <w:numFmt w:val="upperRoman"/>
      <w:lvlText w:val="%2."/>
      <w:lvlJc w:val="right"/>
      <w:pPr>
        <w:tabs>
          <w:tab w:val="num" w:pos="1440"/>
        </w:tabs>
        <w:ind w:left="1440" w:hanging="360"/>
      </w:pPr>
    </w:lvl>
    <w:lvl w:ilvl="2" w:tplc="47DE8B56" w:tentative="1">
      <w:start w:val="1"/>
      <w:numFmt w:val="upperRoman"/>
      <w:lvlText w:val="%3."/>
      <w:lvlJc w:val="right"/>
      <w:pPr>
        <w:tabs>
          <w:tab w:val="num" w:pos="2160"/>
        </w:tabs>
        <w:ind w:left="2160" w:hanging="360"/>
      </w:pPr>
    </w:lvl>
    <w:lvl w:ilvl="3" w:tplc="0020087A" w:tentative="1">
      <w:start w:val="1"/>
      <w:numFmt w:val="upperRoman"/>
      <w:lvlText w:val="%4."/>
      <w:lvlJc w:val="right"/>
      <w:pPr>
        <w:tabs>
          <w:tab w:val="num" w:pos="2880"/>
        </w:tabs>
        <w:ind w:left="2880" w:hanging="360"/>
      </w:pPr>
    </w:lvl>
    <w:lvl w:ilvl="4" w:tplc="76DA0ABA" w:tentative="1">
      <w:start w:val="1"/>
      <w:numFmt w:val="upperRoman"/>
      <w:lvlText w:val="%5."/>
      <w:lvlJc w:val="right"/>
      <w:pPr>
        <w:tabs>
          <w:tab w:val="num" w:pos="3600"/>
        </w:tabs>
        <w:ind w:left="3600" w:hanging="360"/>
      </w:pPr>
    </w:lvl>
    <w:lvl w:ilvl="5" w:tplc="F70C2A7A" w:tentative="1">
      <w:start w:val="1"/>
      <w:numFmt w:val="upperRoman"/>
      <w:lvlText w:val="%6."/>
      <w:lvlJc w:val="right"/>
      <w:pPr>
        <w:tabs>
          <w:tab w:val="num" w:pos="4320"/>
        </w:tabs>
        <w:ind w:left="4320" w:hanging="360"/>
      </w:pPr>
    </w:lvl>
    <w:lvl w:ilvl="6" w:tplc="F13E7542" w:tentative="1">
      <w:start w:val="1"/>
      <w:numFmt w:val="upperRoman"/>
      <w:lvlText w:val="%7."/>
      <w:lvlJc w:val="right"/>
      <w:pPr>
        <w:tabs>
          <w:tab w:val="num" w:pos="5040"/>
        </w:tabs>
        <w:ind w:left="5040" w:hanging="360"/>
      </w:pPr>
    </w:lvl>
    <w:lvl w:ilvl="7" w:tplc="EA9C152A" w:tentative="1">
      <w:start w:val="1"/>
      <w:numFmt w:val="upperRoman"/>
      <w:lvlText w:val="%8."/>
      <w:lvlJc w:val="right"/>
      <w:pPr>
        <w:tabs>
          <w:tab w:val="num" w:pos="5760"/>
        </w:tabs>
        <w:ind w:left="5760" w:hanging="360"/>
      </w:pPr>
    </w:lvl>
    <w:lvl w:ilvl="8" w:tplc="30580620" w:tentative="1">
      <w:start w:val="1"/>
      <w:numFmt w:val="upperRoman"/>
      <w:lvlText w:val="%9."/>
      <w:lvlJc w:val="right"/>
      <w:pPr>
        <w:tabs>
          <w:tab w:val="num" w:pos="6480"/>
        </w:tabs>
        <w:ind w:left="6480" w:hanging="360"/>
      </w:pPr>
    </w:lvl>
  </w:abstractNum>
  <w:abstractNum w:abstractNumId="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1">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E2A5AAD"/>
    <w:multiLevelType w:val="hybridMultilevel"/>
    <w:tmpl w:val="EC089F48"/>
    <w:lvl w:ilvl="0" w:tplc="39BA05C0">
      <w:start w:val="1"/>
      <w:numFmt w:val="decimal"/>
      <w:lvlText w:val="%1."/>
      <w:lvlJc w:val="left"/>
      <w:pPr>
        <w:tabs>
          <w:tab w:val="num" w:pos="720"/>
        </w:tabs>
        <w:ind w:left="720" w:hanging="360"/>
      </w:pPr>
    </w:lvl>
    <w:lvl w:ilvl="1" w:tplc="0986AE30" w:tentative="1">
      <w:start w:val="1"/>
      <w:numFmt w:val="decimal"/>
      <w:lvlText w:val="%2."/>
      <w:lvlJc w:val="left"/>
      <w:pPr>
        <w:tabs>
          <w:tab w:val="num" w:pos="1440"/>
        </w:tabs>
        <w:ind w:left="1440" w:hanging="360"/>
      </w:pPr>
    </w:lvl>
    <w:lvl w:ilvl="2" w:tplc="F1DC0FF4" w:tentative="1">
      <w:start w:val="1"/>
      <w:numFmt w:val="decimal"/>
      <w:lvlText w:val="%3."/>
      <w:lvlJc w:val="left"/>
      <w:pPr>
        <w:tabs>
          <w:tab w:val="num" w:pos="2160"/>
        </w:tabs>
        <w:ind w:left="2160" w:hanging="360"/>
      </w:pPr>
    </w:lvl>
    <w:lvl w:ilvl="3" w:tplc="50C88F4A" w:tentative="1">
      <w:start w:val="1"/>
      <w:numFmt w:val="decimal"/>
      <w:lvlText w:val="%4."/>
      <w:lvlJc w:val="left"/>
      <w:pPr>
        <w:tabs>
          <w:tab w:val="num" w:pos="2880"/>
        </w:tabs>
        <w:ind w:left="2880" w:hanging="360"/>
      </w:pPr>
    </w:lvl>
    <w:lvl w:ilvl="4" w:tplc="6D5284EC" w:tentative="1">
      <w:start w:val="1"/>
      <w:numFmt w:val="decimal"/>
      <w:lvlText w:val="%5."/>
      <w:lvlJc w:val="left"/>
      <w:pPr>
        <w:tabs>
          <w:tab w:val="num" w:pos="3600"/>
        </w:tabs>
        <w:ind w:left="3600" w:hanging="360"/>
      </w:pPr>
    </w:lvl>
    <w:lvl w:ilvl="5" w:tplc="BFF82F80" w:tentative="1">
      <w:start w:val="1"/>
      <w:numFmt w:val="decimal"/>
      <w:lvlText w:val="%6."/>
      <w:lvlJc w:val="left"/>
      <w:pPr>
        <w:tabs>
          <w:tab w:val="num" w:pos="4320"/>
        </w:tabs>
        <w:ind w:left="4320" w:hanging="360"/>
      </w:pPr>
    </w:lvl>
    <w:lvl w:ilvl="6" w:tplc="CFD47D22" w:tentative="1">
      <w:start w:val="1"/>
      <w:numFmt w:val="decimal"/>
      <w:lvlText w:val="%7."/>
      <w:lvlJc w:val="left"/>
      <w:pPr>
        <w:tabs>
          <w:tab w:val="num" w:pos="5040"/>
        </w:tabs>
        <w:ind w:left="5040" w:hanging="360"/>
      </w:pPr>
    </w:lvl>
    <w:lvl w:ilvl="7" w:tplc="113A3AA8" w:tentative="1">
      <w:start w:val="1"/>
      <w:numFmt w:val="decimal"/>
      <w:lvlText w:val="%8."/>
      <w:lvlJc w:val="left"/>
      <w:pPr>
        <w:tabs>
          <w:tab w:val="num" w:pos="5760"/>
        </w:tabs>
        <w:ind w:left="5760" w:hanging="360"/>
      </w:pPr>
    </w:lvl>
    <w:lvl w:ilvl="8" w:tplc="C85CE9B2" w:tentative="1">
      <w:start w:val="1"/>
      <w:numFmt w:val="decimal"/>
      <w:lvlText w:val="%9."/>
      <w:lvlJc w:val="left"/>
      <w:pPr>
        <w:tabs>
          <w:tab w:val="num" w:pos="6480"/>
        </w:tabs>
        <w:ind w:left="6480" w:hanging="360"/>
      </w:pPr>
    </w:lvl>
  </w:abstractNum>
  <w:num w:numId="1">
    <w:abstractNumId w:val="12"/>
  </w:num>
  <w:num w:numId="2">
    <w:abstractNumId w:val="11"/>
  </w:num>
  <w:num w:numId="3">
    <w:abstractNumId w:val="7"/>
  </w:num>
  <w:num w:numId="4">
    <w:abstractNumId w:val="1"/>
  </w:num>
  <w:num w:numId="5">
    <w:abstractNumId w:val="9"/>
  </w:num>
  <w:num w:numId="6">
    <w:abstractNumId w:val="4"/>
  </w:num>
  <w:num w:numId="7">
    <w:abstractNumId w:val="3"/>
  </w:num>
  <w:num w:numId="8">
    <w:abstractNumId w:val="2"/>
  </w:num>
  <w:num w:numId="9">
    <w:abstractNumId w:val="8"/>
  </w:num>
  <w:num w:numId="10">
    <w:abstractNumId w:val="10"/>
  </w:num>
  <w:num w:numId="11">
    <w:abstractNumId w:val="0"/>
  </w:num>
  <w:num w:numId="12">
    <w:abstractNumId w:val="13"/>
  </w:num>
  <w:num w:numId="13">
    <w:abstractNumId w:val="5"/>
  </w:num>
  <w:num w:numId="14">
    <w:abstractNumId w:val="14"/>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3CEC"/>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05E"/>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310"/>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0C"/>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8D"/>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1F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9A9"/>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03C"/>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3F7A"/>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509"/>
    <w:rsid w:val="00706746"/>
    <w:rsid w:val="007067F1"/>
    <w:rsid w:val="00706B2E"/>
    <w:rsid w:val="00706DEE"/>
    <w:rsid w:val="00707091"/>
    <w:rsid w:val="00707B86"/>
    <w:rsid w:val="00707C00"/>
    <w:rsid w:val="00707D37"/>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3A"/>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027"/>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2CE"/>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CFC"/>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6F8C"/>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2E7F"/>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3FCE"/>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3A10"/>
    <w:rsid w:val="00B63B95"/>
    <w:rsid w:val="00B63BEB"/>
    <w:rsid w:val="00B63D3C"/>
    <w:rsid w:val="00B63D53"/>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0C0"/>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2"/>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5B2"/>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298"/>
    <w:rsid w:val="00E74BEA"/>
    <w:rsid w:val="00E75390"/>
    <w:rsid w:val="00E754F7"/>
    <w:rsid w:val="00E7558E"/>
    <w:rsid w:val="00E758EF"/>
    <w:rsid w:val="00E759CA"/>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34"/>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E15B2"/>
    <w:rPr>
      <w:color w:val="800080"/>
      <w:u w:val="single"/>
    </w:rPr>
  </w:style>
  <w:style w:type="paragraph" w:customStyle="1" w:styleId="xl65">
    <w:name w:val="xl65"/>
    <w:basedOn w:val="Normal"/>
    <w:rsid w:val="00DE15B2"/>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DE15B2"/>
    <w:pPr>
      <w:spacing w:before="100" w:beforeAutospacing="1" w:after="100" w:afterAutospacing="1"/>
      <w:textAlignment w:val="center"/>
    </w:pPr>
    <w:rPr>
      <w:sz w:val="24"/>
      <w:szCs w:val="24"/>
      <w:lang w:val="es-SV" w:eastAsia="es-SV"/>
    </w:rPr>
  </w:style>
  <w:style w:type="paragraph" w:customStyle="1" w:styleId="xl67">
    <w:name w:val="xl67"/>
    <w:basedOn w:val="Normal"/>
    <w:rsid w:val="00DE15B2"/>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DE15B2"/>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DE15B2"/>
    <w:pPr>
      <w:spacing w:before="100" w:beforeAutospacing="1" w:after="100" w:afterAutospacing="1"/>
      <w:jc w:val="center"/>
    </w:pPr>
    <w:rPr>
      <w:b/>
      <w:bCs/>
      <w:sz w:val="24"/>
      <w:szCs w:val="24"/>
      <w:lang w:val="es-SV" w:eastAsia="es-SV"/>
    </w:rPr>
  </w:style>
  <w:style w:type="paragraph" w:customStyle="1" w:styleId="xl70">
    <w:name w:val="xl70"/>
    <w:basedOn w:val="Normal"/>
    <w:rsid w:val="00DE15B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1">
    <w:name w:val="xl71"/>
    <w:basedOn w:val="Normal"/>
    <w:rsid w:val="00DE15B2"/>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2">
    <w:name w:val="xl72"/>
    <w:basedOn w:val="Normal"/>
    <w:rsid w:val="00DE15B2"/>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3">
    <w:name w:val="xl73"/>
    <w:basedOn w:val="Normal"/>
    <w:rsid w:val="00DE15B2"/>
    <w:pPr>
      <w:pBdr>
        <w:lef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DE15B2"/>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DE15B2"/>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76">
    <w:name w:val="xl76"/>
    <w:basedOn w:val="Normal"/>
    <w:rsid w:val="00DE15B2"/>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77">
    <w:name w:val="xl77"/>
    <w:basedOn w:val="Normal"/>
    <w:rsid w:val="00DE15B2"/>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78">
    <w:name w:val="xl78"/>
    <w:basedOn w:val="Normal"/>
    <w:rsid w:val="00DE15B2"/>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79">
    <w:name w:val="xl79"/>
    <w:basedOn w:val="Normal"/>
    <w:rsid w:val="00DE15B2"/>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80">
    <w:name w:val="xl80"/>
    <w:basedOn w:val="Normal"/>
    <w:rsid w:val="00DE15B2"/>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81">
    <w:name w:val="xl81"/>
    <w:basedOn w:val="Normal"/>
    <w:rsid w:val="00DE15B2"/>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82">
    <w:name w:val="xl82"/>
    <w:basedOn w:val="Normal"/>
    <w:rsid w:val="00DE15B2"/>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DE15B2"/>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84">
    <w:name w:val="xl84"/>
    <w:basedOn w:val="Normal"/>
    <w:rsid w:val="00DE15B2"/>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85">
    <w:name w:val="xl85"/>
    <w:basedOn w:val="Normal"/>
    <w:rsid w:val="00DE15B2"/>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86">
    <w:name w:val="xl86"/>
    <w:basedOn w:val="Normal"/>
    <w:rsid w:val="00DE15B2"/>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87">
    <w:name w:val="xl87"/>
    <w:basedOn w:val="Normal"/>
    <w:rsid w:val="00DE15B2"/>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88">
    <w:name w:val="xl88"/>
    <w:basedOn w:val="Normal"/>
    <w:rsid w:val="00DE15B2"/>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89">
    <w:name w:val="xl89"/>
    <w:basedOn w:val="Normal"/>
    <w:rsid w:val="00DE15B2"/>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90">
    <w:name w:val="xl90"/>
    <w:basedOn w:val="Normal"/>
    <w:rsid w:val="00DE15B2"/>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91">
    <w:name w:val="xl91"/>
    <w:basedOn w:val="Normal"/>
    <w:rsid w:val="00DE15B2"/>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2">
    <w:name w:val="xl92"/>
    <w:basedOn w:val="Normal"/>
    <w:rsid w:val="00DE15B2"/>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93">
    <w:name w:val="xl93"/>
    <w:basedOn w:val="Normal"/>
    <w:rsid w:val="00DE15B2"/>
    <w:pPr>
      <w:pBdr>
        <w:top w:val="single" w:sz="12" w:space="0" w:color="auto"/>
      </w:pBdr>
      <w:spacing w:before="100" w:beforeAutospacing="1" w:after="100" w:afterAutospacing="1"/>
    </w:pPr>
    <w:rPr>
      <w:sz w:val="24"/>
      <w:szCs w:val="24"/>
      <w:lang w:val="es-SV" w:eastAsia="es-SV"/>
    </w:rPr>
  </w:style>
  <w:style w:type="paragraph" w:customStyle="1" w:styleId="xl94">
    <w:name w:val="xl94"/>
    <w:basedOn w:val="Normal"/>
    <w:rsid w:val="00DE15B2"/>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95">
    <w:name w:val="xl95"/>
    <w:basedOn w:val="Normal"/>
    <w:rsid w:val="00DE15B2"/>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96">
    <w:name w:val="xl96"/>
    <w:basedOn w:val="Normal"/>
    <w:rsid w:val="00DE15B2"/>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97">
    <w:name w:val="xl97"/>
    <w:basedOn w:val="Normal"/>
    <w:rsid w:val="00DE15B2"/>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98">
    <w:name w:val="xl98"/>
    <w:basedOn w:val="Normal"/>
    <w:rsid w:val="00DE15B2"/>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99">
    <w:name w:val="xl99"/>
    <w:basedOn w:val="Normal"/>
    <w:rsid w:val="00DE15B2"/>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DE15B2"/>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01">
    <w:name w:val="xl101"/>
    <w:basedOn w:val="Normal"/>
    <w:rsid w:val="00DE15B2"/>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02">
    <w:name w:val="xl102"/>
    <w:basedOn w:val="Normal"/>
    <w:rsid w:val="00DE15B2"/>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03">
    <w:name w:val="xl103"/>
    <w:basedOn w:val="Normal"/>
    <w:rsid w:val="00DE15B2"/>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04">
    <w:name w:val="xl104"/>
    <w:basedOn w:val="Normal"/>
    <w:rsid w:val="00DE15B2"/>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05">
    <w:name w:val="xl105"/>
    <w:basedOn w:val="Normal"/>
    <w:rsid w:val="00DE15B2"/>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6">
    <w:name w:val="xl106"/>
    <w:basedOn w:val="Normal"/>
    <w:rsid w:val="00DE15B2"/>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7">
    <w:name w:val="xl107"/>
    <w:basedOn w:val="Normal"/>
    <w:rsid w:val="00DE15B2"/>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08">
    <w:name w:val="xl108"/>
    <w:basedOn w:val="Normal"/>
    <w:rsid w:val="00DE15B2"/>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09">
    <w:name w:val="xl109"/>
    <w:basedOn w:val="Normal"/>
    <w:rsid w:val="00DE15B2"/>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0">
    <w:name w:val="xl110"/>
    <w:basedOn w:val="Normal"/>
    <w:rsid w:val="00DE15B2"/>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11">
    <w:name w:val="xl111"/>
    <w:basedOn w:val="Normal"/>
    <w:rsid w:val="00DE15B2"/>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12">
    <w:name w:val="xl112"/>
    <w:basedOn w:val="Normal"/>
    <w:rsid w:val="00DE15B2"/>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13">
    <w:name w:val="xl113"/>
    <w:basedOn w:val="Normal"/>
    <w:rsid w:val="00DE15B2"/>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14">
    <w:name w:val="xl114"/>
    <w:basedOn w:val="Normal"/>
    <w:rsid w:val="00DE15B2"/>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5">
    <w:name w:val="xl115"/>
    <w:basedOn w:val="Normal"/>
    <w:rsid w:val="00DE15B2"/>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16">
    <w:name w:val="xl116"/>
    <w:basedOn w:val="Normal"/>
    <w:rsid w:val="00DE15B2"/>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7">
    <w:name w:val="xl117"/>
    <w:basedOn w:val="Normal"/>
    <w:rsid w:val="00DE15B2"/>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18">
    <w:name w:val="xl118"/>
    <w:basedOn w:val="Normal"/>
    <w:rsid w:val="00DE15B2"/>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19">
    <w:name w:val="xl119"/>
    <w:basedOn w:val="Normal"/>
    <w:rsid w:val="00DE15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20">
    <w:name w:val="xl120"/>
    <w:basedOn w:val="Normal"/>
    <w:rsid w:val="00DE15B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21">
    <w:name w:val="xl121"/>
    <w:basedOn w:val="Normal"/>
    <w:rsid w:val="00DE15B2"/>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2">
    <w:name w:val="xl122"/>
    <w:basedOn w:val="Normal"/>
    <w:rsid w:val="00DE15B2"/>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3">
    <w:name w:val="xl123"/>
    <w:basedOn w:val="Normal"/>
    <w:rsid w:val="00DE15B2"/>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24">
    <w:name w:val="xl124"/>
    <w:basedOn w:val="Normal"/>
    <w:rsid w:val="00DE15B2"/>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25">
    <w:name w:val="xl125"/>
    <w:basedOn w:val="Normal"/>
    <w:rsid w:val="00DE15B2"/>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26">
    <w:name w:val="xl126"/>
    <w:basedOn w:val="Normal"/>
    <w:rsid w:val="00DE15B2"/>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27">
    <w:name w:val="xl127"/>
    <w:basedOn w:val="Normal"/>
    <w:rsid w:val="00DE15B2"/>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28">
    <w:name w:val="xl128"/>
    <w:basedOn w:val="Normal"/>
    <w:rsid w:val="00DE15B2"/>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29">
    <w:name w:val="xl129"/>
    <w:basedOn w:val="Normal"/>
    <w:rsid w:val="00DE15B2"/>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30">
    <w:name w:val="xl130"/>
    <w:basedOn w:val="Normal"/>
    <w:rsid w:val="00DE15B2"/>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31">
    <w:name w:val="xl131"/>
    <w:basedOn w:val="Normal"/>
    <w:rsid w:val="00DE15B2"/>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32">
    <w:name w:val="xl132"/>
    <w:basedOn w:val="Normal"/>
    <w:rsid w:val="00DE15B2"/>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33">
    <w:name w:val="xl133"/>
    <w:basedOn w:val="Normal"/>
    <w:rsid w:val="00DE15B2"/>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34">
    <w:name w:val="xl134"/>
    <w:basedOn w:val="Normal"/>
    <w:rsid w:val="00DE15B2"/>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35">
    <w:name w:val="xl135"/>
    <w:basedOn w:val="Normal"/>
    <w:rsid w:val="00DE15B2"/>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36">
    <w:name w:val="xl136"/>
    <w:basedOn w:val="Normal"/>
    <w:rsid w:val="00DE15B2"/>
    <w:pPr>
      <w:pBdr>
        <w:top w:val="single" w:sz="8"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37">
    <w:name w:val="xl137"/>
    <w:basedOn w:val="Normal"/>
    <w:rsid w:val="00DE15B2"/>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8">
    <w:name w:val="xl138"/>
    <w:basedOn w:val="Normal"/>
    <w:rsid w:val="00DE15B2"/>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39">
    <w:name w:val="xl139"/>
    <w:basedOn w:val="Normal"/>
    <w:rsid w:val="00DE15B2"/>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40">
    <w:name w:val="xl140"/>
    <w:basedOn w:val="Normal"/>
    <w:rsid w:val="00DE15B2"/>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41">
    <w:name w:val="xl141"/>
    <w:basedOn w:val="Normal"/>
    <w:rsid w:val="00DE15B2"/>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42">
    <w:name w:val="xl142"/>
    <w:basedOn w:val="Normal"/>
    <w:rsid w:val="00DE15B2"/>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43">
    <w:name w:val="xl143"/>
    <w:basedOn w:val="Normal"/>
    <w:rsid w:val="00DE15B2"/>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144">
    <w:name w:val="xl144"/>
    <w:basedOn w:val="Normal"/>
    <w:rsid w:val="00DE15B2"/>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145">
    <w:name w:val="xl145"/>
    <w:basedOn w:val="Normal"/>
    <w:rsid w:val="00DE15B2"/>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146">
    <w:name w:val="xl146"/>
    <w:basedOn w:val="Normal"/>
    <w:rsid w:val="00DE15B2"/>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147">
    <w:name w:val="xl147"/>
    <w:basedOn w:val="Normal"/>
    <w:rsid w:val="00DE15B2"/>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148">
    <w:name w:val="xl148"/>
    <w:basedOn w:val="Normal"/>
    <w:rsid w:val="00DE15B2"/>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49">
    <w:name w:val="xl149"/>
    <w:basedOn w:val="Normal"/>
    <w:rsid w:val="00DE15B2"/>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50">
    <w:name w:val="xl150"/>
    <w:basedOn w:val="Normal"/>
    <w:rsid w:val="00DE15B2"/>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51">
    <w:name w:val="xl151"/>
    <w:basedOn w:val="Normal"/>
    <w:rsid w:val="00DE15B2"/>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52">
    <w:name w:val="xl152"/>
    <w:basedOn w:val="Normal"/>
    <w:rsid w:val="00DE15B2"/>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153">
    <w:name w:val="xl153"/>
    <w:basedOn w:val="Normal"/>
    <w:rsid w:val="00DE15B2"/>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714345">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840349">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8F53-252B-43A6-A7AB-FA975ED2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2023-01-30T17:03:00Z</cp:lastPrinted>
  <dcterms:created xsi:type="dcterms:W3CDTF">2023-07-28T16:47:00Z</dcterms:created>
  <dcterms:modified xsi:type="dcterms:W3CDTF">2023-07-28T16:47:00Z</dcterms:modified>
</cp:coreProperties>
</file>