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3E2CFF">
        <w:rPr>
          <w:rFonts w:ascii="Tahoma" w:hAnsi="Tahoma" w:cs="Tahoma"/>
          <w:i/>
          <w:lang w:val="es-SV"/>
        </w:rPr>
        <w:t>164</w:t>
      </w:r>
      <w:r w:rsidR="004F2F47">
        <w:rPr>
          <w:rFonts w:ascii="Tahoma" w:hAnsi="Tahoma" w:cs="Tahoma"/>
          <w:i/>
          <w:lang w:val="es-SV"/>
        </w:rPr>
        <w:t>5</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Pr="00AD0C23" w:rsidRDefault="004F2F47" w:rsidP="009E4035">
      <w:pPr>
        <w:pStyle w:val="Encabezado"/>
        <w:spacing w:line="360" w:lineRule="auto"/>
        <w:ind w:right="360"/>
        <w:jc w:val="both"/>
        <w:rPr>
          <w:rFonts w:ascii="Tahoma" w:hAnsi="Tahoma" w:cs="Tahoma"/>
          <w:i/>
          <w:lang w:val="es-SV"/>
        </w:rPr>
      </w:pPr>
      <w:r>
        <w:rPr>
          <w:rFonts w:ascii="Tahoma" w:hAnsi="Tahoma" w:cs="Tahoma"/>
          <w:i/>
          <w:lang w:val="es-SV"/>
        </w:rPr>
        <w:t>9 de septiembre</w:t>
      </w:r>
      <w:r w:rsidR="009E1953" w:rsidRPr="00AD0C23">
        <w:rPr>
          <w:rFonts w:ascii="Tahoma" w:hAnsi="Tahoma" w:cs="Tahoma"/>
          <w:i/>
          <w:lang w:val="es-SV"/>
        </w:rPr>
        <w:t xml:space="preserve"> </w:t>
      </w:r>
      <w:r w:rsidR="006835C7" w:rsidRPr="00AD0C23">
        <w:rPr>
          <w:rFonts w:ascii="Tahoma" w:hAnsi="Tahoma" w:cs="Tahoma"/>
          <w:i/>
          <w:lang w:val="es-SV"/>
        </w:rPr>
        <w:t>de 2022</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C628A2">
        <w:rPr>
          <w:rFonts w:ascii="Tahoma" w:hAnsi="Tahoma" w:cs="Tahoma"/>
          <w:b/>
          <w:lang w:val="es-SV"/>
        </w:rPr>
        <w:t>4</w:t>
      </w:r>
      <w:r w:rsidR="004F2F47">
        <w:rPr>
          <w:rFonts w:ascii="Tahoma" w:hAnsi="Tahoma" w:cs="Tahoma"/>
          <w:b/>
          <w:lang w:val="es-SV"/>
        </w:rPr>
        <w:t>5</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4F2F47">
        <w:rPr>
          <w:rFonts w:ascii="Tahoma" w:hAnsi="Tahoma" w:cs="Tahoma"/>
          <w:lang w:val="es-SV"/>
        </w:rPr>
        <w:t>catorce</w:t>
      </w:r>
      <w:r w:rsidR="003E2CFF">
        <w:rPr>
          <w:rFonts w:ascii="Tahoma" w:hAnsi="Tahoma" w:cs="Tahoma"/>
          <w:lang w:val="es-SV"/>
        </w:rPr>
        <w:t xml:space="preserve"> </w:t>
      </w:r>
      <w:r w:rsidRPr="000C7EBC">
        <w:rPr>
          <w:rFonts w:ascii="Tahoma" w:hAnsi="Tahoma" w:cs="Tahoma"/>
          <w:lang w:val="es-SV"/>
        </w:rPr>
        <w:t>horas</w:t>
      </w:r>
      <w:r w:rsidR="003E2CFF">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B673FB">
        <w:rPr>
          <w:rFonts w:ascii="Tahoma" w:hAnsi="Tahoma" w:cs="Tahoma"/>
          <w:lang w:val="es-SV"/>
        </w:rPr>
        <w:t>nueve</w:t>
      </w:r>
      <w:r w:rsidR="00231622">
        <w:rPr>
          <w:rFonts w:ascii="Tahoma" w:hAnsi="Tahoma" w:cs="Tahoma"/>
          <w:lang w:val="es-SV"/>
        </w:rPr>
        <w:t xml:space="preserve"> de </w:t>
      </w:r>
      <w:r w:rsidR="004F2F47">
        <w:rPr>
          <w:rFonts w:ascii="Tahoma" w:hAnsi="Tahoma" w:cs="Tahoma"/>
          <w:lang w:val="es-SV"/>
        </w:rPr>
        <w:t>septiembre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231622" w:rsidRPr="000C7EBC">
        <w:rPr>
          <w:rFonts w:ascii="Tahoma" w:hAnsi="Tahoma" w:cs="Tahoma"/>
          <w:b/>
          <w:lang w:val="es-SV"/>
        </w:rPr>
        <w:t>DOCTORA TERESA DEL CARMEN FLORES DE GUEVARA</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r w:rsidRPr="004F2F47">
        <w:rPr>
          <w:rFonts w:ascii="Tahoma" w:hAnsi="Tahoma" w:cs="Tahoma"/>
          <w:b/>
          <w:sz w:val="20"/>
          <w:szCs w:val="20"/>
          <w:lang w:val="es-SV" w:eastAsia="es-ES"/>
        </w:rPr>
        <w:t>INFORME DE RIESGO DE LIQUIDEZ Y MERCADO Y ESCENARIO DE ESTRÉS PROYECTADO AL SEGUNDO TRIMESTRE AÑO 2022</w:t>
      </w: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r w:rsidRPr="004F2F47">
        <w:rPr>
          <w:rFonts w:ascii="Tahoma" w:hAnsi="Tahoma" w:cs="Tahoma"/>
          <w:b/>
          <w:sz w:val="20"/>
          <w:szCs w:val="20"/>
          <w:lang w:val="es-SV" w:eastAsia="es-ES"/>
        </w:rPr>
        <w:t>INFORME DE RIESGO OPERACIONAL AL 31 DE MARZO DE 2022</w:t>
      </w: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r w:rsidRPr="004F2F47">
        <w:rPr>
          <w:rFonts w:ascii="Tahoma" w:hAnsi="Tahoma" w:cs="Tahoma"/>
          <w:b/>
          <w:sz w:val="20"/>
          <w:szCs w:val="20"/>
          <w:lang w:val="es-SV" w:eastAsia="es-ES"/>
        </w:rPr>
        <w:t>SEGUIMIENTO AL PLAN ANUAL OPERATIVO AL SEGUNDO TRIMESTRE 2022.</w:t>
      </w: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r w:rsidRPr="004F2F47">
        <w:rPr>
          <w:rFonts w:ascii="Tahoma" w:hAnsi="Tahoma" w:cs="Tahoma"/>
          <w:b/>
          <w:sz w:val="20"/>
          <w:szCs w:val="20"/>
          <w:lang w:val="es-SV" w:eastAsia="es-ES"/>
        </w:rPr>
        <w:t>VISTO BUENO AL PLAN ANUAL OPERATIVO 2023.</w:t>
      </w: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p>
    <w:p w:rsidR="004F2F47" w:rsidRP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r w:rsidRPr="004F2F47">
        <w:rPr>
          <w:rFonts w:ascii="Tahoma" w:hAnsi="Tahoma" w:cs="Tahoma"/>
          <w:b/>
          <w:sz w:val="20"/>
          <w:szCs w:val="20"/>
          <w:lang w:val="es-SV" w:eastAsia="es-ES"/>
        </w:rPr>
        <w:t>VISTO BUENO PRESUPUESTO INSTITUCIONAL 2023</w:t>
      </w:r>
    </w:p>
    <w:p w:rsidR="004F2F47" w:rsidRDefault="004F2F47" w:rsidP="004F2F47">
      <w:pPr>
        <w:pStyle w:val="Sinespaciado"/>
        <w:numPr>
          <w:ilvl w:val="0"/>
          <w:numId w:val="12"/>
        </w:numPr>
        <w:spacing w:line="360" w:lineRule="auto"/>
        <w:ind w:left="714" w:hanging="357"/>
        <w:jc w:val="both"/>
        <w:rPr>
          <w:rFonts w:ascii="Tahoma" w:hAnsi="Tahoma" w:cs="Tahoma"/>
          <w:b/>
          <w:sz w:val="20"/>
          <w:szCs w:val="20"/>
          <w:lang w:val="es-SV" w:eastAsia="es-ES"/>
        </w:rPr>
      </w:pPr>
    </w:p>
    <w:p w:rsidR="00AD7594" w:rsidRPr="004F2F47" w:rsidRDefault="00AD7594" w:rsidP="004F2F47">
      <w:pPr>
        <w:pStyle w:val="Sinespaciado"/>
        <w:numPr>
          <w:ilvl w:val="0"/>
          <w:numId w:val="12"/>
        </w:numPr>
        <w:spacing w:line="360" w:lineRule="auto"/>
        <w:ind w:left="714" w:hanging="357"/>
        <w:jc w:val="both"/>
        <w:rPr>
          <w:rFonts w:ascii="Tahoma" w:hAnsi="Tahoma" w:cs="Tahoma"/>
          <w:b/>
          <w:sz w:val="20"/>
          <w:szCs w:val="20"/>
          <w:lang w:val="es-SV" w:eastAsia="es-ES"/>
        </w:rPr>
      </w:pPr>
    </w:p>
    <w:p w:rsidR="00B673FB" w:rsidRDefault="00B673FB" w:rsidP="00DB1570">
      <w:pPr>
        <w:spacing w:line="360" w:lineRule="auto"/>
        <w:jc w:val="both"/>
        <w:rPr>
          <w:rFonts w:ascii="Tahoma" w:hAnsi="Tahoma" w:cs="Tahoma"/>
          <w:b/>
          <w:lang w:val="es-SV"/>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E2CFF">
        <w:rPr>
          <w:rFonts w:ascii="Tahoma" w:hAnsi="Tahoma" w:cs="Tahoma"/>
          <w:sz w:val="20"/>
          <w:szCs w:val="20"/>
          <w:lang w:val="es-SV"/>
        </w:rPr>
        <w:t>164</w:t>
      </w:r>
      <w:r w:rsidR="004F2F47">
        <w:rPr>
          <w:rFonts w:ascii="Tahoma" w:hAnsi="Tahoma" w:cs="Tahoma"/>
          <w:sz w:val="20"/>
          <w:szCs w:val="20"/>
          <w:lang w:val="es-SV"/>
        </w:rPr>
        <w:t>4</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4F2F47">
        <w:rPr>
          <w:rFonts w:ascii="Tahoma" w:hAnsi="Tahoma" w:cs="Tahoma"/>
          <w:sz w:val="20"/>
          <w:szCs w:val="20"/>
          <w:lang w:val="es-SV"/>
        </w:rPr>
        <w:t>29</w:t>
      </w:r>
      <w:r w:rsidR="00AD0C23">
        <w:rPr>
          <w:rFonts w:ascii="Tahoma" w:hAnsi="Tahoma" w:cs="Tahoma"/>
          <w:sz w:val="20"/>
          <w:szCs w:val="20"/>
          <w:lang w:val="es-SV"/>
        </w:rPr>
        <w:t xml:space="preserve"> de </w:t>
      </w:r>
      <w:r w:rsidR="003F6AFE">
        <w:rPr>
          <w:rFonts w:ascii="Tahoma" w:hAnsi="Tahoma" w:cs="Tahoma"/>
          <w:sz w:val="20"/>
          <w:szCs w:val="20"/>
          <w:lang w:val="es-SV"/>
        </w:rPr>
        <w:t>agosto</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4F2F47" w:rsidRDefault="004F2F47" w:rsidP="00E240FA">
      <w:pPr>
        <w:pStyle w:val="Sinespaciado"/>
        <w:tabs>
          <w:tab w:val="left" w:pos="284"/>
        </w:tabs>
        <w:spacing w:after="200" w:line="360" w:lineRule="auto"/>
        <w:ind w:left="-76"/>
        <w:jc w:val="both"/>
        <w:rPr>
          <w:rFonts w:ascii="Tahoma" w:hAnsi="Tahoma" w:cs="Tahoma"/>
          <w:sz w:val="20"/>
          <w:szCs w:val="20"/>
          <w:lang w:val="es-SV"/>
        </w:rPr>
      </w:pPr>
    </w:p>
    <w:p w:rsidR="00327CBB" w:rsidRPr="00327CBB" w:rsidRDefault="00327CBB" w:rsidP="00327CB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327CBB">
        <w:rPr>
          <w:rFonts w:ascii="Tahoma" w:hAnsi="Tahoma" w:cs="Tahoma"/>
          <w:b/>
          <w:sz w:val="20"/>
          <w:szCs w:val="20"/>
          <w:u w:val="double"/>
          <w:lang w:val="es-SV"/>
        </w:rPr>
        <w:t>INFORMACIÓN CONFIDENCIAL, ART 24 DE LA LAIP.</w:t>
      </w:r>
    </w:p>
    <w:p w:rsidR="004F2F47" w:rsidRDefault="004F2F47"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700720" w:rsidRDefault="00700720" w:rsidP="00327CBB">
      <w:pPr>
        <w:pStyle w:val="Sinespaciado"/>
        <w:tabs>
          <w:tab w:val="left" w:pos="284"/>
        </w:tabs>
        <w:spacing w:after="200" w:line="360" w:lineRule="auto"/>
        <w:ind w:left="284"/>
        <w:jc w:val="both"/>
        <w:rPr>
          <w:rFonts w:ascii="Tahoma" w:hAnsi="Tahoma" w:cs="Tahoma"/>
          <w:b/>
          <w:sz w:val="20"/>
          <w:szCs w:val="20"/>
          <w:u w:val="double"/>
          <w:lang w:val="es-SV"/>
        </w:rPr>
      </w:pPr>
    </w:p>
    <w:p w:rsidR="004F2F47" w:rsidRPr="004F2F47" w:rsidRDefault="004F2F47" w:rsidP="004F2F47">
      <w:pPr>
        <w:pStyle w:val="Sinespaciado"/>
        <w:tabs>
          <w:tab w:val="left" w:pos="284"/>
        </w:tabs>
        <w:spacing w:after="200" w:line="360" w:lineRule="auto"/>
        <w:jc w:val="both"/>
        <w:rPr>
          <w:rFonts w:ascii="Tahoma" w:hAnsi="Tahoma" w:cs="Tahoma"/>
          <w:b/>
          <w:sz w:val="20"/>
          <w:szCs w:val="20"/>
          <w:u w:val="double"/>
          <w:lang w:val="es-SV"/>
        </w:rPr>
      </w:pPr>
    </w:p>
    <w:p w:rsidR="004F2F47" w:rsidRDefault="004F2F47" w:rsidP="004F2F4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F2F47">
        <w:rPr>
          <w:rFonts w:ascii="Tahoma" w:hAnsi="Tahoma" w:cs="Tahoma"/>
          <w:b/>
          <w:sz w:val="20"/>
          <w:szCs w:val="20"/>
          <w:u w:val="double"/>
          <w:lang w:val="es-SV"/>
        </w:rPr>
        <w:t>INFORME DE RIESGO DE LIQUIDEZ Y MERCADO Y ESCENARIO DE ESTRÉS PROYECTADO AL SEGUNDO TRIMESTRE AÑO 2022</w:t>
      </w:r>
      <w:r>
        <w:rPr>
          <w:rFonts w:ascii="Tahoma" w:hAnsi="Tahoma" w:cs="Tahoma"/>
          <w:b/>
          <w:sz w:val="20"/>
          <w:szCs w:val="20"/>
          <w:u w:val="double"/>
          <w:lang w:val="es-SV"/>
        </w:rPr>
        <w:t>.</w:t>
      </w:r>
    </w:p>
    <w:p w:rsidR="00DD3E59" w:rsidRDefault="00DD3E59" w:rsidP="00DD3E59">
      <w:pPr>
        <w:pStyle w:val="Sinespaciado"/>
        <w:tabs>
          <w:tab w:val="left" w:pos="284"/>
        </w:tabs>
        <w:spacing w:after="200" w:line="360" w:lineRule="auto"/>
        <w:ind w:left="-142"/>
        <w:jc w:val="both"/>
        <w:rPr>
          <w:rFonts w:ascii="Tahoma" w:hAnsi="Tahoma" w:cs="Tahoma"/>
          <w:b/>
          <w:sz w:val="20"/>
          <w:szCs w:val="20"/>
          <w:u w:val="double"/>
          <w:lang w:val="es-SV"/>
        </w:rPr>
      </w:pPr>
      <w:r>
        <w:rPr>
          <w:rFonts w:ascii="Tahoma" w:hAnsi="Tahoma" w:cs="Tahoma"/>
          <w:sz w:val="20"/>
          <w:szCs w:val="20"/>
          <w:lang w:val="es-SV" w:eastAsia="es-ES"/>
        </w:rPr>
        <w:t>El Director Presidente cede la palabra al Licenciado</w:t>
      </w:r>
      <w:r w:rsidR="00327CBB">
        <w:rPr>
          <w:rFonts w:ascii="Tahoma" w:hAnsi="Tahoma" w:cs="Tahoma"/>
          <w:sz w:val="20"/>
          <w:szCs w:val="20"/>
          <w:lang w:val="es-SV" w:eastAsia="es-ES"/>
        </w:rPr>
        <w:t xml:space="preserve">                     </w:t>
      </w:r>
      <w:r>
        <w:rPr>
          <w:rFonts w:ascii="Tahoma" w:hAnsi="Tahoma" w:cs="Tahoma"/>
          <w:sz w:val="20"/>
          <w:szCs w:val="20"/>
          <w:lang w:val="es-SV" w:eastAsia="es-ES"/>
        </w:rPr>
        <w:t xml:space="preserve">, Coordinador de Riesgos y expone el </w:t>
      </w:r>
      <w:r w:rsidRPr="00DD3E59">
        <w:rPr>
          <w:rFonts w:ascii="Tahoma" w:hAnsi="Tahoma" w:cs="Tahoma"/>
          <w:sz w:val="20"/>
          <w:szCs w:val="20"/>
          <w:lang w:val="es-SV" w:eastAsia="es-ES"/>
        </w:rPr>
        <w:t>INFORME DE RIESGO DE LIQUIDEZ Y MERCADO Y ESCENARIO DE ESTRÉS PROYECTADO AL SEGUNDO TRIMESTRE AÑO 2022</w:t>
      </w:r>
      <w:r>
        <w:rPr>
          <w:rFonts w:ascii="Tahoma" w:hAnsi="Tahoma" w:cs="Tahoma"/>
          <w:sz w:val="20"/>
          <w:szCs w:val="20"/>
          <w:lang w:val="es-SV" w:eastAsia="es-ES"/>
        </w:rPr>
        <w:t xml:space="preserve">, </w:t>
      </w:r>
      <w:r w:rsidR="00DF70E3">
        <w:rPr>
          <w:rFonts w:ascii="Tahoma" w:hAnsi="Tahoma" w:cs="Tahoma"/>
          <w:sz w:val="20"/>
          <w:szCs w:val="20"/>
          <w:lang w:val="es-SV" w:eastAsia="es-ES"/>
        </w:rPr>
        <w:t xml:space="preserve">expone que el este informe cuenta con el visto bueno del Comité de Riesgos, según consta en acta de </w:t>
      </w:r>
      <w:r w:rsidR="00DF70E3" w:rsidRPr="00DF70E3">
        <w:rPr>
          <w:rFonts w:ascii="Tahoma" w:hAnsi="Tahoma" w:cs="Tahoma"/>
          <w:sz w:val="20"/>
          <w:szCs w:val="20"/>
          <w:lang w:val="es-MX" w:eastAsia="es-ES"/>
        </w:rPr>
        <w:t>sesión N° 65/2022 de fecha 17 de mayo de 2022</w:t>
      </w:r>
      <w:r w:rsidR="00DF70E3">
        <w:rPr>
          <w:rFonts w:ascii="Tahoma" w:hAnsi="Tahoma" w:cs="Tahoma"/>
          <w:sz w:val="20"/>
          <w:szCs w:val="20"/>
          <w:lang w:val="es-MX" w:eastAsia="es-ES"/>
        </w:rPr>
        <w:t>.</w:t>
      </w:r>
    </w:p>
    <w:p w:rsidR="00DD3E59" w:rsidRDefault="00DF70E3" w:rsidP="004F2F4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Se presenta un resumen del contenido del informe así:</w:t>
      </w:r>
    </w:p>
    <w:p w:rsidR="00DF70E3" w:rsidRPr="00DF70E3" w:rsidRDefault="00DF70E3" w:rsidP="00751FDA">
      <w:pPr>
        <w:pStyle w:val="Sinespaciado"/>
        <w:numPr>
          <w:ilvl w:val="0"/>
          <w:numId w:val="13"/>
        </w:numPr>
        <w:tabs>
          <w:tab w:val="left" w:pos="284"/>
        </w:tabs>
        <w:spacing w:after="200" w:line="360" w:lineRule="auto"/>
        <w:jc w:val="both"/>
        <w:rPr>
          <w:rFonts w:ascii="Tahoma" w:hAnsi="Tahoma" w:cs="Tahoma"/>
          <w:sz w:val="20"/>
          <w:szCs w:val="20"/>
          <w:u w:val="single"/>
          <w:lang w:val="es-SV" w:eastAsia="es-ES"/>
        </w:rPr>
      </w:pPr>
      <w:r w:rsidRPr="00DF70E3">
        <w:rPr>
          <w:rFonts w:ascii="Tahoma" w:hAnsi="Tahoma" w:cs="Tahoma"/>
          <w:sz w:val="20"/>
          <w:szCs w:val="20"/>
          <w:u w:val="single"/>
          <w:lang w:val="es-SV" w:eastAsia="es-ES"/>
        </w:rPr>
        <w:t>RIESGO DE LIQUIDEZ.</w:t>
      </w:r>
    </w:p>
    <w:p w:rsidR="00DF70E3" w:rsidRDefault="00DF70E3" w:rsidP="00DF70E3">
      <w:pPr>
        <w:pStyle w:val="Sinespaciado"/>
        <w:tabs>
          <w:tab w:val="left" w:pos="284"/>
        </w:tabs>
        <w:spacing w:line="360" w:lineRule="auto"/>
        <w:rPr>
          <w:rFonts w:ascii="Tahoma" w:hAnsi="Tahoma" w:cs="Tahoma"/>
          <w:sz w:val="20"/>
          <w:szCs w:val="20"/>
          <w:lang w:eastAsia="es-ES"/>
        </w:rPr>
      </w:pPr>
      <w:r w:rsidRPr="00DF70E3">
        <w:rPr>
          <w:rFonts w:ascii="Tahoma" w:hAnsi="Tahoma" w:cs="Tahoma"/>
          <w:sz w:val="20"/>
          <w:szCs w:val="20"/>
          <w:lang w:eastAsia="es-ES"/>
        </w:rPr>
        <w:t xml:space="preserve">Tomando en cuenta los </w:t>
      </w:r>
      <w:r w:rsidRPr="00DF70E3">
        <w:rPr>
          <w:rFonts w:ascii="Tahoma" w:hAnsi="Tahoma" w:cs="Tahoma"/>
          <w:bCs/>
          <w:sz w:val="20"/>
          <w:szCs w:val="20"/>
          <w:lang w:eastAsia="es-ES"/>
        </w:rPr>
        <w:t xml:space="preserve">Activos Líquidos </w:t>
      </w:r>
      <w:r w:rsidRPr="00DF70E3">
        <w:rPr>
          <w:rFonts w:ascii="Tahoma" w:hAnsi="Tahoma" w:cs="Tahoma"/>
          <w:sz w:val="20"/>
          <w:szCs w:val="20"/>
          <w:lang w:eastAsia="es-ES"/>
        </w:rPr>
        <w:t xml:space="preserve">de la Corporación </w:t>
      </w:r>
      <w:r w:rsidRPr="00DF70E3">
        <w:rPr>
          <w:rFonts w:ascii="Tahoma" w:hAnsi="Tahoma" w:cs="Tahoma"/>
          <w:bCs/>
          <w:sz w:val="20"/>
          <w:szCs w:val="20"/>
          <w:lang w:eastAsia="es-ES"/>
        </w:rPr>
        <w:t>al 31 de marzo de 2022</w:t>
      </w:r>
      <w:r w:rsidRPr="00DF70E3">
        <w:rPr>
          <w:rFonts w:ascii="Tahoma" w:hAnsi="Tahoma" w:cs="Tahoma"/>
          <w:sz w:val="20"/>
          <w:szCs w:val="20"/>
          <w:lang w:eastAsia="es-ES"/>
        </w:rPr>
        <w:t xml:space="preserve">, y las obligaciones proyectadas de egresos para el período </w:t>
      </w:r>
      <w:r w:rsidRPr="00DF70E3">
        <w:rPr>
          <w:rFonts w:ascii="Tahoma" w:hAnsi="Tahoma" w:cs="Tahoma"/>
          <w:bCs/>
          <w:sz w:val="20"/>
          <w:szCs w:val="20"/>
          <w:lang w:eastAsia="es-ES"/>
        </w:rPr>
        <w:t xml:space="preserve">abril - junio, </w:t>
      </w:r>
      <w:r>
        <w:rPr>
          <w:rFonts w:ascii="Tahoma" w:hAnsi="Tahoma" w:cs="Tahoma"/>
          <w:sz w:val="20"/>
          <w:szCs w:val="20"/>
          <w:lang w:eastAsia="es-ES"/>
        </w:rPr>
        <w:t>se obtuvo</w:t>
      </w:r>
      <w:r w:rsidRPr="00DF70E3">
        <w:rPr>
          <w:rFonts w:ascii="Tahoma" w:hAnsi="Tahoma" w:cs="Tahoma"/>
          <w:sz w:val="20"/>
          <w:szCs w:val="20"/>
          <w:lang w:eastAsia="es-ES"/>
        </w:rPr>
        <w:t xml:space="preserve"> el siguiente indicador de Riesgo de Liquidez:</w:t>
      </w:r>
    </w:p>
    <w:p w:rsidR="008A6D51" w:rsidRPr="00DF70E3" w:rsidRDefault="008A6D51" w:rsidP="00DF70E3">
      <w:pPr>
        <w:pStyle w:val="Sinespaciado"/>
        <w:tabs>
          <w:tab w:val="left" w:pos="284"/>
        </w:tabs>
        <w:spacing w:line="360" w:lineRule="auto"/>
        <w:rPr>
          <w:rFonts w:ascii="Tahoma" w:hAnsi="Tahoma" w:cs="Tahoma"/>
          <w:sz w:val="20"/>
          <w:szCs w:val="20"/>
          <w:lang w:eastAsia="es-ES"/>
        </w:rPr>
      </w:pPr>
    </w:p>
    <w:p w:rsidR="00DF70E3" w:rsidRPr="00DF70E3" w:rsidRDefault="00DF70E3" w:rsidP="00DF70E3">
      <w:pPr>
        <w:pStyle w:val="Sinespaciado"/>
        <w:tabs>
          <w:tab w:val="left" w:pos="284"/>
        </w:tabs>
        <w:spacing w:line="360" w:lineRule="auto"/>
        <w:ind w:left="360"/>
        <w:rPr>
          <w:rFonts w:ascii="Tahoma" w:hAnsi="Tahoma" w:cs="Tahoma"/>
          <w:sz w:val="20"/>
          <w:szCs w:val="20"/>
          <w:lang w:eastAsia="es-ES"/>
        </w:rPr>
      </w:pPr>
      <w:r w:rsidRPr="00DF70E3">
        <w:rPr>
          <w:rFonts w:ascii="Tahoma" w:hAnsi="Tahoma" w:cs="Tahoma"/>
          <w:sz w:val="20"/>
          <w:szCs w:val="20"/>
          <w:lang w:eastAsia="es-ES"/>
        </w:rPr>
        <w:lastRenderedPageBreak/>
        <w:t xml:space="preserve">IRL = </w:t>
      </w:r>
      <w:r w:rsidRPr="00DF70E3">
        <w:rPr>
          <w:rFonts w:ascii="Tahoma" w:hAnsi="Tahoma" w:cs="Tahoma"/>
          <w:sz w:val="20"/>
          <w:szCs w:val="20"/>
          <w:u w:val="single"/>
          <w:lang w:eastAsia="es-ES"/>
        </w:rPr>
        <w:t>$8, 664,224.43   (Activos líquidos al 31 de marzo de 2022)                   .</w:t>
      </w:r>
    </w:p>
    <w:p w:rsidR="00DF70E3" w:rsidRPr="00DF70E3" w:rsidRDefault="00DF70E3" w:rsidP="00DF70E3">
      <w:pPr>
        <w:pStyle w:val="Sinespaciado"/>
        <w:tabs>
          <w:tab w:val="left" w:pos="284"/>
        </w:tabs>
        <w:spacing w:line="360" w:lineRule="auto"/>
        <w:ind w:left="360"/>
        <w:rPr>
          <w:rFonts w:ascii="Tahoma" w:hAnsi="Tahoma" w:cs="Tahoma"/>
          <w:sz w:val="20"/>
          <w:szCs w:val="20"/>
          <w:lang w:eastAsia="es-ES"/>
        </w:rPr>
      </w:pPr>
      <w:r w:rsidRPr="00DF70E3">
        <w:rPr>
          <w:rFonts w:ascii="Tahoma" w:hAnsi="Tahoma" w:cs="Tahoma"/>
          <w:sz w:val="20"/>
          <w:szCs w:val="20"/>
          <w:lang w:eastAsia="es-ES"/>
        </w:rPr>
        <w:t xml:space="preserve">          $1, 347,622.31    (Obligaciones de pago para abril - junio de 2022)</w:t>
      </w:r>
    </w:p>
    <w:p w:rsidR="00DF70E3" w:rsidRPr="00DF70E3" w:rsidRDefault="00DF70E3" w:rsidP="00DF70E3">
      <w:pPr>
        <w:pStyle w:val="Sinespaciado"/>
        <w:tabs>
          <w:tab w:val="left" w:pos="284"/>
        </w:tabs>
        <w:spacing w:line="360" w:lineRule="auto"/>
        <w:ind w:left="360"/>
        <w:rPr>
          <w:rFonts w:ascii="Tahoma" w:hAnsi="Tahoma" w:cs="Tahoma"/>
          <w:sz w:val="20"/>
          <w:szCs w:val="20"/>
          <w:lang w:eastAsia="es-ES"/>
        </w:rPr>
      </w:pPr>
      <w:r w:rsidRPr="00DF70E3">
        <w:rPr>
          <w:rFonts w:ascii="Tahoma" w:hAnsi="Tahoma" w:cs="Tahoma"/>
          <w:sz w:val="20"/>
          <w:szCs w:val="20"/>
          <w:lang w:eastAsia="es-ES"/>
        </w:rPr>
        <w:t>IRL = 6.43</w:t>
      </w:r>
    </w:p>
    <w:p w:rsidR="00DF70E3" w:rsidRDefault="00DF70E3" w:rsidP="00DF70E3">
      <w:pPr>
        <w:pStyle w:val="Sinespaciado"/>
        <w:tabs>
          <w:tab w:val="left" w:pos="284"/>
        </w:tabs>
        <w:spacing w:after="200" w:line="360" w:lineRule="auto"/>
        <w:rPr>
          <w:rFonts w:ascii="Tahoma" w:hAnsi="Tahoma" w:cs="Tahoma"/>
        </w:rPr>
      </w:pPr>
    </w:p>
    <w:p w:rsidR="00DF70E3" w:rsidRPr="00DF70E3" w:rsidRDefault="00DF70E3" w:rsidP="00DF70E3">
      <w:pPr>
        <w:pStyle w:val="Sinespaciado"/>
        <w:tabs>
          <w:tab w:val="left" w:pos="284"/>
        </w:tabs>
        <w:spacing w:after="200" w:line="360" w:lineRule="auto"/>
        <w:jc w:val="both"/>
        <w:rPr>
          <w:rFonts w:ascii="Tahoma" w:hAnsi="Tahoma" w:cs="Tahoma"/>
          <w:sz w:val="20"/>
          <w:lang w:val="es-SV"/>
        </w:rPr>
      </w:pPr>
      <w:r w:rsidRPr="00DF70E3">
        <w:rPr>
          <w:rFonts w:ascii="Tahoma" w:hAnsi="Tahoma" w:cs="Tahoma"/>
          <w:sz w:val="20"/>
        </w:rPr>
        <w:t xml:space="preserve">Siendo el Indicador de Riesgo de Liquidez </w:t>
      </w:r>
      <w:r w:rsidRPr="00DF70E3">
        <w:rPr>
          <w:rFonts w:ascii="Tahoma" w:hAnsi="Tahoma" w:cs="Tahoma"/>
          <w:b/>
          <w:bCs/>
          <w:sz w:val="20"/>
        </w:rPr>
        <w:t>IRL&gt;1,</w:t>
      </w:r>
      <w:r w:rsidRPr="00DF70E3">
        <w:rPr>
          <w:rFonts w:ascii="Tahoma" w:hAnsi="Tahoma" w:cs="Tahoma"/>
          <w:sz w:val="20"/>
        </w:rPr>
        <w:t xml:space="preserve"> significa que la Corporación con las disponibilidades al 31 de marzo de 2022, tiene la capacidad suficiente para cubrir las obligaciones de pago para e</w:t>
      </w:r>
      <w:r>
        <w:rPr>
          <w:rFonts w:ascii="Tahoma" w:hAnsi="Tahoma" w:cs="Tahoma"/>
          <w:sz w:val="20"/>
        </w:rPr>
        <w:t xml:space="preserve">l período de abril a junio 2022, tal como se demostró para el periodo de abril a junio 2022 que ascendió a la cantidad de </w:t>
      </w:r>
      <w:r w:rsidRPr="00DF70E3">
        <w:rPr>
          <w:rFonts w:ascii="Tahoma" w:hAnsi="Tahoma" w:cs="Tahoma"/>
          <w:sz w:val="20"/>
        </w:rPr>
        <w:t>$1,679,957.08</w:t>
      </w:r>
    </w:p>
    <w:p w:rsidR="00DF70E3" w:rsidRDefault="00DF70E3" w:rsidP="00751FDA">
      <w:pPr>
        <w:pStyle w:val="Sinespaciado"/>
        <w:numPr>
          <w:ilvl w:val="0"/>
          <w:numId w:val="13"/>
        </w:numPr>
        <w:tabs>
          <w:tab w:val="left" w:pos="284"/>
        </w:tabs>
        <w:spacing w:after="200" w:line="360" w:lineRule="auto"/>
        <w:jc w:val="both"/>
        <w:rPr>
          <w:rFonts w:ascii="Tahoma" w:hAnsi="Tahoma" w:cs="Tahoma"/>
          <w:sz w:val="20"/>
          <w:szCs w:val="20"/>
          <w:u w:val="single"/>
          <w:lang w:val="es-SV" w:eastAsia="es-ES"/>
        </w:rPr>
      </w:pPr>
      <w:r w:rsidRPr="00DF70E3">
        <w:rPr>
          <w:rFonts w:ascii="Tahoma" w:hAnsi="Tahoma" w:cs="Tahoma"/>
          <w:sz w:val="20"/>
          <w:szCs w:val="20"/>
          <w:u w:val="single"/>
          <w:lang w:val="es-SV" w:eastAsia="es-ES"/>
        </w:rPr>
        <w:t>ESCENARIO DE ESTRÉS DE LA LIQUIDEZ</w:t>
      </w:r>
    </w:p>
    <w:p w:rsidR="00DF70E3" w:rsidRPr="00DF70E3" w:rsidRDefault="00DF70E3" w:rsidP="00DF70E3">
      <w:pPr>
        <w:pStyle w:val="Sinespaciado"/>
        <w:tabs>
          <w:tab w:val="left" w:pos="284"/>
        </w:tabs>
        <w:spacing w:line="360" w:lineRule="auto"/>
        <w:jc w:val="both"/>
        <w:rPr>
          <w:rFonts w:ascii="Tahoma" w:hAnsi="Tahoma" w:cs="Tahoma"/>
          <w:sz w:val="20"/>
        </w:rPr>
      </w:pPr>
      <w:r w:rsidRPr="00DF70E3">
        <w:rPr>
          <w:rFonts w:ascii="Tahoma" w:hAnsi="Tahoma" w:cs="Tahoma"/>
          <w:sz w:val="20"/>
        </w:rPr>
        <w:t>Según el Plan de Contingencia para el Manejo de la Liquidez, a continuación se calcula el Indicador de Riesgo de Liquidez (IRL) bajo la premisa o supuesto de que los ingresos proyectados para los próximos seis meses se reducen un 50%, y que los gastos o egresos se mantienen según lo proyectado para dicho período.</w:t>
      </w:r>
    </w:p>
    <w:p w:rsidR="00DF70E3" w:rsidRDefault="0015227C" w:rsidP="00DF70E3">
      <w:pPr>
        <w:pStyle w:val="Sinespaciado"/>
        <w:tabs>
          <w:tab w:val="left" w:pos="284"/>
        </w:tabs>
        <w:spacing w:after="200" w:line="360" w:lineRule="auto"/>
        <w:jc w:val="both"/>
        <w:rPr>
          <w:rFonts w:ascii="Tahoma" w:hAnsi="Tahoma" w:cs="Tahoma"/>
          <w:sz w:val="20"/>
          <w:szCs w:val="20"/>
          <w:u w:val="single"/>
          <w:lang w:val="es-SV" w:eastAsia="es-ES"/>
        </w:rPr>
      </w:pPr>
      <w:r>
        <w:rPr>
          <w:noProof/>
          <w:lang w:val="es-SV" w:eastAsia="es-SV"/>
        </w:rPr>
        <w:drawing>
          <wp:inline distT="0" distB="0" distL="0" distR="0" wp14:anchorId="22004815" wp14:editId="6EE47E6A">
            <wp:extent cx="5098987" cy="1428750"/>
            <wp:effectExtent l="0" t="0" r="698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9385" cy="1440069"/>
                    </a:xfrm>
                    <a:prstGeom prst="rect">
                      <a:avLst/>
                    </a:prstGeom>
                  </pic:spPr>
                </pic:pic>
              </a:graphicData>
            </a:graphic>
          </wp:inline>
        </w:drawing>
      </w:r>
    </w:p>
    <w:p w:rsidR="0015227C" w:rsidRPr="0015227C" w:rsidRDefault="0015227C" w:rsidP="0015227C">
      <w:pPr>
        <w:pStyle w:val="Sinespaciado"/>
        <w:tabs>
          <w:tab w:val="left" w:pos="284"/>
        </w:tabs>
        <w:spacing w:after="200" w:line="360" w:lineRule="auto"/>
        <w:jc w:val="both"/>
        <w:rPr>
          <w:rFonts w:ascii="Tahoma" w:hAnsi="Tahoma" w:cs="Tahoma"/>
          <w:sz w:val="20"/>
          <w:lang w:val="es-SV"/>
        </w:rPr>
      </w:pPr>
      <w:r w:rsidRPr="0015227C">
        <w:rPr>
          <w:rFonts w:ascii="Tahoma" w:hAnsi="Tahoma" w:cs="Tahoma"/>
          <w:sz w:val="20"/>
          <w:lang w:val="es-SV"/>
        </w:rPr>
        <w:t xml:space="preserve">Por lo tanto, no es necesario activar el Plan de Contingencia para el Manejo de la Liquidez, considerando que el IRL no se encuentra dentro del rango de </w:t>
      </w:r>
      <w:r w:rsidRPr="0015227C">
        <w:rPr>
          <w:rFonts w:ascii="Tahoma" w:hAnsi="Tahoma" w:cs="Tahoma"/>
          <w:b/>
          <w:bCs/>
          <w:sz w:val="20"/>
          <w:lang w:val="es-SV"/>
        </w:rPr>
        <w:t xml:space="preserve">1.0&lt;IRL&lt;=1.5, </w:t>
      </w:r>
      <w:r w:rsidRPr="0015227C">
        <w:rPr>
          <w:rFonts w:ascii="Tahoma" w:hAnsi="Tahoma" w:cs="Tahoma"/>
          <w:sz w:val="20"/>
          <w:lang w:val="es-SV"/>
        </w:rPr>
        <w:t xml:space="preserve">que corresponde al </w:t>
      </w:r>
      <w:r w:rsidRPr="0015227C">
        <w:rPr>
          <w:rFonts w:ascii="Tahoma" w:hAnsi="Tahoma" w:cs="Tahoma"/>
          <w:b/>
          <w:bCs/>
          <w:i/>
          <w:iCs/>
          <w:sz w:val="20"/>
          <w:lang w:val="es-SV"/>
        </w:rPr>
        <w:t>escenario moderado</w:t>
      </w:r>
      <w:r w:rsidRPr="0015227C">
        <w:rPr>
          <w:rFonts w:ascii="Tahoma" w:hAnsi="Tahoma" w:cs="Tahoma"/>
          <w:sz w:val="20"/>
          <w:lang w:val="es-SV"/>
        </w:rPr>
        <w:t xml:space="preserve">. </w:t>
      </w:r>
    </w:p>
    <w:p w:rsidR="00DF70E3" w:rsidRPr="0015227C" w:rsidRDefault="00DF70E3" w:rsidP="00751FDA">
      <w:pPr>
        <w:pStyle w:val="Sinespaciado"/>
        <w:numPr>
          <w:ilvl w:val="0"/>
          <w:numId w:val="13"/>
        </w:numPr>
        <w:tabs>
          <w:tab w:val="left" w:pos="284"/>
        </w:tabs>
        <w:spacing w:after="200" w:line="360" w:lineRule="auto"/>
        <w:jc w:val="both"/>
        <w:rPr>
          <w:rFonts w:ascii="Tahoma" w:hAnsi="Tahoma" w:cs="Tahoma"/>
          <w:sz w:val="20"/>
          <w:szCs w:val="20"/>
          <w:u w:val="single"/>
          <w:lang w:val="es-SV" w:eastAsia="es-ES"/>
        </w:rPr>
      </w:pPr>
      <w:r w:rsidRPr="0015227C">
        <w:rPr>
          <w:rFonts w:ascii="Tahoma" w:hAnsi="Tahoma" w:cs="Tahoma"/>
          <w:sz w:val="20"/>
          <w:szCs w:val="20"/>
          <w:u w:val="single"/>
          <w:lang w:val="es-SV" w:eastAsia="es-ES"/>
        </w:rPr>
        <w:t>RIESGO DE MERCADO</w:t>
      </w:r>
    </w:p>
    <w:p w:rsidR="0015227C" w:rsidRPr="0015227C" w:rsidRDefault="0015227C" w:rsidP="0015227C">
      <w:pPr>
        <w:pStyle w:val="Sinespaciado"/>
        <w:tabs>
          <w:tab w:val="left" w:pos="284"/>
        </w:tabs>
        <w:spacing w:after="200" w:line="360" w:lineRule="auto"/>
        <w:jc w:val="both"/>
        <w:rPr>
          <w:rFonts w:ascii="Tahoma" w:hAnsi="Tahoma" w:cs="Tahoma"/>
          <w:sz w:val="20"/>
          <w:szCs w:val="20"/>
          <w:lang w:eastAsia="es-ES"/>
        </w:rPr>
      </w:pPr>
      <w:r w:rsidRPr="0015227C">
        <w:rPr>
          <w:rFonts w:ascii="Tahoma" w:hAnsi="Tahoma" w:cs="Tahoma"/>
          <w:sz w:val="20"/>
          <w:szCs w:val="20"/>
          <w:lang w:eastAsia="es-ES"/>
        </w:rPr>
        <w:t>El Riesgo de Mercado para la Corporación está relacionado con la pérdida potencial por cambios en la tasa de interés que incida negativamente en los ingresos en concepto de intereses de los Certificado de Depósito a Plazos.</w:t>
      </w:r>
      <w:r>
        <w:rPr>
          <w:rFonts w:ascii="Tahoma" w:hAnsi="Tahoma" w:cs="Tahoma"/>
          <w:sz w:val="20"/>
          <w:szCs w:val="20"/>
          <w:lang w:eastAsia="es-ES"/>
        </w:rPr>
        <w:t xml:space="preserve"> </w:t>
      </w:r>
      <w:r w:rsidRPr="0015227C">
        <w:rPr>
          <w:rFonts w:ascii="Tahoma" w:hAnsi="Tahoma" w:cs="Tahoma"/>
          <w:sz w:val="20"/>
          <w:szCs w:val="20"/>
          <w:lang w:eastAsia="es-ES"/>
        </w:rPr>
        <w:t xml:space="preserve">Para el período abril - junio 2022, el Valor a Riesgo (VaR) fue del 0.92%, que corresponde al valor máximo que la tasa de interés esperada podría bajar bajo el modelo de una distribución normal. </w:t>
      </w:r>
    </w:p>
    <w:p w:rsidR="0015227C" w:rsidRDefault="0015227C" w:rsidP="0015227C">
      <w:pPr>
        <w:pStyle w:val="Sinespaciado"/>
        <w:tabs>
          <w:tab w:val="left" w:pos="284"/>
        </w:tabs>
        <w:spacing w:after="200" w:line="360" w:lineRule="auto"/>
        <w:jc w:val="both"/>
        <w:rPr>
          <w:rFonts w:ascii="Tahoma" w:hAnsi="Tahoma" w:cs="Tahoma"/>
          <w:sz w:val="20"/>
          <w:szCs w:val="20"/>
          <w:lang w:val="es-SV" w:eastAsia="es-ES"/>
        </w:rPr>
      </w:pPr>
      <w:r w:rsidRPr="0015227C">
        <w:rPr>
          <w:rFonts w:ascii="Tahoma" w:hAnsi="Tahoma" w:cs="Tahoma"/>
          <w:sz w:val="20"/>
          <w:szCs w:val="20"/>
          <w:lang w:val="es-PA" w:eastAsia="es-ES"/>
        </w:rPr>
        <w:t xml:space="preserve">Según la Prueba de tensión (PT) antes indicada, el Riesgo de Mercado está relacionado con una pérdida de ingresos en concepto de intereses de US$ 18,216.81 durante el período abril - junio 2022, lo cual no causa mayor impacto en el Índice de Riesgo de Liquidez de la Corporación, considerando que para el cálculo de dicho indicador, no se toman en cuenta los ingresos.  </w:t>
      </w:r>
    </w:p>
    <w:p w:rsidR="004F2F47" w:rsidRPr="009C091D" w:rsidRDefault="004F2F47" w:rsidP="004F2F47">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4F2F47" w:rsidRDefault="004F2F47" w:rsidP="0015227C">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2-1645</w:t>
      </w:r>
      <w:r w:rsidRPr="00C70EEA">
        <w:rPr>
          <w:rFonts w:ascii="Tahoma" w:hAnsi="Tahoma" w:cs="Tahoma"/>
          <w:b/>
        </w:rPr>
        <w:t>-2022</w:t>
      </w:r>
    </w:p>
    <w:p w:rsidR="00B9272D" w:rsidRPr="0015227C" w:rsidRDefault="00700688" w:rsidP="0015227C">
      <w:pPr>
        <w:spacing w:line="360" w:lineRule="auto"/>
        <w:jc w:val="both"/>
        <w:rPr>
          <w:rFonts w:ascii="Tahoma" w:hAnsi="Tahoma" w:cs="Tahoma"/>
          <w:lang w:val="es-SV"/>
        </w:rPr>
      </w:pPr>
      <w:r w:rsidRPr="0015227C">
        <w:rPr>
          <w:rFonts w:ascii="Tahoma" w:hAnsi="Tahoma" w:cs="Tahoma"/>
          <w:lang w:val="es-MX"/>
        </w:rPr>
        <w:t>Darse por enterado del Informe de Riesgo de Liquidez y Me</w:t>
      </w:r>
      <w:r w:rsidR="0015227C">
        <w:rPr>
          <w:rFonts w:ascii="Tahoma" w:hAnsi="Tahoma" w:cs="Tahoma"/>
          <w:lang w:val="es-MX"/>
        </w:rPr>
        <w:t>rcado y escenario de estrés correspondiente al</w:t>
      </w:r>
      <w:r w:rsidRPr="0015227C">
        <w:rPr>
          <w:rFonts w:ascii="Tahoma" w:hAnsi="Tahoma" w:cs="Tahoma"/>
          <w:lang w:val="es-MX"/>
        </w:rPr>
        <w:t xml:space="preserve"> segundo trimestre de 2022, en donde se demuestra que la Corporación está por encima del índice establecido como aceptable de liquidez.</w:t>
      </w:r>
    </w:p>
    <w:p w:rsidR="0015227C" w:rsidRPr="0015227C" w:rsidRDefault="0015227C" w:rsidP="0015227C">
      <w:pPr>
        <w:spacing w:line="360" w:lineRule="auto"/>
        <w:jc w:val="both"/>
        <w:rPr>
          <w:rFonts w:ascii="Tahoma" w:hAnsi="Tahoma" w:cs="Tahoma"/>
          <w:b/>
        </w:rPr>
      </w:pPr>
    </w:p>
    <w:p w:rsidR="004F2F47" w:rsidRDefault="004F2F47" w:rsidP="004F2F4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F2F47">
        <w:rPr>
          <w:rFonts w:ascii="Tahoma" w:hAnsi="Tahoma" w:cs="Tahoma"/>
          <w:b/>
          <w:sz w:val="20"/>
          <w:szCs w:val="20"/>
          <w:u w:val="double"/>
          <w:lang w:val="es-SV"/>
        </w:rPr>
        <w:t>INFORME DE RIESGO OPERACIONAL AL 31 DE MARZO DE 2022</w:t>
      </w:r>
      <w:r>
        <w:rPr>
          <w:rFonts w:ascii="Tahoma" w:hAnsi="Tahoma" w:cs="Tahoma"/>
          <w:b/>
          <w:sz w:val="20"/>
          <w:szCs w:val="20"/>
          <w:u w:val="double"/>
          <w:lang w:val="es-SV"/>
        </w:rPr>
        <w:t>.</w:t>
      </w:r>
    </w:p>
    <w:p w:rsidR="002E6419" w:rsidRDefault="002E6419" w:rsidP="002E6419">
      <w:pPr>
        <w:pStyle w:val="Sinespaciado"/>
        <w:tabs>
          <w:tab w:val="left" w:pos="284"/>
        </w:tabs>
        <w:spacing w:after="200" w:line="360" w:lineRule="auto"/>
        <w:ind w:left="-142"/>
        <w:jc w:val="both"/>
        <w:rPr>
          <w:rFonts w:ascii="Tahoma" w:hAnsi="Tahoma" w:cs="Tahoma"/>
          <w:sz w:val="20"/>
          <w:szCs w:val="20"/>
          <w:lang w:val="es-MX" w:eastAsia="es-ES"/>
        </w:rPr>
      </w:pPr>
      <w:r>
        <w:rPr>
          <w:rFonts w:ascii="Tahoma" w:hAnsi="Tahoma" w:cs="Tahoma"/>
          <w:sz w:val="20"/>
          <w:szCs w:val="20"/>
          <w:lang w:val="es-SV" w:eastAsia="es-ES"/>
        </w:rPr>
        <w:lastRenderedPageBreak/>
        <w:t>El Director Presidente cede la palabra al Licenciado</w:t>
      </w:r>
      <w:r w:rsidR="00327CBB">
        <w:rPr>
          <w:rFonts w:ascii="Tahoma" w:hAnsi="Tahoma" w:cs="Tahoma"/>
          <w:sz w:val="20"/>
          <w:szCs w:val="20"/>
          <w:lang w:val="es-SV" w:eastAsia="es-ES"/>
        </w:rPr>
        <w:t xml:space="preserve">                                 </w:t>
      </w:r>
      <w:r>
        <w:rPr>
          <w:rFonts w:ascii="Tahoma" w:hAnsi="Tahoma" w:cs="Tahoma"/>
          <w:sz w:val="20"/>
          <w:szCs w:val="20"/>
          <w:lang w:val="es-SV" w:eastAsia="es-ES"/>
        </w:rPr>
        <w:t xml:space="preserve">, Coordinador de Riesgos y expone el </w:t>
      </w:r>
      <w:r w:rsidRPr="002E6419">
        <w:rPr>
          <w:rFonts w:ascii="Tahoma" w:hAnsi="Tahoma" w:cs="Tahoma"/>
          <w:sz w:val="20"/>
          <w:szCs w:val="20"/>
          <w:lang w:val="es-SV" w:eastAsia="es-ES"/>
        </w:rPr>
        <w:t>INFORME DE RIESGO OPERACIONAL AL 31 DE MARZO DE 2022</w:t>
      </w:r>
      <w:r>
        <w:rPr>
          <w:rFonts w:ascii="Tahoma" w:hAnsi="Tahoma" w:cs="Tahoma"/>
          <w:sz w:val="20"/>
          <w:szCs w:val="20"/>
          <w:lang w:val="es-SV" w:eastAsia="es-ES"/>
        </w:rPr>
        <w:t xml:space="preserve">, expone que el este informe cuenta con el visto bueno del Comité de Riesgos, según consta en acta de </w:t>
      </w:r>
      <w:r w:rsidRPr="00DF70E3">
        <w:rPr>
          <w:rFonts w:ascii="Tahoma" w:hAnsi="Tahoma" w:cs="Tahoma"/>
          <w:sz w:val="20"/>
          <w:szCs w:val="20"/>
          <w:lang w:val="es-MX" w:eastAsia="es-ES"/>
        </w:rPr>
        <w:t>sesión N° 65/2022 de fecha 17 de mayo de 2022</w:t>
      </w:r>
      <w:r>
        <w:rPr>
          <w:rFonts w:ascii="Tahoma" w:hAnsi="Tahoma" w:cs="Tahoma"/>
          <w:sz w:val="20"/>
          <w:szCs w:val="20"/>
          <w:lang w:val="es-MX" w:eastAsia="es-ES"/>
        </w:rPr>
        <w:t>.</w:t>
      </w:r>
    </w:p>
    <w:p w:rsidR="002E6419" w:rsidRDefault="002E6419" w:rsidP="002E6419">
      <w:pPr>
        <w:pStyle w:val="Sinespaciado"/>
        <w:tabs>
          <w:tab w:val="left" w:pos="284"/>
        </w:tabs>
        <w:spacing w:after="200" w:line="360" w:lineRule="auto"/>
        <w:ind w:left="-142"/>
        <w:jc w:val="both"/>
        <w:rPr>
          <w:rFonts w:ascii="Tahoma" w:hAnsi="Tahoma" w:cs="Tahoma"/>
          <w:sz w:val="20"/>
          <w:szCs w:val="20"/>
          <w:lang w:val="es-PA" w:eastAsia="es-ES"/>
        </w:rPr>
      </w:pPr>
      <w:r>
        <w:rPr>
          <w:rFonts w:ascii="Tahoma" w:hAnsi="Tahoma" w:cs="Tahoma"/>
          <w:sz w:val="20"/>
          <w:szCs w:val="20"/>
          <w:lang w:val="es-MX" w:eastAsia="es-ES"/>
        </w:rPr>
        <w:t xml:space="preserve">Informa que durante </w:t>
      </w:r>
      <w:r w:rsidRPr="002E6419">
        <w:rPr>
          <w:rFonts w:ascii="Tahoma" w:hAnsi="Tahoma" w:cs="Tahoma"/>
          <w:sz w:val="20"/>
          <w:szCs w:val="20"/>
          <w:lang w:val="es-PA" w:eastAsia="es-ES"/>
        </w:rPr>
        <w:t xml:space="preserve">el primer trimestre de 2022, se evaluaron dos Unidades Organizativas, para un total de nueve (9) factores de riesgo evaluados, de los cuales seis (6) factores resultaron con nivel de riesgo </w:t>
      </w:r>
      <w:r w:rsidRPr="002E6419">
        <w:rPr>
          <w:rFonts w:ascii="Tahoma" w:hAnsi="Tahoma" w:cs="Tahoma"/>
          <w:i/>
          <w:iCs/>
          <w:sz w:val="20"/>
          <w:szCs w:val="20"/>
          <w:u w:val="single"/>
          <w:lang w:val="es-PA" w:eastAsia="es-ES"/>
        </w:rPr>
        <w:t>Bajo</w:t>
      </w:r>
      <w:r w:rsidRPr="002E6419">
        <w:rPr>
          <w:rFonts w:ascii="Tahoma" w:hAnsi="Tahoma" w:cs="Tahoma"/>
          <w:sz w:val="20"/>
          <w:szCs w:val="20"/>
          <w:lang w:val="es-PA" w:eastAsia="es-ES"/>
        </w:rPr>
        <w:t xml:space="preserve"> y tres (3) factores con nivel </w:t>
      </w:r>
      <w:r w:rsidRPr="002E6419">
        <w:rPr>
          <w:rFonts w:ascii="Tahoma" w:hAnsi="Tahoma" w:cs="Tahoma"/>
          <w:i/>
          <w:iCs/>
          <w:sz w:val="20"/>
          <w:szCs w:val="20"/>
          <w:u w:val="single"/>
          <w:lang w:val="es-PA" w:eastAsia="es-ES"/>
        </w:rPr>
        <w:t>Moderado</w:t>
      </w:r>
      <w:r w:rsidRPr="002E6419">
        <w:rPr>
          <w:rFonts w:ascii="Tahoma" w:hAnsi="Tahoma" w:cs="Tahoma"/>
          <w:sz w:val="20"/>
          <w:szCs w:val="20"/>
          <w:lang w:val="es-PA" w:eastAsia="es-ES"/>
        </w:rPr>
        <w:t>, según el siguiente detalle</w:t>
      </w:r>
      <w:r>
        <w:rPr>
          <w:rFonts w:ascii="Tahoma" w:hAnsi="Tahoma" w:cs="Tahoma"/>
          <w:sz w:val="20"/>
          <w:szCs w:val="20"/>
          <w:lang w:val="es-PA" w:eastAsia="es-ES"/>
        </w:rPr>
        <w:t>:</w:t>
      </w:r>
    </w:p>
    <w:tbl>
      <w:tblPr>
        <w:tblW w:w="7760" w:type="dxa"/>
        <w:tblInd w:w="722" w:type="dxa"/>
        <w:tblCellMar>
          <w:left w:w="0" w:type="dxa"/>
          <w:right w:w="0" w:type="dxa"/>
        </w:tblCellMar>
        <w:tblLook w:val="0420" w:firstRow="1" w:lastRow="0" w:firstColumn="0" w:lastColumn="0" w:noHBand="0" w:noVBand="1"/>
      </w:tblPr>
      <w:tblGrid>
        <w:gridCol w:w="708"/>
        <w:gridCol w:w="2249"/>
        <w:gridCol w:w="1442"/>
        <w:gridCol w:w="1666"/>
        <w:gridCol w:w="1695"/>
      </w:tblGrid>
      <w:tr w:rsidR="002E6419" w:rsidRPr="002E6419" w:rsidTr="002E6419">
        <w:trPr>
          <w:trHeight w:val="28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No</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UNIDAD</w:t>
            </w:r>
          </w:p>
        </w:tc>
        <w:tc>
          <w:tcPr>
            <w:tcW w:w="14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Factores de riesgo con nivel bajo</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Factores de riesgo con nivel moderado</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Total factores de riesgo evaluados por Unidad</w:t>
            </w:r>
          </w:p>
        </w:tc>
      </w:tr>
      <w:tr w:rsidR="002E6419" w:rsidRPr="002E6419" w:rsidTr="002E6419">
        <w:trPr>
          <w:trHeight w:val="164"/>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1</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Gerencia Administrativa</w:t>
            </w:r>
          </w:p>
        </w:tc>
        <w:tc>
          <w:tcPr>
            <w:tcW w:w="14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4</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2</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6</w:t>
            </w:r>
          </w:p>
        </w:tc>
      </w:tr>
      <w:tr w:rsidR="002E6419" w:rsidRPr="002E6419" w:rsidTr="002E6419">
        <w:trPr>
          <w:trHeight w:val="148"/>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2</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Departamento de Proyectos e Inversiones</w:t>
            </w:r>
          </w:p>
        </w:tc>
        <w:tc>
          <w:tcPr>
            <w:tcW w:w="14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2</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1</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color w:val="000000" w:themeColor="text1"/>
                <w:kern w:val="24"/>
                <w:sz w:val="18"/>
                <w:szCs w:val="24"/>
                <w:lang w:val="es-ES" w:eastAsia="es-SV"/>
              </w:rPr>
              <w:t>3</w:t>
            </w:r>
          </w:p>
        </w:tc>
      </w:tr>
      <w:tr w:rsidR="002E6419" w:rsidRPr="002E6419" w:rsidTr="002E6419">
        <w:trPr>
          <w:trHeight w:val="123"/>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rPr>
                <w:rFonts w:ascii="Arial" w:hAnsi="Arial" w:cs="Arial"/>
                <w:sz w:val="18"/>
                <w:szCs w:val="36"/>
                <w:lang w:val="es-SV" w:eastAsia="es-SV"/>
              </w:rPr>
            </w:pP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TOTAL</w:t>
            </w:r>
          </w:p>
        </w:tc>
        <w:tc>
          <w:tcPr>
            <w:tcW w:w="14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6</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3</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2E6419" w:rsidRPr="002E6419" w:rsidRDefault="002E6419" w:rsidP="002E6419">
            <w:pPr>
              <w:jc w:val="center"/>
              <w:rPr>
                <w:rFonts w:ascii="Arial" w:hAnsi="Arial" w:cs="Arial"/>
                <w:sz w:val="18"/>
                <w:szCs w:val="36"/>
                <w:lang w:val="es-SV" w:eastAsia="es-SV"/>
              </w:rPr>
            </w:pPr>
            <w:r w:rsidRPr="002E6419">
              <w:rPr>
                <w:rFonts w:ascii="Museo Sans 300" w:hAnsi="Museo Sans 300" w:cs="Arial"/>
                <w:b/>
                <w:bCs/>
                <w:color w:val="000000" w:themeColor="text1"/>
                <w:kern w:val="24"/>
                <w:sz w:val="18"/>
                <w:szCs w:val="24"/>
                <w:lang w:val="es-ES" w:eastAsia="es-SV"/>
              </w:rPr>
              <w:t>9</w:t>
            </w:r>
          </w:p>
        </w:tc>
      </w:tr>
    </w:tbl>
    <w:p w:rsidR="002E6419" w:rsidRDefault="002E6419" w:rsidP="002E6419">
      <w:pPr>
        <w:pStyle w:val="Sinespaciado"/>
        <w:tabs>
          <w:tab w:val="left" w:pos="284"/>
        </w:tabs>
        <w:spacing w:after="200" w:line="360" w:lineRule="auto"/>
        <w:ind w:left="-142"/>
        <w:jc w:val="both"/>
        <w:rPr>
          <w:rFonts w:ascii="Tahoma" w:hAnsi="Tahoma" w:cs="Tahoma"/>
          <w:b/>
          <w:sz w:val="20"/>
          <w:szCs w:val="20"/>
          <w:u w:val="double"/>
          <w:lang w:val="es-SV"/>
        </w:rPr>
      </w:pPr>
    </w:p>
    <w:p w:rsidR="002E6419" w:rsidRPr="002E6419" w:rsidRDefault="002E6419" w:rsidP="002E6419">
      <w:pPr>
        <w:pStyle w:val="Sinespaciado"/>
        <w:tabs>
          <w:tab w:val="left" w:pos="284"/>
        </w:tabs>
        <w:spacing w:after="200" w:line="360" w:lineRule="auto"/>
        <w:ind w:left="-142"/>
        <w:jc w:val="both"/>
        <w:rPr>
          <w:rFonts w:ascii="Tahoma" w:hAnsi="Tahoma" w:cs="Tahoma"/>
          <w:sz w:val="20"/>
          <w:lang w:val="es-SV"/>
        </w:rPr>
      </w:pPr>
      <w:r w:rsidRPr="002E6419">
        <w:rPr>
          <w:rFonts w:ascii="Tahoma" w:hAnsi="Tahoma" w:cs="Tahoma"/>
          <w:sz w:val="20"/>
        </w:rPr>
        <w:t>MEDIDAS DE MITIGACIÓN PARA FACTORES DE RIESGO QUE RESULTARON CON NIVEL MODERADO</w:t>
      </w:r>
    </w:p>
    <w:p w:rsidR="002E6419" w:rsidRPr="002E6419" w:rsidRDefault="0051338F" w:rsidP="002E6419">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noProof/>
          <w:sz w:val="20"/>
          <w:szCs w:val="20"/>
          <w:lang w:val="es-SV" w:eastAsia="es-SV"/>
        </w:rPr>
        <w:drawing>
          <wp:inline distT="0" distB="0" distL="0" distR="0" wp14:anchorId="1EEBBB59">
            <wp:extent cx="5885002" cy="1680400"/>
            <wp:effectExtent l="0" t="0" r="190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9047" cy="1687266"/>
                    </a:xfrm>
                    <a:prstGeom prst="rect">
                      <a:avLst/>
                    </a:prstGeom>
                    <a:noFill/>
                  </pic:spPr>
                </pic:pic>
              </a:graphicData>
            </a:graphic>
          </wp:inline>
        </w:drawing>
      </w:r>
    </w:p>
    <w:p w:rsidR="0051338F" w:rsidRPr="0051338F" w:rsidRDefault="002E6419" w:rsidP="0051338F">
      <w:pPr>
        <w:pStyle w:val="Sinespaciado"/>
        <w:tabs>
          <w:tab w:val="left" w:pos="284"/>
        </w:tabs>
        <w:spacing w:after="200" w:line="360" w:lineRule="auto"/>
        <w:jc w:val="both"/>
        <w:rPr>
          <w:rFonts w:ascii="Tahoma" w:hAnsi="Tahoma" w:cs="Tahoma"/>
          <w:sz w:val="20"/>
          <w:szCs w:val="20"/>
          <w:u w:val="single"/>
          <w:lang w:val="es-SV"/>
        </w:rPr>
      </w:pPr>
      <w:r>
        <w:rPr>
          <w:rFonts w:ascii="Tahoma" w:hAnsi="Tahoma" w:cs="Tahoma"/>
          <w:sz w:val="20"/>
          <w:szCs w:val="20"/>
          <w:lang w:val="es-SV" w:eastAsia="es-ES"/>
        </w:rPr>
        <w:t xml:space="preserve"> </w:t>
      </w:r>
      <w:r w:rsidR="0051338F" w:rsidRPr="0051338F">
        <w:rPr>
          <w:rFonts w:ascii="Tahoma" w:hAnsi="Tahoma" w:cs="Tahoma"/>
          <w:bCs/>
          <w:sz w:val="20"/>
          <w:szCs w:val="20"/>
          <w:u w:val="single"/>
        </w:rPr>
        <w:t>MODIFICACIONES EFECTUADAS AL MAPA Y MATRIZ DE RIESGOS DE LA GERENCIA ADMINISTRATIVA</w:t>
      </w:r>
    </w:p>
    <w:p w:rsidR="0051338F" w:rsidRPr="0051338F" w:rsidRDefault="0051338F" w:rsidP="0051338F">
      <w:pPr>
        <w:pStyle w:val="Sinespaciado"/>
        <w:tabs>
          <w:tab w:val="left" w:pos="284"/>
        </w:tabs>
        <w:spacing w:after="200" w:line="360" w:lineRule="auto"/>
        <w:jc w:val="both"/>
        <w:rPr>
          <w:rFonts w:ascii="Tahoma" w:hAnsi="Tahoma" w:cs="Tahoma"/>
          <w:sz w:val="20"/>
          <w:lang w:val="es-SV"/>
        </w:rPr>
      </w:pPr>
      <w:r w:rsidRPr="0051338F">
        <w:rPr>
          <w:rFonts w:ascii="Tahoma" w:hAnsi="Tahoma" w:cs="Tahoma"/>
          <w:sz w:val="20"/>
        </w:rPr>
        <w:t xml:space="preserve">Respecto al mapa y matriz de riesgo de diciembre de 2021; considerando la baja probabilidad de ocurrencia, el grado de impacto y controles adicionales que se tienen implementados, se eliminaron los siguientes factores de riesgo: </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Mantenimiento preventivo a vehículos institucionales</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Eficientización de procesos claves</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Divulgación de Reglamento Interno de Trabajo</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Sistema de Control de Activos (trasladarlo a Tecnología de la Información cuando se evalúe dicha  Unidad)</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Constatación física de los activos</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Control de Combustible</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Uso de vehículos</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 xml:space="preserve">Desarrollo del personal mediante capacitaciones </w:t>
      </w:r>
    </w:p>
    <w:p w:rsidR="00B9272D"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Mejorar el ambiente de trabajo que permita la participación proactiva del personal</w:t>
      </w:r>
    </w:p>
    <w:p w:rsidR="0051338F" w:rsidRPr="0051338F" w:rsidRDefault="00700688" w:rsidP="00751FDA">
      <w:pPr>
        <w:pStyle w:val="Sinespaciado"/>
        <w:numPr>
          <w:ilvl w:val="0"/>
          <w:numId w:val="17"/>
        </w:numPr>
        <w:tabs>
          <w:tab w:val="left" w:pos="284"/>
        </w:tabs>
        <w:spacing w:after="120"/>
        <w:ind w:left="714" w:hanging="357"/>
        <w:jc w:val="both"/>
        <w:rPr>
          <w:rFonts w:ascii="Tahoma" w:hAnsi="Tahoma" w:cs="Tahoma"/>
          <w:sz w:val="20"/>
          <w:lang w:val="es-SV"/>
        </w:rPr>
      </w:pPr>
      <w:r w:rsidRPr="0051338F">
        <w:rPr>
          <w:rFonts w:ascii="Tahoma" w:hAnsi="Tahoma" w:cs="Tahoma"/>
          <w:sz w:val="20"/>
        </w:rPr>
        <w:t>Seguimiento al PAO y Plan Quinquenal</w:t>
      </w:r>
      <w:r w:rsidR="0051338F">
        <w:rPr>
          <w:rFonts w:ascii="Tahoma" w:hAnsi="Tahoma" w:cs="Tahoma"/>
          <w:sz w:val="20"/>
        </w:rPr>
        <w:t>.</w:t>
      </w:r>
    </w:p>
    <w:p w:rsidR="00B9272D" w:rsidRPr="0051338F" w:rsidRDefault="00700688" w:rsidP="0051338F">
      <w:pPr>
        <w:pStyle w:val="Sinespaciado"/>
        <w:tabs>
          <w:tab w:val="left" w:pos="284"/>
        </w:tabs>
        <w:spacing w:after="120"/>
        <w:ind w:left="714"/>
        <w:jc w:val="both"/>
        <w:rPr>
          <w:rFonts w:ascii="Tahoma" w:hAnsi="Tahoma" w:cs="Tahoma"/>
          <w:sz w:val="20"/>
          <w:lang w:val="es-SV"/>
        </w:rPr>
      </w:pPr>
      <w:r w:rsidRPr="0051338F">
        <w:rPr>
          <w:rFonts w:ascii="Tahoma" w:hAnsi="Tahoma" w:cs="Tahoma"/>
          <w:sz w:val="20"/>
        </w:rPr>
        <w:t xml:space="preserve">  </w:t>
      </w:r>
    </w:p>
    <w:p w:rsidR="0051338F" w:rsidRDefault="0051338F" w:rsidP="0051338F">
      <w:pPr>
        <w:pStyle w:val="Sinespaciado"/>
        <w:tabs>
          <w:tab w:val="left" w:pos="284"/>
        </w:tabs>
        <w:spacing w:after="200" w:line="360" w:lineRule="auto"/>
        <w:jc w:val="both"/>
        <w:rPr>
          <w:rFonts w:ascii="Tahoma" w:hAnsi="Tahoma" w:cs="Tahoma"/>
          <w:sz w:val="20"/>
        </w:rPr>
      </w:pPr>
      <w:r w:rsidRPr="0051338F">
        <w:rPr>
          <w:rFonts w:ascii="Tahoma" w:hAnsi="Tahoma" w:cs="Tahoma"/>
          <w:sz w:val="20"/>
        </w:rPr>
        <w:t>Así mismo, se modificó el nombre a cinco factores de riesgo, los cuales ya aparecen indicados en el mapa y matriz de  riesgo a marzo de 2022, según el Acta de Comité de Riesgos No. 65/2022 de fecha 17 de mayo de 2022.</w:t>
      </w:r>
    </w:p>
    <w:p w:rsidR="0051338F" w:rsidRDefault="0051338F" w:rsidP="0051338F">
      <w:pPr>
        <w:pStyle w:val="Sinespaciado"/>
        <w:tabs>
          <w:tab w:val="left" w:pos="284"/>
        </w:tabs>
        <w:spacing w:after="200" w:line="360" w:lineRule="auto"/>
        <w:jc w:val="both"/>
        <w:rPr>
          <w:rFonts w:ascii="Tahoma" w:hAnsi="Tahoma" w:cs="Tahoma"/>
          <w:bCs/>
          <w:sz w:val="20"/>
          <w:szCs w:val="20"/>
          <w:u w:val="single"/>
        </w:rPr>
      </w:pPr>
      <w:r w:rsidRPr="0051338F">
        <w:rPr>
          <w:rFonts w:ascii="Tahoma" w:hAnsi="Tahoma" w:cs="Tahoma"/>
          <w:bCs/>
          <w:sz w:val="20"/>
          <w:szCs w:val="20"/>
          <w:u w:val="single"/>
        </w:rPr>
        <w:lastRenderedPageBreak/>
        <w:t>MODIFICACIONES EFECTUADAS AL MAPA Y MATRIZ DE RIESGOS DEL DEPARTAMENTO DE PROYECTOS E INVERSIONES</w:t>
      </w:r>
      <w:r>
        <w:rPr>
          <w:rFonts w:ascii="Tahoma" w:hAnsi="Tahoma" w:cs="Tahoma"/>
          <w:bCs/>
          <w:sz w:val="20"/>
          <w:szCs w:val="20"/>
          <w:u w:val="single"/>
        </w:rPr>
        <w:t>.</w:t>
      </w:r>
    </w:p>
    <w:p w:rsidR="0051338F" w:rsidRPr="0051338F" w:rsidRDefault="0051338F" w:rsidP="0051338F">
      <w:pPr>
        <w:pStyle w:val="Sinespaciado"/>
        <w:tabs>
          <w:tab w:val="left" w:pos="284"/>
        </w:tabs>
        <w:spacing w:after="200" w:line="360" w:lineRule="auto"/>
        <w:jc w:val="both"/>
        <w:rPr>
          <w:rFonts w:ascii="Tahoma" w:hAnsi="Tahoma" w:cs="Tahoma"/>
          <w:bCs/>
          <w:sz w:val="20"/>
          <w:lang w:val="es-SV"/>
        </w:rPr>
      </w:pPr>
      <w:r w:rsidRPr="0051338F">
        <w:rPr>
          <w:rFonts w:ascii="Tahoma" w:hAnsi="Tahoma" w:cs="Tahoma"/>
          <w:bCs/>
          <w:sz w:val="20"/>
        </w:rPr>
        <w:t>Respecto al mapa y matriz de riesgo de diciembre de 2021; considerando la no aplicabilidad del sistema, se eliminó el factor de riesgo “</w:t>
      </w:r>
      <w:r w:rsidRPr="0051338F">
        <w:rPr>
          <w:rFonts w:ascii="Tahoma" w:hAnsi="Tahoma" w:cs="Tahoma"/>
          <w:b/>
          <w:bCs/>
          <w:i/>
          <w:iCs/>
          <w:sz w:val="20"/>
        </w:rPr>
        <w:t>Sistema de préstamos de Ingenios”</w:t>
      </w:r>
      <w:r w:rsidRPr="0051338F">
        <w:rPr>
          <w:rFonts w:ascii="Tahoma" w:hAnsi="Tahoma" w:cs="Tahoma"/>
          <w:bCs/>
          <w:sz w:val="20"/>
        </w:rPr>
        <w:t>.</w:t>
      </w:r>
    </w:p>
    <w:p w:rsidR="0051338F" w:rsidRPr="0051338F" w:rsidRDefault="0051338F" w:rsidP="0051338F">
      <w:pPr>
        <w:pStyle w:val="Sinespaciado"/>
        <w:tabs>
          <w:tab w:val="left" w:pos="284"/>
        </w:tabs>
        <w:spacing w:after="200" w:line="360" w:lineRule="auto"/>
        <w:jc w:val="both"/>
        <w:rPr>
          <w:rFonts w:ascii="Tahoma" w:hAnsi="Tahoma" w:cs="Tahoma"/>
          <w:bCs/>
          <w:sz w:val="20"/>
          <w:lang w:val="es-SV"/>
        </w:rPr>
      </w:pPr>
      <w:r w:rsidRPr="0051338F">
        <w:rPr>
          <w:rFonts w:ascii="Tahoma" w:hAnsi="Tahoma" w:cs="Tahoma"/>
          <w:bCs/>
          <w:sz w:val="20"/>
        </w:rPr>
        <w:t>Así mismo, se incorporó el Factor de Riesgo “</w:t>
      </w:r>
      <w:r w:rsidRPr="0051338F">
        <w:rPr>
          <w:rFonts w:ascii="Tahoma" w:hAnsi="Tahoma" w:cs="Tahoma"/>
          <w:b/>
          <w:bCs/>
          <w:i/>
          <w:iCs/>
          <w:sz w:val="20"/>
        </w:rPr>
        <w:t>Desactualización de información en la guía del inversionista en la página web institucional</w:t>
      </w:r>
      <w:r w:rsidRPr="0051338F">
        <w:rPr>
          <w:rFonts w:ascii="Tahoma" w:hAnsi="Tahoma" w:cs="Tahoma"/>
          <w:bCs/>
          <w:sz w:val="20"/>
        </w:rPr>
        <w:t>”, el cual por error involuntario no se incluyó en el Informe de Riesgo Institucional año 2021; y se modificó el nombre a dos factores de riesgo, los cuales ya aparecen indicados en el mapa y matriz de  riesgo a marzo de 2022, según el Acta de Comité de Riesgos No. 65/2022 de fecha 17 de mayo de 2022.</w:t>
      </w:r>
    </w:p>
    <w:p w:rsidR="0051338F" w:rsidRDefault="0051338F" w:rsidP="0051338F">
      <w:pPr>
        <w:pStyle w:val="Sinespaciado"/>
        <w:tabs>
          <w:tab w:val="left" w:pos="284"/>
        </w:tabs>
        <w:spacing w:after="200" w:line="360" w:lineRule="auto"/>
        <w:jc w:val="both"/>
        <w:rPr>
          <w:rFonts w:ascii="Tahoma" w:hAnsi="Tahoma" w:cs="Tahoma"/>
          <w:bCs/>
          <w:sz w:val="20"/>
          <w:u w:val="single"/>
          <w:lang w:val="es-SV"/>
        </w:rPr>
      </w:pPr>
      <w:r w:rsidRPr="0051338F">
        <w:rPr>
          <w:rFonts w:ascii="Tahoma" w:hAnsi="Tahoma" w:cs="Tahoma"/>
          <w:bCs/>
          <w:sz w:val="20"/>
          <w:u w:val="single"/>
          <w:lang w:val="es-SV"/>
        </w:rPr>
        <w:t>SISTEMA DE INDICADORES DE RIESGO OPERACIONAL A MARZO DE 2022</w:t>
      </w:r>
      <w:r>
        <w:rPr>
          <w:rFonts w:ascii="Tahoma" w:hAnsi="Tahoma" w:cs="Tahoma"/>
          <w:bCs/>
          <w:sz w:val="20"/>
          <w:u w:val="single"/>
          <w:lang w:val="es-SV"/>
        </w:rPr>
        <w:t>.</w:t>
      </w:r>
    </w:p>
    <w:p w:rsidR="0051338F" w:rsidRPr="0051338F" w:rsidRDefault="0051338F" w:rsidP="0051338F">
      <w:pPr>
        <w:pStyle w:val="Sinespaciado"/>
        <w:tabs>
          <w:tab w:val="left" w:pos="284"/>
        </w:tabs>
        <w:spacing w:after="200" w:line="360" w:lineRule="auto"/>
        <w:jc w:val="both"/>
        <w:rPr>
          <w:rFonts w:ascii="Tahoma" w:hAnsi="Tahoma" w:cs="Tahoma"/>
          <w:bCs/>
          <w:sz w:val="20"/>
          <w:lang w:val="es-SV"/>
        </w:rPr>
      </w:pPr>
      <w:r>
        <w:rPr>
          <w:rFonts w:ascii="Tahoma" w:hAnsi="Tahoma" w:cs="Tahoma"/>
          <w:bCs/>
          <w:noProof/>
          <w:sz w:val="20"/>
          <w:szCs w:val="20"/>
          <w:u w:val="single"/>
          <w:lang w:val="es-SV" w:eastAsia="es-SV"/>
        </w:rPr>
        <w:drawing>
          <wp:anchor distT="0" distB="0" distL="114300" distR="114300" simplePos="0" relativeHeight="251660288" behindDoc="1" locked="0" layoutInCell="1" allowOverlap="1">
            <wp:simplePos x="0" y="0"/>
            <wp:positionH relativeFrom="margin">
              <wp:align>right</wp:align>
            </wp:positionH>
            <wp:positionV relativeFrom="paragraph">
              <wp:posOffset>1030376</wp:posOffset>
            </wp:positionV>
            <wp:extent cx="5757062" cy="2376144"/>
            <wp:effectExtent l="0" t="0" r="0" b="571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062" cy="2376144"/>
                    </a:xfrm>
                    <a:prstGeom prst="rect">
                      <a:avLst/>
                    </a:prstGeom>
                    <a:noFill/>
                  </pic:spPr>
                </pic:pic>
              </a:graphicData>
            </a:graphic>
            <wp14:sizeRelH relativeFrom="margin">
              <wp14:pctWidth>0</wp14:pctWidth>
            </wp14:sizeRelH>
            <wp14:sizeRelV relativeFrom="margin">
              <wp14:pctHeight>0</wp14:pctHeight>
            </wp14:sizeRelV>
          </wp:anchor>
        </w:drawing>
      </w:r>
      <w:r w:rsidRPr="0051338F">
        <w:rPr>
          <w:rFonts w:ascii="Tahoma" w:hAnsi="Tahoma" w:cs="Tahoma"/>
          <w:bCs/>
          <w:sz w:val="20"/>
        </w:rPr>
        <w:t xml:space="preserve">Al 31 de marzo de 2022, se tienen un total de 13 factores de riesgo con nivel </w:t>
      </w:r>
      <w:r w:rsidRPr="0051338F">
        <w:rPr>
          <w:rFonts w:ascii="Tahoma" w:hAnsi="Tahoma" w:cs="Tahoma"/>
          <w:b/>
          <w:bCs/>
          <w:i/>
          <w:iCs/>
          <w:sz w:val="20"/>
        </w:rPr>
        <w:t>Moderado</w:t>
      </w:r>
      <w:r w:rsidRPr="0051338F">
        <w:rPr>
          <w:rFonts w:ascii="Tahoma" w:hAnsi="Tahoma" w:cs="Tahoma"/>
          <w:bCs/>
          <w:sz w:val="20"/>
        </w:rPr>
        <w:t xml:space="preserve">, versus los 12 factores de riesgo que a diciembre de 2021 resultaron también con nivel </w:t>
      </w:r>
      <w:r w:rsidRPr="0051338F">
        <w:rPr>
          <w:rFonts w:ascii="Tahoma" w:hAnsi="Tahoma" w:cs="Tahoma"/>
          <w:b/>
          <w:bCs/>
          <w:i/>
          <w:iCs/>
          <w:sz w:val="20"/>
        </w:rPr>
        <w:t>Moder</w:t>
      </w:r>
      <w:r w:rsidRPr="0051338F">
        <w:rPr>
          <w:rFonts w:ascii="Tahoma" w:hAnsi="Tahoma" w:cs="Tahoma"/>
          <w:bCs/>
          <w:i/>
          <w:iCs/>
          <w:sz w:val="20"/>
        </w:rPr>
        <w:t xml:space="preserve">ado. </w:t>
      </w:r>
      <w:r w:rsidRPr="0051338F">
        <w:rPr>
          <w:rFonts w:ascii="Tahoma" w:hAnsi="Tahoma" w:cs="Tahoma"/>
          <w:bCs/>
          <w:sz w:val="20"/>
        </w:rPr>
        <w:t>La  mayor parte de las medidas de mitigación que deben atender las diferentes Unidades Organizativas para bajar el nivel de riesgo, están relacionadas con la actualización de procedimientos.</w:t>
      </w:r>
    </w:p>
    <w:p w:rsidR="0051338F" w:rsidRPr="0051338F" w:rsidRDefault="0051338F" w:rsidP="0051338F">
      <w:pPr>
        <w:pStyle w:val="Sinespaciado"/>
        <w:tabs>
          <w:tab w:val="left" w:pos="284"/>
        </w:tabs>
        <w:spacing w:after="200" w:line="360" w:lineRule="auto"/>
        <w:jc w:val="both"/>
        <w:rPr>
          <w:rFonts w:ascii="Tahoma" w:hAnsi="Tahoma" w:cs="Tahoma"/>
          <w:bCs/>
          <w:sz w:val="20"/>
          <w:u w:val="single"/>
          <w:lang w:val="es-SV"/>
        </w:rPr>
      </w:pPr>
    </w:p>
    <w:p w:rsidR="0051338F" w:rsidRPr="0051338F" w:rsidRDefault="0051338F" w:rsidP="0051338F">
      <w:pPr>
        <w:pStyle w:val="Sinespaciado"/>
        <w:tabs>
          <w:tab w:val="left" w:pos="284"/>
        </w:tabs>
        <w:spacing w:after="200" w:line="360" w:lineRule="auto"/>
        <w:jc w:val="both"/>
        <w:rPr>
          <w:rFonts w:ascii="Tahoma" w:hAnsi="Tahoma" w:cs="Tahoma"/>
          <w:bCs/>
          <w:sz w:val="20"/>
          <w:szCs w:val="20"/>
          <w:u w:val="single"/>
        </w:rPr>
      </w:pPr>
    </w:p>
    <w:p w:rsidR="0051338F" w:rsidRPr="0051338F" w:rsidRDefault="0051338F" w:rsidP="0051338F">
      <w:pPr>
        <w:pStyle w:val="Sinespaciado"/>
        <w:tabs>
          <w:tab w:val="left" w:pos="284"/>
        </w:tabs>
        <w:spacing w:after="200" w:line="360" w:lineRule="auto"/>
        <w:jc w:val="both"/>
        <w:rPr>
          <w:rFonts w:ascii="Tahoma" w:hAnsi="Tahoma" w:cs="Tahoma"/>
          <w:sz w:val="20"/>
          <w:lang w:val="es-SV"/>
        </w:rPr>
      </w:pPr>
    </w:p>
    <w:p w:rsidR="004F2F47" w:rsidRDefault="004F2F47" w:rsidP="004F2F47">
      <w:pPr>
        <w:pStyle w:val="Sinespaciado"/>
        <w:tabs>
          <w:tab w:val="left" w:pos="284"/>
        </w:tabs>
        <w:spacing w:after="200" w:line="360" w:lineRule="auto"/>
        <w:jc w:val="both"/>
        <w:rPr>
          <w:rFonts w:ascii="Tahoma" w:hAnsi="Tahoma" w:cs="Tahoma"/>
          <w:b/>
          <w:sz w:val="20"/>
          <w:szCs w:val="20"/>
          <w:u w:val="double"/>
          <w:lang w:val="es-SV"/>
        </w:rPr>
      </w:pPr>
    </w:p>
    <w:p w:rsidR="0051338F" w:rsidRDefault="0051338F" w:rsidP="004F2F47">
      <w:pPr>
        <w:pStyle w:val="Sinespaciado"/>
        <w:tabs>
          <w:tab w:val="left" w:pos="284"/>
        </w:tabs>
        <w:spacing w:after="200" w:line="360" w:lineRule="auto"/>
        <w:ind w:left="-142"/>
        <w:jc w:val="both"/>
        <w:rPr>
          <w:rFonts w:ascii="Tahoma" w:hAnsi="Tahoma" w:cs="Tahoma"/>
          <w:sz w:val="20"/>
          <w:szCs w:val="20"/>
          <w:lang w:val="es-SV" w:eastAsia="es-ES"/>
        </w:rPr>
      </w:pPr>
    </w:p>
    <w:p w:rsidR="0051338F" w:rsidRDefault="0051338F" w:rsidP="004F2F47">
      <w:pPr>
        <w:pStyle w:val="Sinespaciado"/>
        <w:tabs>
          <w:tab w:val="left" w:pos="284"/>
        </w:tabs>
        <w:spacing w:after="200" w:line="360" w:lineRule="auto"/>
        <w:ind w:left="-142"/>
        <w:jc w:val="both"/>
        <w:rPr>
          <w:rFonts w:ascii="Tahoma" w:hAnsi="Tahoma" w:cs="Tahoma"/>
          <w:sz w:val="20"/>
          <w:szCs w:val="20"/>
          <w:lang w:val="es-SV" w:eastAsia="es-ES"/>
        </w:rPr>
      </w:pPr>
    </w:p>
    <w:p w:rsidR="0051338F" w:rsidRDefault="0051338F" w:rsidP="004F2F47">
      <w:pPr>
        <w:pStyle w:val="Sinespaciado"/>
        <w:tabs>
          <w:tab w:val="left" w:pos="284"/>
        </w:tabs>
        <w:spacing w:after="200" w:line="360" w:lineRule="auto"/>
        <w:ind w:left="-142"/>
        <w:jc w:val="both"/>
        <w:rPr>
          <w:rFonts w:ascii="Tahoma" w:hAnsi="Tahoma" w:cs="Tahoma"/>
          <w:sz w:val="20"/>
          <w:szCs w:val="20"/>
          <w:lang w:val="es-SV" w:eastAsia="es-ES"/>
        </w:rPr>
      </w:pPr>
    </w:p>
    <w:p w:rsidR="0051338F" w:rsidRPr="0051338F" w:rsidRDefault="0051338F" w:rsidP="0051338F">
      <w:pPr>
        <w:pStyle w:val="Sinespaciado"/>
        <w:tabs>
          <w:tab w:val="left" w:pos="284"/>
        </w:tabs>
        <w:spacing w:after="200" w:line="360" w:lineRule="auto"/>
        <w:ind w:left="-142"/>
        <w:jc w:val="both"/>
        <w:rPr>
          <w:rFonts w:ascii="Tahoma" w:hAnsi="Tahoma" w:cs="Tahoma"/>
          <w:sz w:val="20"/>
          <w:lang w:val="es-SV"/>
        </w:rPr>
      </w:pPr>
      <w:r w:rsidRPr="0051338F">
        <w:rPr>
          <w:rFonts w:ascii="Tahoma" w:hAnsi="Tahoma" w:cs="Tahoma"/>
          <w:sz w:val="20"/>
        </w:rPr>
        <w:t>Como parte del sistema de Indicadores del Riesgo Operacional, también se lleva el control del comportamiento de los siguientes nueve (9) indicadores de riesgo operacional, los cuales se monitorean de forma mensual.</w:t>
      </w:r>
    </w:p>
    <w:p w:rsidR="0051338F" w:rsidRPr="0051338F" w:rsidRDefault="0051338F" w:rsidP="0051338F">
      <w:pPr>
        <w:pStyle w:val="Sinespaciado"/>
        <w:tabs>
          <w:tab w:val="left" w:pos="284"/>
        </w:tabs>
        <w:spacing w:after="200" w:line="360" w:lineRule="auto"/>
        <w:ind w:left="-142"/>
        <w:jc w:val="both"/>
        <w:rPr>
          <w:rFonts w:ascii="Tahoma" w:hAnsi="Tahoma" w:cs="Tahoma"/>
          <w:sz w:val="20"/>
          <w:lang w:val="es-SV"/>
        </w:rPr>
      </w:pPr>
      <w:r w:rsidRPr="0051338F">
        <w:rPr>
          <w:rFonts w:ascii="Tahoma" w:hAnsi="Tahoma" w:cs="Tahoma"/>
          <w:sz w:val="20"/>
        </w:rPr>
        <w:t xml:space="preserve">Durante el primer trimestre de 2022, todos los indicadores estuvieron dentro del límite establecido, a excepción del </w:t>
      </w:r>
      <w:r w:rsidRPr="0051338F">
        <w:rPr>
          <w:rFonts w:ascii="Tahoma" w:hAnsi="Tahoma" w:cs="Tahoma"/>
          <w:sz w:val="20"/>
          <w:u w:val="single"/>
        </w:rPr>
        <w:t>porcentaje de riesgos de categoría “moderados” Institucionales</w:t>
      </w:r>
      <w:r w:rsidRPr="0051338F">
        <w:rPr>
          <w:rFonts w:ascii="Tahoma" w:hAnsi="Tahoma" w:cs="Tahoma"/>
          <w:sz w:val="20"/>
        </w:rPr>
        <w:t>, que superó el límite máximo establecido del 15%, ya que dicho indicador resultó ser del 25.5% (13 factores de riesgo Moderados/51 factores de riesgo totales)</w:t>
      </w:r>
    </w:p>
    <w:p w:rsidR="004F2F47" w:rsidRPr="009C091D" w:rsidRDefault="004F2F47" w:rsidP="004F2F47">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4F2F47" w:rsidRDefault="004F2F47" w:rsidP="004F2F47">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3-1645</w:t>
      </w:r>
      <w:r w:rsidRPr="00C70EEA">
        <w:rPr>
          <w:rFonts w:ascii="Tahoma" w:hAnsi="Tahoma" w:cs="Tahoma"/>
          <w:b/>
        </w:rPr>
        <w:t>-2022</w:t>
      </w:r>
    </w:p>
    <w:p w:rsidR="0051338F" w:rsidRPr="00C70EEA" w:rsidRDefault="0051338F" w:rsidP="004F2F47">
      <w:pPr>
        <w:spacing w:line="360" w:lineRule="auto"/>
        <w:jc w:val="both"/>
        <w:rPr>
          <w:rFonts w:ascii="Tahoma" w:hAnsi="Tahoma" w:cs="Tahoma"/>
          <w:b/>
        </w:rPr>
      </w:pPr>
    </w:p>
    <w:p w:rsidR="00B9272D" w:rsidRPr="0051338F" w:rsidRDefault="00700688" w:rsidP="00751FDA">
      <w:pPr>
        <w:pStyle w:val="Sinespaciado"/>
        <w:numPr>
          <w:ilvl w:val="0"/>
          <w:numId w:val="18"/>
        </w:numPr>
        <w:tabs>
          <w:tab w:val="left" w:pos="284"/>
        </w:tabs>
        <w:spacing w:after="200" w:line="360" w:lineRule="auto"/>
        <w:jc w:val="both"/>
        <w:rPr>
          <w:rFonts w:ascii="Tahoma" w:hAnsi="Tahoma" w:cs="Tahoma"/>
          <w:sz w:val="20"/>
          <w:szCs w:val="20"/>
          <w:lang w:val="es-SV" w:eastAsia="es-SV"/>
        </w:rPr>
      </w:pPr>
      <w:r w:rsidRPr="0051338F">
        <w:rPr>
          <w:rFonts w:ascii="Tahoma" w:hAnsi="Tahoma" w:cs="Tahoma"/>
          <w:sz w:val="20"/>
          <w:szCs w:val="20"/>
          <w:lang w:val="es-MX" w:eastAsia="es-SV"/>
        </w:rPr>
        <w:t>Darse por enterado del Informe de Riesgo Operacional al 31 de marzo de 2022, correspondiente a la Gerencia Administrativa y Departamento de Proyectos e Inversiones.</w:t>
      </w:r>
    </w:p>
    <w:p w:rsidR="00B9272D" w:rsidRPr="0051338F" w:rsidRDefault="00700688" w:rsidP="00751FDA">
      <w:pPr>
        <w:pStyle w:val="Sinespaciado"/>
        <w:numPr>
          <w:ilvl w:val="0"/>
          <w:numId w:val="18"/>
        </w:numPr>
        <w:tabs>
          <w:tab w:val="left" w:pos="284"/>
        </w:tabs>
        <w:spacing w:after="200" w:line="360" w:lineRule="auto"/>
        <w:jc w:val="both"/>
        <w:rPr>
          <w:rFonts w:ascii="Tahoma" w:hAnsi="Tahoma" w:cs="Tahoma"/>
          <w:sz w:val="20"/>
          <w:szCs w:val="20"/>
          <w:lang w:val="es-SV" w:eastAsia="es-SV"/>
        </w:rPr>
      </w:pPr>
      <w:r w:rsidRPr="0051338F">
        <w:rPr>
          <w:rFonts w:ascii="Tahoma" w:hAnsi="Tahoma" w:cs="Tahoma"/>
          <w:sz w:val="20"/>
          <w:szCs w:val="20"/>
          <w:lang w:val="es-MX" w:eastAsia="es-SV"/>
        </w:rPr>
        <w:t>Darse por enterado del Informe sobre el Sistema de Indicadores para el Control del Riesgo Operacional al 31 de marzo de 2022.</w:t>
      </w:r>
    </w:p>
    <w:p w:rsidR="00327CBB" w:rsidRPr="00327CBB" w:rsidRDefault="00327CBB" w:rsidP="00327CBB">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327CBB">
        <w:rPr>
          <w:rFonts w:ascii="Tahoma" w:hAnsi="Tahoma" w:cs="Tahoma"/>
          <w:b/>
          <w:sz w:val="20"/>
          <w:szCs w:val="20"/>
          <w:u w:val="double"/>
          <w:lang w:val="es-SV"/>
        </w:rPr>
        <w:t>INFORMACIÓN CONFIDENCIAL, ART 24 DE LA LAIP.</w:t>
      </w:r>
    </w:p>
    <w:p w:rsidR="004F2F47" w:rsidRDefault="004F2F47" w:rsidP="00327CBB">
      <w:pPr>
        <w:pStyle w:val="Sinespaciado"/>
        <w:tabs>
          <w:tab w:val="left" w:pos="284"/>
        </w:tabs>
        <w:spacing w:after="200" w:line="360" w:lineRule="auto"/>
        <w:ind w:left="-142"/>
        <w:jc w:val="both"/>
        <w:rPr>
          <w:rFonts w:ascii="Tahoma" w:hAnsi="Tahoma" w:cs="Tahoma"/>
          <w:b/>
          <w:sz w:val="20"/>
          <w:szCs w:val="20"/>
          <w:u w:val="double"/>
          <w:lang w:val="es-SV"/>
        </w:rPr>
      </w:pPr>
    </w:p>
    <w:p w:rsidR="00FD37B2" w:rsidRDefault="00FD37B2"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327CBB" w:rsidRDefault="00327CBB" w:rsidP="00327CBB">
      <w:pPr>
        <w:pStyle w:val="Sinespaciado"/>
        <w:tabs>
          <w:tab w:val="left" w:pos="284"/>
        </w:tabs>
        <w:spacing w:after="200" w:line="360" w:lineRule="auto"/>
        <w:ind w:left="720"/>
        <w:jc w:val="both"/>
        <w:rPr>
          <w:rFonts w:ascii="Tahoma" w:hAnsi="Tahoma" w:cs="Tahoma"/>
          <w:sz w:val="20"/>
          <w:szCs w:val="20"/>
          <w:lang w:val="es-SV" w:eastAsia="es-ES"/>
        </w:rPr>
      </w:pPr>
    </w:p>
    <w:p w:rsidR="004F2F47" w:rsidRDefault="004F2F47" w:rsidP="004F2F4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F2F47">
        <w:rPr>
          <w:rFonts w:ascii="Tahoma" w:hAnsi="Tahoma" w:cs="Tahoma"/>
          <w:b/>
          <w:sz w:val="20"/>
          <w:szCs w:val="20"/>
          <w:u w:val="double"/>
          <w:lang w:val="es-SV"/>
        </w:rPr>
        <w:t>SEGUIMIENTO AL PLAN ANUAL OPERATIVO AL SEGUNDO TRIMESTRE 2022.</w:t>
      </w:r>
    </w:p>
    <w:p w:rsidR="00936B55" w:rsidRPr="00936B55" w:rsidRDefault="00936B55" w:rsidP="00936B55">
      <w:pPr>
        <w:pStyle w:val="Sinespaciado"/>
        <w:tabs>
          <w:tab w:val="left" w:pos="284"/>
        </w:tabs>
        <w:spacing w:after="200" w:line="360" w:lineRule="auto"/>
        <w:ind w:left="-142"/>
        <w:jc w:val="both"/>
        <w:rPr>
          <w:rFonts w:ascii="Tahoma" w:hAnsi="Tahoma" w:cs="Tahoma"/>
          <w:sz w:val="20"/>
          <w:szCs w:val="20"/>
          <w:lang w:val="es-SV"/>
        </w:rPr>
      </w:pPr>
      <w:r w:rsidRPr="00936B55">
        <w:rPr>
          <w:rFonts w:ascii="Tahoma" w:hAnsi="Tahoma" w:cs="Tahoma"/>
          <w:sz w:val="20"/>
          <w:szCs w:val="20"/>
          <w:lang w:val="es-SV" w:eastAsia="es-ES"/>
        </w:rPr>
        <w:t>El Director Presidente informa al Consejo Directivo el SEGUIMIENTO AL PLAN ANUAL OPERATIVO AL SEGUNDO TRIMESTRE 2022, cede la palabra a la Licenciada</w:t>
      </w:r>
      <w:r w:rsidR="00327CBB">
        <w:rPr>
          <w:rFonts w:ascii="Tahoma" w:hAnsi="Tahoma" w:cs="Tahoma"/>
          <w:sz w:val="20"/>
          <w:szCs w:val="20"/>
          <w:lang w:val="es-SV" w:eastAsia="es-ES"/>
        </w:rPr>
        <w:t xml:space="preserve">                          </w:t>
      </w:r>
      <w:r w:rsidRPr="00936B55">
        <w:rPr>
          <w:rFonts w:ascii="Tahoma" w:hAnsi="Tahoma" w:cs="Tahoma"/>
          <w:sz w:val="20"/>
          <w:szCs w:val="20"/>
          <w:lang w:val="es-SV" w:eastAsia="es-ES"/>
        </w:rPr>
        <w:t>, Jefe de la Unidad Ad</w:t>
      </w:r>
      <w:r>
        <w:rPr>
          <w:rFonts w:ascii="Tahoma" w:hAnsi="Tahoma" w:cs="Tahoma"/>
          <w:sz w:val="20"/>
          <w:szCs w:val="20"/>
          <w:lang w:val="es-SV" w:eastAsia="es-ES"/>
        </w:rPr>
        <w:t>ministrativa y expone</w:t>
      </w:r>
      <w:r w:rsidRPr="00936B55">
        <w:rPr>
          <w:rFonts w:ascii="Tahoma" w:hAnsi="Tahoma" w:cs="Tahoma"/>
          <w:sz w:val="20"/>
          <w:szCs w:val="20"/>
          <w:lang w:val="es-SV"/>
        </w:rPr>
        <w:t xml:space="preserve"> los Objetivos y Acciones Estratégicas establecidas en el Plan Anual Operativo, su cumplimiento de acuerdo a los indicadores y actividades ejecutadas a nivel institucional.</w:t>
      </w:r>
      <w:r>
        <w:rPr>
          <w:rFonts w:ascii="Tahoma" w:hAnsi="Tahoma" w:cs="Tahoma"/>
          <w:sz w:val="20"/>
          <w:szCs w:val="20"/>
          <w:lang w:val="es-SV"/>
        </w:rPr>
        <w:t xml:space="preserve"> </w:t>
      </w:r>
      <w:r w:rsidRPr="00936B55">
        <w:rPr>
          <w:rFonts w:ascii="Tahoma" w:hAnsi="Tahoma" w:cs="Tahoma"/>
          <w:sz w:val="20"/>
          <w:szCs w:val="20"/>
          <w:lang w:val="es-SV"/>
        </w:rPr>
        <w:t xml:space="preserve">La evaluación de cumplimiento se ha efectuado a nivel de Perspectivas y Objetivos Estratégicos acumulado al segundo trimestre del 2022, lográndose una ejecución del </w:t>
      </w:r>
      <w:r w:rsidRPr="00936B55">
        <w:rPr>
          <w:rFonts w:ascii="Tahoma" w:hAnsi="Tahoma" w:cs="Tahoma"/>
          <w:b/>
          <w:bCs/>
          <w:sz w:val="20"/>
          <w:szCs w:val="20"/>
          <w:lang w:val="es-SV"/>
        </w:rPr>
        <w:t>79.57%</w:t>
      </w:r>
      <w:r w:rsidRPr="00936B55">
        <w:rPr>
          <w:rFonts w:ascii="Tahoma" w:hAnsi="Tahoma" w:cs="Tahoma"/>
          <w:sz w:val="20"/>
          <w:szCs w:val="20"/>
          <w:lang w:val="es-SV"/>
        </w:rPr>
        <w:t xml:space="preserve">, con respecto a lo programado, calificado como </w:t>
      </w:r>
      <w:r w:rsidRPr="00936B55">
        <w:rPr>
          <w:rFonts w:ascii="Tahoma" w:hAnsi="Tahoma" w:cs="Tahoma"/>
          <w:b/>
          <w:i/>
          <w:sz w:val="20"/>
          <w:szCs w:val="20"/>
          <w:lang w:val="es-SV"/>
        </w:rPr>
        <w:t>Muy bueno.</w:t>
      </w:r>
    </w:p>
    <w:p w:rsidR="00936B55" w:rsidRPr="00936B55" w:rsidRDefault="00936B55" w:rsidP="00936B55">
      <w:pPr>
        <w:pStyle w:val="Sinespaciado"/>
        <w:tabs>
          <w:tab w:val="left" w:pos="284"/>
        </w:tabs>
        <w:spacing w:after="200" w:line="360" w:lineRule="auto"/>
        <w:ind w:left="-142"/>
        <w:jc w:val="both"/>
        <w:rPr>
          <w:rFonts w:ascii="Tahoma" w:hAnsi="Tahoma" w:cs="Tahoma"/>
          <w:sz w:val="20"/>
          <w:szCs w:val="20"/>
          <w:lang w:val="es-SV"/>
        </w:rPr>
      </w:pPr>
      <w:r w:rsidRPr="00936B55">
        <w:rPr>
          <w:rFonts w:ascii="Tahoma" w:hAnsi="Tahoma" w:cs="Tahoma"/>
          <w:sz w:val="20"/>
          <w:szCs w:val="20"/>
          <w:lang w:val="es-SV"/>
        </w:rPr>
        <w:t>El seguimiento de los Planes Operativos tiene como base legal el Artículo 2</w:t>
      </w:r>
      <w:r>
        <w:rPr>
          <w:rFonts w:ascii="Tahoma" w:hAnsi="Tahoma" w:cs="Tahoma"/>
          <w:sz w:val="20"/>
          <w:szCs w:val="20"/>
          <w:lang w:val="es-SV"/>
        </w:rPr>
        <w:t>7</w:t>
      </w:r>
      <w:r w:rsidRPr="00936B55">
        <w:rPr>
          <w:rFonts w:ascii="Tahoma" w:hAnsi="Tahoma" w:cs="Tahoma"/>
          <w:sz w:val="20"/>
          <w:szCs w:val="20"/>
          <w:lang w:val="es-SV"/>
        </w:rPr>
        <w:t xml:space="preserve"> de las Normas Técnicas de Control Interno Específicas de CORSAIN, que además establece que los resultados obtenidos deberán presentarse al Consejo Directivo.</w:t>
      </w:r>
    </w:p>
    <w:p w:rsidR="00936B55" w:rsidRDefault="008A6D51" w:rsidP="004F2F4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noProof/>
          <w:sz w:val="20"/>
          <w:szCs w:val="20"/>
          <w:lang w:val="es-SV" w:eastAsia="es-SV"/>
        </w:rPr>
        <w:drawing>
          <wp:anchor distT="0" distB="0" distL="114300" distR="114300" simplePos="0" relativeHeight="251664384" behindDoc="1" locked="0" layoutInCell="1" allowOverlap="1">
            <wp:simplePos x="0" y="0"/>
            <wp:positionH relativeFrom="margin">
              <wp:posOffset>72390</wp:posOffset>
            </wp:positionH>
            <wp:positionV relativeFrom="paragraph">
              <wp:posOffset>194524</wp:posOffset>
            </wp:positionV>
            <wp:extent cx="5067300" cy="276314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4002" cy="2766796"/>
                    </a:xfrm>
                    <a:prstGeom prst="rect">
                      <a:avLst/>
                    </a:prstGeom>
                    <a:noFill/>
                  </pic:spPr>
                </pic:pic>
              </a:graphicData>
            </a:graphic>
            <wp14:sizeRelH relativeFrom="margin">
              <wp14:pctWidth>0</wp14:pctWidth>
            </wp14:sizeRelH>
            <wp14:sizeRelV relativeFrom="margin">
              <wp14:pctHeight>0</wp14:pctHeight>
            </wp14:sizeRelV>
          </wp:anchor>
        </w:drawing>
      </w:r>
      <w:r w:rsidR="00936B55" w:rsidRPr="00936B55">
        <w:rPr>
          <w:rFonts w:ascii="Tahoma" w:hAnsi="Tahoma" w:cs="Tahoma"/>
          <w:b/>
          <w:bCs/>
          <w:sz w:val="20"/>
          <w:szCs w:val="20"/>
          <w:lang w:val="es-PA" w:eastAsia="es-ES"/>
        </w:rPr>
        <w:t>Evaluación por Perspectiva</w:t>
      </w: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936B55" w:rsidRDefault="00936B55" w:rsidP="004F2F47">
      <w:pPr>
        <w:pStyle w:val="Sinespaciado"/>
        <w:tabs>
          <w:tab w:val="left" w:pos="284"/>
        </w:tabs>
        <w:spacing w:after="200" w:line="360" w:lineRule="auto"/>
        <w:ind w:left="-142"/>
        <w:jc w:val="both"/>
        <w:rPr>
          <w:rFonts w:ascii="Tahoma" w:hAnsi="Tahoma" w:cs="Tahoma"/>
          <w:sz w:val="20"/>
          <w:szCs w:val="20"/>
          <w:lang w:val="es-SV" w:eastAsia="es-ES"/>
        </w:rPr>
      </w:pPr>
    </w:p>
    <w:p w:rsidR="00B4595E" w:rsidRPr="00B4595E" w:rsidRDefault="00B4595E" w:rsidP="00B4595E">
      <w:pPr>
        <w:pStyle w:val="Sinespaciado"/>
        <w:tabs>
          <w:tab w:val="left" w:pos="284"/>
        </w:tabs>
        <w:spacing w:after="200" w:line="360" w:lineRule="auto"/>
        <w:ind w:left="-142"/>
        <w:jc w:val="both"/>
        <w:rPr>
          <w:rFonts w:ascii="Tahoma" w:hAnsi="Tahoma" w:cs="Tahoma"/>
          <w:sz w:val="20"/>
          <w:lang w:val="es-SV"/>
        </w:rPr>
      </w:pPr>
      <w:r w:rsidRPr="00B4595E">
        <w:rPr>
          <w:rFonts w:ascii="Tahoma" w:hAnsi="Tahoma" w:cs="Tahoma"/>
          <w:sz w:val="20"/>
          <w:lang w:val="es-SV"/>
        </w:rPr>
        <w:t>En términos generales, se ha logrado una ejecución del 79.57% de las acciones planteadas en el Plan Anual Operativo 2022, teniéndose una calificación general de Muy Bueno, según la escala de calificación del procedimiento definido para el seguimiento, debiendo reforzarse las perspectivas de Procesos y Tecnología, específicamente en la Actualización de la Ley Orgánica de la Corporación.</w:t>
      </w:r>
    </w:p>
    <w:p w:rsidR="004F2F47" w:rsidRPr="009C091D" w:rsidRDefault="004F2F47" w:rsidP="004F2F47">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4F2F47" w:rsidRDefault="004F2F47" w:rsidP="004F2F47">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5-1645</w:t>
      </w:r>
      <w:r w:rsidRPr="00C70EEA">
        <w:rPr>
          <w:rFonts w:ascii="Tahoma" w:hAnsi="Tahoma" w:cs="Tahoma"/>
          <w:b/>
        </w:rPr>
        <w:t>-2022</w:t>
      </w:r>
    </w:p>
    <w:p w:rsidR="00B4595E" w:rsidRPr="00B4595E" w:rsidRDefault="00B4595E" w:rsidP="004F2F47">
      <w:pPr>
        <w:spacing w:line="360" w:lineRule="auto"/>
        <w:jc w:val="both"/>
        <w:rPr>
          <w:rFonts w:ascii="Tahoma" w:hAnsi="Tahoma" w:cs="Tahoma"/>
        </w:rPr>
      </w:pPr>
      <w:r w:rsidRPr="00B4595E">
        <w:rPr>
          <w:rFonts w:ascii="Tahoma" w:hAnsi="Tahoma" w:cs="Tahoma"/>
        </w:rPr>
        <w:t xml:space="preserve">Darse por enterados de los resultados de la evaluación del Plan Anual Operativo de CORSAIN, acumulado al segundo trimestre del año 2022, alcanzando una ejecución de 79.57%, calificado como </w:t>
      </w:r>
      <w:r w:rsidRPr="00B4595E">
        <w:rPr>
          <w:rFonts w:ascii="Tahoma" w:hAnsi="Tahoma" w:cs="Tahoma"/>
          <w:b/>
          <w:i/>
        </w:rPr>
        <w:t>Muy bueno.</w:t>
      </w:r>
    </w:p>
    <w:p w:rsidR="004F2F47" w:rsidRPr="004F2F47" w:rsidRDefault="004F2F47" w:rsidP="004F2F47">
      <w:pPr>
        <w:pStyle w:val="Sinespaciado"/>
        <w:tabs>
          <w:tab w:val="left" w:pos="284"/>
        </w:tabs>
        <w:spacing w:after="200" w:line="360" w:lineRule="auto"/>
        <w:jc w:val="both"/>
        <w:rPr>
          <w:rFonts w:ascii="Tahoma" w:hAnsi="Tahoma" w:cs="Tahoma"/>
          <w:b/>
          <w:sz w:val="20"/>
          <w:szCs w:val="20"/>
          <w:u w:val="double"/>
          <w:lang w:val="es-SV"/>
        </w:rPr>
      </w:pPr>
    </w:p>
    <w:p w:rsidR="004F2F47" w:rsidRDefault="004F2F47" w:rsidP="004F2F4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F2F47">
        <w:rPr>
          <w:rFonts w:ascii="Tahoma" w:hAnsi="Tahoma" w:cs="Tahoma"/>
          <w:b/>
          <w:sz w:val="20"/>
          <w:szCs w:val="20"/>
          <w:u w:val="double"/>
          <w:lang w:val="es-SV"/>
        </w:rPr>
        <w:t>VISTO BUENO AL PLAN ANUAL OPERATIVO 2023.</w:t>
      </w:r>
    </w:p>
    <w:p w:rsidR="003B3309" w:rsidRDefault="003B3309" w:rsidP="003B3309">
      <w:pPr>
        <w:spacing w:before="100" w:beforeAutospacing="1" w:after="100" w:afterAutospacing="1" w:line="360" w:lineRule="auto"/>
        <w:jc w:val="both"/>
        <w:rPr>
          <w:rFonts w:ascii="Tahoma" w:hAnsi="Tahoma" w:cs="Tahoma"/>
        </w:rPr>
      </w:pPr>
      <w:r>
        <w:rPr>
          <w:rFonts w:ascii="Tahoma" w:hAnsi="Tahoma" w:cs="Tahoma"/>
        </w:rPr>
        <w:t xml:space="preserve">El Director Presidente </w:t>
      </w:r>
      <w:r w:rsidRPr="005F1A00">
        <w:rPr>
          <w:rFonts w:ascii="Tahoma" w:hAnsi="Tahoma" w:cs="Tahoma"/>
        </w:rPr>
        <w:t xml:space="preserve">de la Corporación, somete a consideración </w:t>
      </w:r>
      <w:r w:rsidR="00993D5A">
        <w:rPr>
          <w:rFonts w:ascii="Tahoma" w:hAnsi="Tahoma" w:cs="Tahoma"/>
        </w:rPr>
        <w:t>del Consejo Directivo el VISTO BUENO</w:t>
      </w:r>
      <w:r w:rsidRPr="005F1A00">
        <w:rPr>
          <w:rFonts w:ascii="Tahoma" w:hAnsi="Tahoma" w:cs="Tahoma"/>
        </w:rPr>
        <w:t xml:space="preserve"> </w:t>
      </w:r>
      <w:r>
        <w:rPr>
          <w:rFonts w:ascii="Tahoma" w:hAnsi="Tahoma" w:cs="Tahoma"/>
        </w:rPr>
        <w:t>PLAN ANUAL OPERATIVO 2023</w:t>
      </w:r>
      <w:r w:rsidRPr="005F1A00">
        <w:rPr>
          <w:rFonts w:ascii="Tahoma" w:hAnsi="Tahoma" w:cs="Tahoma"/>
        </w:rPr>
        <w:t>,</w:t>
      </w:r>
      <w:r w:rsidR="00993D5A">
        <w:rPr>
          <w:rFonts w:ascii="Tahoma" w:hAnsi="Tahoma" w:cs="Tahoma"/>
        </w:rPr>
        <w:t xml:space="preserve"> cede la palabra a la Licenciada</w:t>
      </w:r>
      <w:r w:rsidR="00327CBB">
        <w:rPr>
          <w:rFonts w:ascii="Tahoma" w:hAnsi="Tahoma" w:cs="Tahoma"/>
        </w:rPr>
        <w:t xml:space="preserve">                                                  </w:t>
      </w:r>
      <w:r w:rsidR="00993D5A">
        <w:rPr>
          <w:rFonts w:ascii="Tahoma" w:hAnsi="Tahoma" w:cs="Tahoma"/>
        </w:rPr>
        <w:t>, Jefe Unidad Administrativa</w:t>
      </w:r>
      <w:r w:rsidRPr="005F1A00">
        <w:rPr>
          <w:rFonts w:ascii="Tahoma" w:hAnsi="Tahoma" w:cs="Tahoma"/>
        </w:rPr>
        <w:t xml:space="preserve"> </w:t>
      </w:r>
      <w:r>
        <w:rPr>
          <w:rFonts w:ascii="Tahoma" w:hAnsi="Tahoma" w:cs="Tahoma"/>
        </w:rPr>
        <w:t>y expone que</w:t>
      </w:r>
      <w:r w:rsidRPr="00A16750">
        <w:rPr>
          <w:rFonts w:ascii="Tahoma" w:hAnsi="Tahoma" w:cs="Tahoma"/>
        </w:rPr>
        <w:t xml:space="preserve"> en cumplimiento de la Ley Orgánica </w:t>
      </w:r>
      <w:r w:rsidRPr="007D4916">
        <w:rPr>
          <w:rFonts w:ascii="Tahoma" w:hAnsi="Tahoma" w:cs="Tahoma"/>
        </w:rPr>
        <w:t xml:space="preserve">de CORSAIN, Articulo 62 y 66 y a las Normas Técnicas de Control Interno Especificas de la Corporación, Art.27; </w:t>
      </w:r>
      <w:r w:rsidR="00993D5A">
        <w:rPr>
          <w:rFonts w:ascii="Tahoma" w:hAnsi="Tahoma" w:cs="Tahoma"/>
        </w:rPr>
        <w:t>se presenta la propuesta del Plan Anual Operativo institucional 2023, donde</w:t>
      </w:r>
      <w:r w:rsidRPr="007D4916">
        <w:rPr>
          <w:rFonts w:ascii="Tahoma" w:hAnsi="Tahoma" w:cs="Tahoma"/>
        </w:rPr>
        <w:t xml:space="preserve"> se toma de base la Visión, Misión y Valores institucionales. </w:t>
      </w:r>
    </w:p>
    <w:p w:rsidR="003B3309" w:rsidRDefault="003B3309" w:rsidP="003B3309">
      <w:pPr>
        <w:spacing w:line="360" w:lineRule="auto"/>
        <w:jc w:val="both"/>
        <w:rPr>
          <w:rFonts w:ascii="Tahoma" w:hAnsi="Tahoma" w:cs="Tahoma"/>
        </w:rPr>
      </w:pPr>
      <w:r>
        <w:rPr>
          <w:rFonts w:ascii="Tahoma" w:hAnsi="Tahoma" w:cs="Tahoma"/>
        </w:rPr>
        <w:t xml:space="preserve">La presentación incluye los objetivos estratégicos, las acciones estratégicas, indicadores, actividades, tiempo y responsables </w:t>
      </w:r>
      <w:r w:rsidRPr="003A2708">
        <w:rPr>
          <w:rFonts w:ascii="Tahoma" w:hAnsi="Tahoma" w:cs="Tahoma"/>
        </w:rPr>
        <w:t>de llevar acabo las acciones para el cumplimiento de los objetivos planteados.</w:t>
      </w:r>
      <w:r>
        <w:rPr>
          <w:rFonts w:ascii="Tahoma" w:hAnsi="Tahoma" w:cs="Tahoma"/>
        </w:rPr>
        <w:t xml:space="preserve"> Lo cual se resumen a continuación, así:</w:t>
      </w:r>
    </w:p>
    <w:p w:rsidR="00993D5A" w:rsidRDefault="00993D5A" w:rsidP="003B3309">
      <w:pPr>
        <w:spacing w:line="360" w:lineRule="auto"/>
        <w:jc w:val="both"/>
        <w:rPr>
          <w:rFonts w:ascii="Tahoma" w:hAnsi="Tahoma" w:cs="Tahoma"/>
        </w:rPr>
      </w:pPr>
    </w:p>
    <w:p w:rsidR="00993D5A" w:rsidRDefault="00993D5A" w:rsidP="00A303FA">
      <w:pPr>
        <w:spacing w:line="360" w:lineRule="auto"/>
        <w:jc w:val="center"/>
        <w:rPr>
          <w:rFonts w:ascii="Tahoma" w:hAnsi="Tahoma" w:cs="Tahoma"/>
        </w:rPr>
      </w:pPr>
      <w:r>
        <w:rPr>
          <w:rFonts w:ascii="Tahoma" w:hAnsi="Tahoma" w:cs="Tahoma"/>
          <w:noProof/>
          <w:lang w:val="es-SV" w:eastAsia="es-SV"/>
        </w:rPr>
        <w:drawing>
          <wp:inline distT="0" distB="0" distL="0" distR="0" wp14:anchorId="25AEB70E">
            <wp:extent cx="4961026" cy="23907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4812" cy="2411876"/>
                    </a:xfrm>
                    <a:prstGeom prst="rect">
                      <a:avLst/>
                    </a:prstGeom>
                    <a:noFill/>
                  </pic:spPr>
                </pic:pic>
              </a:graphicData>
            </a:graphic>
          </wp:inline>
        </w:drawing>
      </w:r>
    </w:p>
    <w:p w:rsidR="003B3309" w:rsidRDefault="003B3309" w:rsidP="003B3309">
      <w:pPr>
        <w:spacing w:line="360" w:lineRule="auto"/>
        <w:jc w:val="both"/>
        <w:rPr>
          <w:rFonts w:ascii="Tahoma" w:hAnsi="Tahoma" w:cs="Tahoma"/>
        </w:rPr>
      </w:pPr>
    </w:p>
    <w:tbl>
      <w:tblPr>
        <w:tblStyle w:val="Tablaconcuadrcula"/>
        <w:tblW w:w="0" w:type="auto"/>
        <w:tblLook w:val="04A0" w:firstRow="1" w:lastRow="0" w:firstColumn="1" w:lastColumn="0" w:noHBand="0" w:noVBand="1"/>
      </w:tblPr>
      <w:tblGrid>
        <w:gridCol w:w="4415"/>
        <w:gridCol w:w="4415"/>
      </w:tblGrid>
      <w:tr w:rsidR="003B3309" w:rsidRPr="008A6D51" w:rsidTr="0041765F">
        <w:tc>
          <w:tcPr>
            <w:tcW w:w="4415" w:type="dxa"/>
          </w:tcPr>
          <w:p w:rsidR="003B3309" w:rsidRPr="008A6D51" w:rsidRDefault="003B3309" w:rsidP="0041765F">
            <w:pPr>
              <w:spacing w:line="360" w:lineRule="auto"/>
              <w:jc w:val="both"/>
              <w:rPr>
                <w:rFonts w:ascii="Tahoma" w:hAnsi="Tahoma" w:cs="Tahoma"/>
                <w:sz w:val="18"/>
                <w:szCs w:val="18"/>
              </w:rPr>
            </w:pPr>
            <w:r w:rsidRPr="008A6D51">
              <w:rPr>
                <w:rFonts w:ascii="Tahoma" w:hAnsi="Tahoma" w:cs="Tahoma"/>
                <w:sz w:val="18"/>
                <w:szCs w:val="18"/>
              </w:rPr>
              <w:t>Objetivo Estratégico</w:t>
            </w:r>
          </w:p>
        </w:tc>
        <w:tc>
          <w:tcPr>
            <w:tcW w:w="4415" w:type="dxa"/>
          </w:tcPr>
          <w:p w:rsidR="003B3309" w:rsidRPr="008A6D51" w:rsidRDefault="003B3309" w:rsidP="0041765F">
            <w:pPr>
              <w:spacing w:line="360" w:lineRule="auto"/>
              <w:jc w:val="both"/>
              <w:rPr>
                <w:rFonts w:ascii="Tahoma" w:hAnsi="Tahoma" w:cs="Tahoma"/>
                <w:sz w:val="18"/>
                <w:szCs w:val="18"/>
              </w:rPr>
            </w:pPr>
            <w:r w:rsidRPr="008A6D51">
              <w:rPr>
                <w:rFonts w:ascii="Tahoma" w:hAnsi="Tahoma" w:cs="Tahoma"/>
                <w:sz w:val="18"/>
                <w:szCs w:val="18"/>
              </w:rPr>
              <w:t>Acciones Estratégicas</w:t>
            </w:r>
          </w:p>
        </w:tc>
      </w:tr>
      <w:tr w:rsidR="003B3309" w:rsidRPr="008A6D51" w:rsidTr="0041765F">
        <w:tc>
          <w:tcPr>
            <w:tcW w:w="4415" w:type="dxa"/>
          </w:tcPr>
          <w:p w:rsidR="003B3309" w:rsidRPr="008A6D51" w:rsidRDefault="003B3309" w:rsidP="0041765F">
            <w:pPr>
              <w:spacing w:line="360" w:lineRule="auto"/>
              <w:jc w:val="both"/>
              <w:rPr>
                <w:rFonts w:ascii="Tahoma" w:hAnsi="Tahoma" w:cs="Tahoma"/>
                <w:sz w:val="18"/>
                <w:szCs w:val="18"/>
              </w:rPr>
            </w:pPr>
            <w:r w:rsidRPr="008A6D51">
              <w:rPr>
                <w:rFonts w:ascii="Tahoma" w:hAnsi="Tahoma" w:cs="Tahoma"/>
                <w:b/>
                <w:bCs/>
                <w:sz w:val="18"/>
                <w:szCs w:val="18"/>
                <w:lang w:val="es-ES"/>
              </w:rPr>
              <w:t>F1. Crecer en flujos de efectivo, rentabilidad y patrimonio.</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Gestionar y desarrollar los servicios Logísticos, Marítimos y Portuarios Regionales.</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Plan de Negocios para Puerto CORSAIN actualizado y ejecutado.</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Recibir embarcaciones en operaciones portuarias y en reparación naval.</w:t>
            </w:r>
          </w:p>
        </w:tc>
      </w:tr>
      <w:tr w:rsidR="003B3309" w:rsidRPr="008A6D51" w:rsidTr="0041765F">
        <w:tc>
          <w:tcPr>
            <w:tcW w:w="4415" w:type="dxa"/>
          </w:tcPr>
          <w:p w:rsidR="003B3309" w:rsidRPr="008A6D51" w:rsidRDefault="003B3309" w:rsidP="0041765F">
            <w:pPr>
              <w:spacing w:line="360" w:lineRule="auto"/>
              <w:jc w:val="both"/>
              <w:rPr>
                <w:rFonts w:ascii="Tahoma" w:hAnsi="Tahoma" w:cs="Tahoma"/>
                <w:b/>
                <w:bCs/>
                <w:sz w:val="18"/>
                <w:szCs w:val="18"/>
                <w:lang w:val="es-ES"/>
              </w:rPr>
            </w:pPr>
            <w:r w:rsidRPr="008A6D51">
              <w:rPr>
                <w:rFonts w:ascii="Tahoma" w:hAnsi="Tahoma" w:cs="Tahoma"/>
                <w:b/>
                <w:bCs/>
                <w:sz w:val="18"/>
                <w:szCs w:val="18"/>
                <w:lang w:val="es-ES"/>
              </w:rPr>
              <w:t>F2. Saneamiento y fortalecimiento patrimonial</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Regularizar el estatus del activo ex planta alcohol El Carmen.</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Regularizar el estatus de las áreas de relleno en Puerto CORSAIN.</w:t>
            </w:r>
          </w:p>
        </w:tc>
      </w:tr>
      <w:tr w:rsidR="003B3309" w:rsidRPr="008A6D51" w:rsidTr="0041765F">
        <w:tc>
          <w:tcPr>
            <w:tcW w:w="4415" w:type="dxa"/>
          </w:tcPr>
          <w:p w:rsidR="003B3309" w:rsidRPr="008A6D51" w:rsidRDefault="003B3309" w:rsidP="0041765F">
            <w:pPr>
              <w:spacing w:line="360" w:lineRule="auto"/>
              <w:jc w:val="both"/>
              <w:rPr>
                <w:rFonts w:ascii="Tahoma" w:hAnsi="Tahoma" w:cs="Tahoma"/>
                <w:b/>
                <w:bCs/>
                <w:sz w:val="18"/>
                <w:szCs w:val="18"/>
                <w:lang w:val="es-ES"/>
              </w:rPr>
            </w:pPr>
            <w:r w:rsidRPr="008A6D51">
              <w:rPr>
                <w:rFonts w:ascii="Tahoma" w:hAnsi="Tahoma" w:cs="Tahoma"/>
                <w:b/>
                <w:bCs/>
                <w:sz w:val="18"/>
                <w:szCs w:val="18"/>
                <w:lang w:val="es-ES"/>
              </w:rPr>
              <w:lastRenderedPageBreak/>
              <w:t xml:space="preserve">I1. Diversificación de cartera de inversiones. </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Desarrollo del Proyecto Reparación de Muelle (ejes del 20 al 36)</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 xml:space="preserve">Desarrollo del estudio para el proyecto de ampliación de Varadero en Puerto CORSAIN. </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Desarrollo del proyecto de Planta Fotovoltaica de 2MW.</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Desarrollo del Proyecto de Terminal de Almacenamiento y Distribución de Combustible.</w:t>
            </w:r>
          </w:p>
        </w:tc>
      </w:tr>
      <w:tr w:rsidR="003B3309" w:rsidRPr="008A6D51" w:rsidTr="0041765F">
        <w:tc>
          <w:tcPr>
            <w:tcW w:w="4415" w:type="dxa"/>
          </w:tcPr>
          <w:p w:rsidR="003B3309" w:rsidRPr="008A6D51" w:rsidRDefault="003B3309" w:rsidP="008A6D51">
            <w:pPr>
              <w:spacing w:line="276" w:lineRule="auto"/>
              <w:jc w:val="both"/>
              <w:rPr>
                <w:rFonts w:ascii="Tahoma" w:hAnsi="Tahoma" w:cs="Tahoma"/>
                <w:b/>
                <w:bCs/>
                <w:sz w:val="18"/>
                <w:szCs w:val="18"/>
                <w:lang w:val="es-ES"/>
              </w:rPr>
            </w:pPr>
            <w:r w:rsidRPr="008A6D51">
              <w:rPr>
                <w:rFonts w:ascii="Tahoma" w:hAnsi="Tahoma" w:cs="Tahoma"/>
                <w:b/>
                <w:bCs/>
                <w:sz w:val="18"/>
                <w:szCs w:val="18"/>
                <w:lang w:val="es-ES"/>
              </w:rPr>
              <w:t xml:space="preserve">I2. Brindar excelente servicio a inversionistas y clientes. </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bCs/>
                <w:sz w:val="18"/>
                <w:szCs w:val="18"/>
                <w:lang w:val="es-MX"/>
              </w:rPr>
              <w:t>Actualización Guía del Inversionistas.</w:t>
            </w:r>
          </w:p>
        </w:tc>
      </w:tr>
      <w:tr w:rsidR="003B3309" w:rsidRPr="008A6D51" w:rsidTr="0041765F">
        <w:tc>
          <w:tcPr>
            <w:tcW w:w="4415" w:type="dxa"/>
          </w:tcPr>
          <w:p w:rsidR="003B3309" w:rsidRPr="008A6D51" w:rsidRDefault="003B3309" w:rsidP="0041765F">
            <w:pPr>
              <w:spacing w:line="276" w:lineRule="auto"/>
              <w:jc w:val="both"/>
              <w:rPr>
                <w:rFonts w:ascii="Tahoma" w:hAnsi="Tahoma" w:cs="Tahoma"/>
                <w:b/>
                <w:bCs/>
                <w:sz w:val="18"/>
                <w:szCs w:val="18"/>
                <w:lang w:val="es-ES"/>
              </w:rPr>
            </w:pPr>
            <w:r w:rsidRPr="008A6D51">
              <w:rPr>
                <w:rFonts w:ascii="Tahoma" w:hAnsi="Tahoma" w:cs="Tahoma"/>
                <w:b/>
                <w:bCs/>
                <w:sz w:val="18"/>
                <w:szCs w:val="18"/>
                <w:lang w:val="es-ES"/>
              </w:rPr>
              <w:t>P1. Actualizar la legislación y normativa operativa de la Corporación.</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bCs/>
                <w:sz w:val="18"/>
                <w:szCs w:val="18"/>
                <w:lang w:val="es-MX"/>
              </w:rPr>
            </w:pPr>
            <w:r w:rsidRPr="008A6D51">
              <w:rPr>
                <w:rFonts w:ascii="Tahoma" w:hAnsi="Tahoma" w:cs="Tahoma"/>
                <w:bCs/>
                <w:sz w:val="18"/>
                <w:szCs w:val="18"/>
                <w:lang w:val="es-MX"/>
              </w:rPr>
              <w:t>Reforma de la Ley de Creación de CORSAIN.</w:t>
            </w:r>
          </w:p>
        </w:tc>
      </w:tr>
      <w:tr w:rsidR="003B3309" w:rsidRPr="008A6D51" w:rsidTr="0041765F">
        <w:trPr>
          <w:trHeight w:val="1065"/>
        </w:trPr>
        <w:tc>
          <w:tcPr>
            <w:tcW w:w="4415" w:type="dxa"/>
          </w:tcPr>
          <w:p w:rsidR="003B3309" w:rsidRPr="008A6D51" w:rsidRDefault="003B3309" w:rsidP="0041765F">
            <w:pPr>
              <w:spacing w:line="276" w:lineRule="auto"/>
              <w:jc w:val="both"/>
              <w:rPr>
                <w:rFonts w:ascii="Tahoma" w:hAnsi="Tahoma" w:cs="Tahoma"/>
                <w:b/>
                <w:bCs/>
                <w:sz w:val="18"/>
                <w:szCs w:val="18"/>
                <w:lang w:val="es-ES"/>
              </w:rPr>
            </w:pPr>
            <w:r w:rsidRPr="008A6D51">
              <w:rPr>
                <w:rFonts w:ascii="Tahoma" w:hAnsi="Tahoma" w:cs="Tahoma"/>
                <w:b/>
                <w:bCs/>
                <w:sz w:val="18"/>
                <w:szCs w:val="18"/>
                <w:lang w:val="es-ES"/>
              </w:rPr>
              <w:t>P2. Aplicación de tecnología de la información enfocada a la mejora de procesos.</w:t>
            </w:r>
          </w:p>
        </w:tc>
        <w:tc>
          <w:tcPr>
            <w:tcW w:w="4415" w:type="dxa"/>
          </w:tcPr>
          <w:p w:rsidR="003B3309" w:rsidRPr="008A6D51" w:rsidRDefault="003B3309" w:rsidP="0041765F">
            <w:pPr>
              <w:pStyle w:val="Prrafodelista"/>
              <w:ind w:left="176"/>
              <w:jc w:val="both"/>
              <w:rPr>
                <w:rFonts w:ascii="Tahoma" w:hAnsi="Tahoma" w:cs="Tahoma"/>
                <w:bCs/>
                <w:sz w:val="18"/>
                <w:szCs w:val="18"/>
                <w:lang w:val="es-MX"/>
              </w:rPr>
            </w:pPr>
            <w:r w:rsidRPr="008A6D51">
              <w:rPr>
                <w:rFonts w:ascii="Tahoma" w:hAnsi="Tahoma" w:cs="Tahoma"/>
                <w:bCs/>
                <w:sz w:val="18"/>
                <w:szCs w:val="18"/>
                <w:lang w:val="es-MX"/>
              </w:rPr>
              <w:t>Plan de Modernización e Innovación Institucional (PEMII/Secretaría de Innovación)</w:t>
            </w:r>
          </w:p>
        </w:tc>
      </w:tr>
      <w:tr w:rsidR="003B3309" w:rsidRPr="008A6D51" w:rsidTr="0041765F">
        <w:tc>
          <w:tcPr>
            <w:tcW w:w="4415" w:type="dxa"/>
          </w:tcPr>
          <w:p w:rsidR="003B3309" w:rsidRPr="008A6D51" w:rsidRDefault="003B3309" w:rsidP="0041765F">
            <w:pPr>
              <w:spacing w:line="276" w:lineRule="auto"/>
              <w:jc w:val="both"/>
              <w:rPr>
                <w:rFonts w:ascii="Tahoma" w:hAnsi="Tahoma" w:cs="Tahoma"/>
                <w:b/>
                <w:bCs/>
                <w:sz w:val="18"/>
                <w:szCs w:val="18"/>
                <w:lang w:val="es-ES"/>
              </w:rPr>
            </w:pPr>
          </w:p>
          <w:p w:rsidR="003B3309" w:rsidRPr="008A6D51" w:rsidRDefault="003B3309" w:rsidP="0041765F">
            <w:pPr>
              <w:spacing w:line="276" w:lineRule="auto"/>
              <w:jc w:val="both"/>
              <w:rPr>
                <w:rFonts w:ascii="Tahoma" w:hAnsi="Tahoma" w:cs="Tahoma"/>
                <w:b/>
                <w:bCs/>
                <w:sz w:val="18"/>
                <w:szCs w:val="18"/>
                <w:lang w:val="es-ES"/>
              </w:rPr>
            </w:pPr>
            <w:r w:rsidRPr="008A6D51">
              <w:rPr>
                <w:rFonts w:ascii="Tahoma" w:hAnsi="Tahoma" w:cs="Tahoma"/>
                <w:b/>
                <w:bCs/>
                <w:sz w:val="18"/>
                <w:szCs w:val="18"/>
                <w:lang w:val="es-ES"/>
              </w:rPr>
              <w:t>A1. Desarrollo de habilidades y competencias del personal de la Corporación.</w:t>
            </w:r>
          </w:p>
        </w:tc>
        <w:tc>
          <w:tcPr>
            <w:tcW w:w="4415" w:type="dxa"/>
          </w:tcPr>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Desarrollo del Personal mediante capacitaciones.</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Desarrollo de personal en SYSO (oficinas y Puerto).</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Seguimiento al Sistema Institucional de Gestión Documental y Archivo.</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bCs/>
                <w:sz w:val="18"/>
                <w:szCs w:val="18"/>
                <w:lang w:val="es-MX"/>
              </w:rPr>
            </w:pPr>
            <w:r w:rsidRPr="008A6D51">
              <w:rPr>
                <w:rFonts w:ascii="Tahoma" w:hAnsi="Tahoma" w:cs="Tahoma"/>
                <w:sz w:val="18"/>
                <w:szCs w:val="18"/>
              </w:rPr>
              <w:t>Seguimiento Plan de Mejora Regulatoria.</w:t>
            </w:r>
          </w:p>
        </w:tc>
      </w:tr>
      <w:tr w:rsidR="003B3309" w:rsidRPr="008A6D51" w:rsidTr="0041765F">
        <w:tc>
          <w:tcPr>
            <w:tcW w:w="4415" w:type="dxa"/>
          </w:tcPr>
          <w:p w:rsidR="003B3309" w:rsidRPr="008A6D51" w:rsidRDefault="003B3309" w:rsidP="0041765F">
            <w:pPr>
              <w:spacing w:line="276" w:lineRule="auto"/>
              <w:jc w:val="both"/>
              <w:rPr>
                <w:rFonts w:ascii="Tahoma" w:hAnsi="Tahoma" w:cs="Tahoma"/>
                <w:b/>
                <w:bCs/>
                <w:sz w:val="18"/>
                <w:szCs w:val="18"/>
                <w:lang w:val="es-ES"/>
              </w:rPr>
            </w:pPr>
          </w:p>
          <w:p w:rsidR="003B3309" w:rsidRPr="008A6D51" w:rsidRDefault="003B3309" w:rsidP="0041765F">
            <w:pPr>
              <w:spacing w:line="276" w:lineRule="auto"/>
              <w:jc w:val="both"/>
              <w:rPr>
                <w:rFonts w:ascii="Tahoma" w:hAnsi="Tahoma" w:cs="Tahoma"/>
                <w:b/>
                <w:bCs/>
                <w:sz w:val="18"/>
                <w:szCs w:val="18"/>
                <w:lang w:val="es-ES"/>
              </w:rPr>
            </w:pPr>
            <w:r w:rsidRPr="008A6D51">
              <w:rPr>
                <w:rFonts w:ascii="Tahoma" w:hAnsi="Tahoma" w:cs="Tahoma"/>
                <w:b/>
                <w:bCs/>
                <w:sz w:val="18"/>
                <w:szCs w:val="18"/>
                <w:lang w:val="es-ES"/>
              </w:rPr>
              <w:t xml:space="preserve">A2. Fomentar la motivación, convivencia y comportamiento ético. </w:t>
            </w:r>
          </w:p>
          <w:p w:rsidR="003B3309" w:rsidRPr="008A6D51" w:rsidRDefault="003B3309" w:rsidP="0041765F">
            <w:pPr>
              <w:spacing w:line="276" w:lineRule="auto"/>
              <w:jc w:val="both"/>
              <w:rPr>
                <w:rFonts w:ascii="Tahoma" w:hAnsi="Tahoma" w:cs="Tahoma"/>
                <w:b/>
                <w:bCs/>
                <w:sz w:val="18"/>
                <w:szCs w:val="18"/>
                <w:lang w:val="es-ES"/>
              </w:rPr>
            </w:pPr>
          </w:p>
        </w:tc>
        <w:tc>
          <w:tcPr>
            <w:tcW w:w="4415" w:type="dxa"/>
          </w:tcPr>
          <w:p w:rsidR="003B3309" w:rsidRPr="008A6D51" w:rsidRDefault="003B3309" w:rsidP="00751FDA">
            <w:pPr>
              <w:pStyle w:val="Prrafodelista"/>
              <w:numPr>
                <w:ilvl w:val="0"/>
                <w:numId w:val="21"/>
              </w:numPr>
              <w:spacing w:after="0" w:line="360" w:lineRule="auto"/>
              <w:ind w:left="176" w:hanging="142"/>
              <w:contextualSpacing w:val="0"/>
              <w:jc w:val="both"/>
              <w:rPr>
                <w:rFonts w:ascii="Tahoma" w:hAnsi="Tahoma" w:cs="Tahoma"/>
                <w:sz w:val="18"/>
                <w:szCs w:val="18"/>
              </w:rPr>
            </w:pPr>
            <w:r w:rsidRPr="008A6D51">
              <w:rPr>
                <w:rFonts w:ascii="Tahoma" w:hAnsi="Tahoma" w:cs="Tahoma"/>
                <w:sz w:val="18"/>
                <w:szCs w:val="18"/>
              </w:rPr>
              <w:t>Mejorar el ambiente de trabajo que permita la participación proactiva del personal.</w:t>
            </w:r>
          </w:p>
          <w:p w:rsidR="003B3309" w:rsidRPr="008A6D51" w:rsidRDefault="003B3309" w:rsidP="00751FDA">
            <w:pPr>
              <w:pStyle w:val="Prrafodelista"/>
              <w:numPr>
                <w:ilvl w:val="0"/>
                <w:numId w:val="21"/>
              </w:numPr>
              <w:spacing w:after="0" w:line="360" w:lineRule="auto"/>
              <w:ind w:left="176" w:hanging="142"/>
              <w:contextualSpacing w:val="0"/>
              <w:jc w:val="both"/>
              <w:rPr>
                <w:rFonts w:ascii="Tahoma" w:hAnsi="Tahoma" w:cs="Tahoma"/>
                <w:sz w:val="18"/>
                <w:szCs w:val="18"/>
              </w:rPr>
            </w:pPr>
            <w:r w:rsidRPr="008A6D51">
              <w:rPr>
                <w:rFonts w:ascii="Tahoma" w:hAnsi="Tahoma" w:cs="Tahoma"/>
                <w:sz w:val="18"/>
                <w:szCs w:val="18"/>
              </w:rPr>
              <w:t>Difundir la Ley de Ética Gubernamental y su Reglamento.</w:t>
            </w:r>
          </w:p>
          <w:p w:rsidR="003B3309" w:rsidRPr="008A6D51" w:rsidRDefault="003B3309" w:rsidP="00751FDA">
            <w:pPr>
              <w:pStyle w:val="Prrafodelista"/>
              <w:numPr>
                <w:ilvl w:val="0"/>
                <w:numId w:val="21"/>
              </w:numPr>
              <w:spacing w:after="0" w:line="360" w:lineRule="auto"/>
              <w:ind w:left="176" w:hanging="142"/>
              <w:contextualSpacing w:val="0"/>
              <w:jc w:val="both"/>
              <w:rPr>
                <w:rFonts w:ascii="Tahoma" w:hAnsi="Tahoma" w:cs="Tahoma"/>
                <w:sz w:val="18"/>
                <w:szCs w:val="18"/>
              </w:rPr>
            </w:pPr>
            <w:r w:rsidRPr="008A6D51">
              <w:rPr>
                <w:rFonts w:ascii="Tahoma" w:hAnsi="Tahoma" w:cs="Tahoma"/>
                <w:sz w:val="18"/>
                <w:szCs w:val="18"/>
              </w:rPr>
              <w:t>Difundir la Ley de Acceso a la Información Pública y su Reglamento.</w:t>
            </w:r>
          </w:p>
          <w:p w:rsidR="003B3309" w:rsidRPr="008A6D51" w:rsidRDefault="003B3309" w:rsidP="00751FDA">
            <w:pPr>
              <w:pStyle w:val="Prrafodelista"/>
              <w:numPr>
                <w:ilvl w:val="0"/>
                <w:numId w:val="21"/>
              </w:numPr>
              <w:spacing w:after="0"/>
              <w:ind w:left="176" w:hanging="142"/>
              <w:contextualSpacing w:val="0"/>
              <w:jc w:val="both"/>
              <w:rPr>
                <w:rFonts w:ascii="Tahoma" w:hAnsi="Tahoma" w:cs="Tahoma"/>
                <w:sz w:val="18"/>
                <w:szCs w:val="18"/>
              </w:rPr>
            </w:pPr>
            <w:r w:rsidRPr="008A6D51">
              <w:rPr>
                <w:rFonts w:ascii="Tahoma" w:hAnsi="Tahoma" w:cs="Tahoma"/>
                <w:sz w:val="18"/>
                <w:szCs w:val="18"/>
              </w:rPr>
              <w:t>Difundir la Ley Integral para una vida libre de violencia para las mujeres.</w:t>
            </w:r>
          </w:p>
        </w:tc>
      </w:tr>
    </w:tbl>
    <w:p w:rsidR="003B3309" w:rsidRPr="007D4916" w:rsidRDefault="003B3309" w:rsidP="003B3309">
      <w:pPr>
        <w:spacing w:line="360" w:lineRule="auto"/>
        <w:jc w:val="both"/>
        <w:rPr>
          <w:rFonts w:ascii="Tahoma" w:hAnsi="Tahoma" w:cs="Tahoma"/>
        </w:rPr>
      </w:pPr>
    </w:p>
    <w:p w:rsidR="003B3309" w:rsidRPr="00BD4D58" w:rsidRDefault="003B3309" w:rsidP="003B3309">
      <w:pPr>
        <w:spacing w:line="360" w:lineRule="auto"/>
        <w:jc w:val="both"/>
        <w:rPr>
          <w:rFonts w:ascii="Tahoma" w:hAnsi="Tahoma" w:cs="Tahoma"/>
        </w:rPr>
      </w:pPr>
      <w:r w:rsidRPr="007D4916">
        <w:rPr>
          <w:rFonts w:ascii="Tahoma" w:hAnsi="Tahoma" w:cs="Tahoma"/>
        </w:rPr>
        <w:t xml:space="preserve">El mecanismo mediante el cual se evaluará el cumplimento de las acciones estratégicas establecidas en el Plan, está definido en el </w:t>
      </w:r>
      <w:r w:rsidRPr="007D4916">
        <w:rPr>
          <w:rFonts w:ascii="Tahoma" w:hAnsi="Tahoma" w:cs="Tahoma"/>
          <w:b/>
          <w:bCs/>
          <w:i/>
          <w:iCs/>
        </w:rPr>
        <w:t xml:space="preserve">Procedimiento: Formulación y Seguimiento al Plan Estratégico Institucional y al Plan Anual Operativo. </w:t>
      </w:r>
    </w:p>
    <w:p w:rsidR="008A6D51" w:rsidRDefault="008A6D51" w:rsidP="004F2F47">
      <w:pPr>
        <w:pStyle w:val="Sinespaciado"/>
        <w:tabs>
          <w:tab w:val="left" w:pos="284"/>
        </w:tabs>
        <w:spacing w:after="200" w:line="360" w:lineRule="auto"/>
        <w:ind w:left="-142"/>
        <w:jc w:val="both"/>
        <w:rPr>
          <w:rFonts w:ascii="Tahoma" w:hAnsi="Tahoma" w:cs="Tahoma"/>
          <w:sz w:val="20"/>
          <w:szCs w:val="20"/>
          <w:lang w:val="es-SV" w:eastAsia="es-ES"/>
        </w:rPr>
      </w:pPr>
    </w:p>
    <w:p w:rsidR="004F2F47" w:rsidRPr="009C091D" w:rsidRDefault="004F2F47" w:rsidP="004F2F47">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4F2F47" w:rsidRDefault="004F2F47" w:rsidP="004F2F47">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6-1645</w:t>
      </w:r>
      <w:r w:rsidRPr="00C70EEA">
        <w:rPr>
          <w:rFonts w:ascii="Tahoma" w:hAnsi="Tahoma" w:cs="Tahoma"/>
          <w:b/>
        </w:rPr>
        <w:t>-2022</w:t>
      </w:r>
      <w:r w:rsidR="00993D5A">
        <w:rPr>
          <w:rFonts w:ascii="Tahoma" w:hAnsi="Tahoma" w:cs="Tahoma"/>
          <w:b/>
        </w:rPr>
        <w:t>.</w:t>
      </w:r>
    </w:p>
    <w:p w:rsidR="00993D5A" w:rsidRPr="00C70EEA" w:rsidRDefault="00993D5A" w:rsidP="004F2F47">
      <w:pPr>
        <w:spacing w:line="360" w:lineRule="auto"/>
        <w:jc w:val="both"/>
        <w:rPr>
          <w:rFonts w:ascii="Tahoma" w:hAnsi="Tahoma" w:cs="Tahoma"/>
          <w:b/>
        </w:rPr>
      </w:pPr>
    </w:p>
    <w:p w:rsidR="00D41E7A" w:rsidRPr="00993D5A" w:rsidRDefault="00751FDA" w:rsidP="00751FDA">
      <w:pPr>
        <w:pStyle w:val="Sinespaciado"/>
        <w:numPr>
          <w:ilvl w:val="0"/>
          <w:numId w:val="24"/>
        </w:numPr>
        <w:tabs>
          <w:tab w:val="left" w:pos="284"/>
        </w:tabs>
        <w:spacing w:after="200" w:line="360" w:lineRule="auto"/>
        <w:jc w:val="both"/>
        <w:rPr>
          <w:rFonts w:ascii="Tahoma" w:hAnsi="Tahoma" w:cs="Tahoma"/>
          <w:sz w:val="20"/>
          <w:lang w:val="es-SV"/>
        </w:rPr>
      </w:pPr>
      <w:r w:rsidRPr="00993D5A">
        <w:rPr>
          <w:rFonts w:ascii="Tahoma" w:hAnsi="Tahoma" w:cs="Tahoma"/>
          <w:sz w:val="20"/>
          <w:lang w:val="es-SV"/>
        </w:rPr>
        <w:t xml:space="preserve">Dar visto bueno al Plan Operativo Anual 2023 para la Corporación Salvadoreña de Inversiones.   </w:t>
      </w:r>
    </w:p>
    <w:p w:rsidR="00D41E7A" w:rsidRDefault="00751FDA" w:rsidP="00751FDA">
      <w:pPr>
        <w:pStyle w:val="Sinespaciado"/>
        <w:numPr>
          <w:ilvl w:val="0"/>
          <w:numId w:val="24"/>
        </w:numPr>
        <w:tabs>
          <w:tab w:val="left" w:pos="284"/>
        </w:tabs>
        <w:spacing w:after="200" w:line="360" w:lineRule="auto"/>
        <w:jc w:val="both"/>
        <w:rPr>
          <w:rFonts w:ascii="Tahoma" w:hAnsi="Tahoma" w:cs="Tahoma"/>
          <w:sz w:val="20"/>
          <w:lang w:val="es-SV"/>
        </w:rPr>
      </w:pPr>
      <w:r w:rsidRPr="00993D5A">
        <w:rPr>
          <w:rFonts w:ascii="Tahoma" w:hAnsi="Tahoma" w:cs="Tahoma"/>
          <w:sz w:val="20"/>
          <w:lang w:val="es-SV"/>
        </w:rPr>
        <w:t>Autorizar al Director Presidente de CORSAIN para que someta a aprobación de la Asamblea de Gobernadores, el Plan el Plan Anual Operativo de la Corporación Salvadoreña de Inversiones, de conformidad a lo regulado en el Artículo 66 literal a) de la Ley Orgánica de la Corporación y Artículo 27 de las Normas Técnicas de Control Interno Especificas.</w:t>
      </w:r>
    </w:p>
    <w:p w:rsidR="00700720" w:rsidRPr="00700720" w:rsidRDefault="00700720" w:rsidP="00700720">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700720">
        <w:rPr>
          <w:rFonts w:ascii="Tahoma" w:hAnsi="Tahoma" w:cs="Tahoma"/>
          <w:b/>
          <w:sz w:val="20"/>
          <w:szCs w:val="20"/>
          <w:u w:val="double"/>
          <w:lang w:val="es-SV"/>
        </w:rPr>
        <w:t>INFORMACIÓN CONFIDENCIAL, ART 24 DE LA LAIP.</w:t>
      </w:r>
    </w:p>
    <w:p w:rsidR="004F2F47" w:rsidRDefault="004F2F47" w:rsidP="00700720">
      <w:pPr>
        <w:pStyle w:val="Sinespaciado"/>
        <w:tabs>
          <w:tab w:val="left" w:pos="284"/>
        </w:tabs>
        <w:spacing w:after="200" w:line="360" w:lineRule="auto"/>
        <w:ind w:left="284"/>
        <w:jc w:val="both"/>
        <w:rPr>
          <w:rFonts w:ascii="Tahoma" w:hAnsi="Tahoma" w:cs="Tahoma"/>
          <w:b/>
          <w:sz w:val="20"/>
          <w:szCs w:val="20"/>
          <w:u w:val="double"/>
          <w:lang w:val="es-SV"/>
        </w:rPr>
      </w:pPr>
    </w:p>
    <w:p w:rsidR="00D41E7A" w:rsidRDefault="00D41E7A"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700720" w:rsidRDefault="00700720" w:rsidP="00700720">
      <w:pPr>
        <w:pStyle w:val="Prrafodelista"/>
        <w:spacing w:before="100" w:beforeAutospacing="1" w:after="100" w:afterAutospacing="1" w:line="360" w:lineRule="auto"/>
        <w:jc w:val="both"/>
        <w:rPr>
          <w:rFonts w:ascii="Tahoma" w:hAnsi="Tahoma" w:cs="Tahoma"/>
          <w:color w:val="000000" w:themeColor="text1"/>
          <w:sz w:val="20"/>
          <w:szCs w:val="20"/>
        </w:rPr>
      </w:pPr>
    </w:p>
    <w:p w:rsidR="004F2F47" w:rsidRDefault="004F2F47" w:rsidP="004F2F47">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F2F47">
        <w:rPr>
          <w:rFonts w:ascii="Tahoma" w:hAnsi="Tahoma" w:cs="Tahoma"/>
          <w:b/>
          <w:sz w:val="20"/>
          <w:szCs w:val="20"/>
          <w:u w:val="double"/>
          <w:lang w:val="es-SV"/>
        </w:rPr>
        <w:t>VISTO BUENO PRESUPUESTO INSTITUCIONAL 2023</w:t>
      </w:r>
      <w:r>
        <w:rPr>
          <w:rFonts w:ascii="Tahoma" w:hAnsi="Tahoma" w:cs="Tahoma"/>
          <w:b/>
          <w:sz w:val="20"/>
          <w:szCs w:val="20"/>
          <w:u w:val="double"/>
          <w:lang w:val="es-SV"/>
        </w:rPr>
        <w:t>.</w:t>
      </w:r>
    </w:p>
    <w:p w:rsidR="00993D5A" w:rsidRDefault="00993D5A" w:rsidP="00993D5A">
      <w:pPr>
        <w:spacing w:before="100" w:beforeAutospacing="1" w:after="100" w:afterAutospacing="1" w:line="360" w:lineRule="auto"/>
        <w:jc w:val="both"/>
        <w:rPr>
          <w:rFonts w:ascii="Tahoma" w:hAnsi="Tahoma" w:cs="Tahoma"/>
        </w:rPr>
      </w:pPr>
      <w:r>
        <w:rPr>
          <w:rFonts w:ascii="Tahoma" w:hAnsi="Tahoma" w:cs="Tahoma"/>
        </w:rPr>
        <w:t>El Director Presidente de la Corporación, somete a consideración de los miembros del Consejo Directivo, el VISTO BUENO</w:t>
      </w:r>
      <w:r w:rsidRPr="0090098D">
        <w:rPr>
          <w:rFonts w:ascii="Tahoma" w:hAnsi="Tahoma" w:cs="Tahoma"/>
        </w:rPr>
        <w:t xml:space="preserve"> AL PRESUPUESTO INSTITUCIONAL 2023</w:t>
      </w:r>
      <w:r w:rsidRPr="005F1A00">
        <w:rPr>
          <w:rFonts w:ascii="Tahoma" w:hAnsi="Tahoma" w:cs="Tahoma"/>
        </w:rPr>
        <w:t>,</w:t>
      </w:r>
      <w:r>
        <w:rPr>
          <w:rFonts w:ascii="Tahoma" w:hAnsi="Tahoma" w:cs="Tahoma"/>
        </w:rPr>
        <w:t xml:space="preserve"> cede la palabra al Licenciado</w:t>
      </w:r>
      <w:r w:rsidR="00700720">
        <w:rPr>
          <w:rFonts w:ascii="Tahoma" w:hAnsi="Tahoma" w:cs="Tahoma"/>
        </w:rPr>
        <w:t xml:space="preserve">                                 </w:t>
      </w:r>
      <w:r>
        <w:rPr>
          <w:rFonts w:ascii="Tahoma" w:hAnsi="Tahoma" w:cs="Tahoma"/>
        </w:rPr>
        <w:t>, Jefe de Presupuesto  y expone la base legal para el proceso de formulación del presupuesto institucional:</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Ley Orgánica de la Corporación. Arts. 47,62, 66</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Ley AFI. Arts.  29,33 (priorización para asignación de recursos, remisión).</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Reglamento de la Ley AFI. Art. 44,45 (Normas, presentación).</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Procedimiento de formulación y aprobación del presupuesto Institucional aprobado por la presidencia de CORSAIN.</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Normas y Política de Formulación Presupuestaria 2022 (Por Áreas de Gestión).</w:t>
      </w:r>
    </w:p>
    <w:p w:rsidR="00993D5A" w:rsidRPr="002D4F94" w:rsidRDefault="00993D5A" w:rsidP="00751FDA">
      <w:pPr>
        <w:numPr>
          <w:ilvl w:val="0"/>
          <w:numId w:val="25"/>
        </w:numPr>
        <w:spacing w:before="100" w:beforeAutospacing="1" w:after="100" w:afterAutospacing="1" w:line="360" w:lineRule="auto"/>
        <w:jc w:val="both"/>
        <w:rPr>
          <w:rFonts w:ascii="Tahoma" w:hAnsi="Tahoma" w:cs="Tahoma"/>
        </w:rPr>
      </w:pPr>
      <w:r w:rsidRPr="002D4F94">
        <w:rPr>
          <w:rFonts w:ascii="Tahoma" w:hAnsi="Tahoma" w:cs="Tahoma"/>
        </w:rPr>
        <w:t>Manual de Clasificación de las Transacciones Financieras del Sector Público.</w:t>
      </w:r>
    </w:p>
    <w:p w:rsidR="00993D5A" w:rsidRDefault="00993D5A" w:rsidP="00993D5A">
      <w:pPr>
        <w:spacing w:before="100" w:beforeAutospacing="1" w:after="100" w:afterAutospacing="1" w:line="360" w:lineRule="auto"/>
        <w:jc w:val="both"/>
        <w:rPr>
          <w:rFonts w:ascii="Tahoma" w:hAnsi="Tahoma" w:cs="Tahoma"/>
        </w:rPr>
      </w:pPr>
      <w:r>
        <w:rPr>
          <w:rFonts w:ascii="Tahoma" w:hAnsi="Tahoma" w:cs="Tahoma"/>
        </w:rPr>
        <w:t>El Consejo Directivo dio visto bueno a los lineamientos presupuestarios en sesión 1644 de fecha 29 de agosto del corriente año, dichos lineamientos se utilizaron como base para la formulación del presupuesto institucional 2023.</w:t>
      </w:r>
    </w:p>
    <w:p w:rsidR="00993D5A" w:rsidRDefault="00993D5A" w:rsidP="00993D5A">
      <w:pPr>
        <w:spacing w:before="100" w:beforeAutospacing="1" w:after="100" w:afterAutospacing="1" w:line="360" w:lineRule="auto"/>
        <w:jc w:val="both"/>
        <w:rPr>
          <w:rFonts w:ascii="Tahoma" w:hAnsi="Tahoma" w:cs="Tahoma"/>
        </w:rPr>
      </w:pPr>
      <w:r>
        <w:rPr>
          <w:rFonts w:ascii="Tahoma" w:hAnsi="Tahoma" w:cs="Tahoma"/>
        </w:rPr>
        <w:t xml:space="preserve">Se presenta  a continuación el Presupuesto Institucional de Ingresos y de Egresos </w:t>
      </w:r>
      <w:r w:rsidRPr="00FB2F60">
        <w:rPr>
          <w:rFonts w:ascii="Tahoma" w:hAnsi="Tahoma" w:cs="Tahoma"/>
        </w:rPr>
        <w:t xml:space="preserve">2023, necesario </w:t>
      </w:r>
      <w:r>
        <w:rPr>
          <w:rFonts w:ascii="Tahoma" w:hAnsi="Tahoma" w:cs="Tahoma"/>
        </w:rPr>
        <w:t>para que la administración realice las operaciones de forma eficiente en dicho ejercicio:</w:t>
      </w:r>
    </w:p>
    <w:p w:rsidR="008A6D51" w:rsidRDefault="008A6D51" w:rsidP="00993D5A">
      <w:pPr>
        <w:jc w:val="center"/>
        <w:rPr>
          <w:rFonts w:ascii="Tahoma" w:hAnsi="Tahoma" w:cs="Tahoma"/>
          <w:b/>
          <w:bCs/>
        </w:rPr>
      </w:pPr>
    </w:p>
    <w:p w:rsidR="008A6D51" w:rsidRDefault="008A6D51" w:rsidP="00993D5A">
      <w:pPr>
        <w:jc w:val="center"/>
        <w:rPr>
          <w:rFonts w:ascii="Tahoma" w:hAnsi="Tahoma" w:cs="Tahoma"/>
          <w:b/>
          <w:bCs/>
        </w:rPr>
      </w:pPr>
    </w:p>
    <w:p w:rsidR="008A6D51" w:rsidRDefault="008A6D51" w:rsidP="00993D5A">
      <w:pPr>
        <w:jc w:val="center"/>
        <w:rPr>
          <w:rFonts w:ascii="Tahoma" w:hAnsi="Tahoma" w:cs="Tahoma"/>
          <w:b/>
          <w:bCs/>
        </w:rPr>
      </w:pPr>
    </w:p>
    <w:p w:rsidR="008A6D51" w:rsidRDefault="008A6D51" w:rsidP="00993D5A">
      <w:pPr>
        <w:jc w:val="center"/>
        <w:rPr>
          <w:rFonts w:ascii="Tahoma" w:hAnsi="Tahoma" w:cs="Tahoma"/>
          <w:b/>
          <w:bCs/>
        </w:rPr>
      </w:pPr>
    </w:p>
    <w:p w:rsidR="00993D5A" w:rsidRPr="006240D3" w:rsidRDefault="00993D5A" w:rsidP="00993D5A">
      <w:pPr>
        <w:jc w:val="center"/>
        <w:rPr>
          <w:rFonts w:ascii="Tahoma" w:hAnsi="Tahoma" w:cs="Tahoma"/>
        </w:rPr>
      </w:pPr>
      <w:r w:rsidRPr="006240D3">
        <w:rPr>
          <w:rFonts w:ascii="Tahoma" w:hAnsi="Tahoma" w:cs="Tahoma"/>
          <w:b/>
          <w:bCs/>
        </w:rPr>
        <w:t xml:space="preserve">PRESUPUESTO DE INGRESOS </w:t>
      </w:r>
      <w:r>
        <w:rPr>
          <w:rFonts w:ascii="Tahoma" w:hAnsi="Tahoma" w:cs="Tahoma"/>
          <w:b/>
          <w:bCs/>
        </w:rPr>
        <w:t>INSTITUCIONAL 2023</w:t>
      </w:r>
    </w:p>
    <w:p w:rsidR="00993D5A" w:rsidRDefault="00993D5A" w:rsidP="00993D5A">
      <w:pPr>
        <w:jc w:val="center"/>
        <w:rPr>
          <w:rFonts w:ascii="Tahoma" w:hAnsi="Tahoma" w:cs="Tahoma"/>
        </w:rPr>
      </w:pPr>
      <w:r w:rsidRPr="006240D3">
        <w:rPr>
          <w:rFonts w:ascii="Tahoma" w:hAnsi="Tahoma" w:cs="Tahoma"/>
        </w:rPr>
        <w:t>(US $ DOLARES)</w:t>
      </w:r>
    </w:p>
    <w:p w:rsidR="008A6D51" w:rsidRDefault="008A6D51" w:rsidP="00993D5A">
      <w:pPr>
        <w:jc w:val="center"/>
        <w:rPr>
          <w:rFonts w:ascii="Tahoma" w:hAnsi="Tahoma" w:cs="Tahoma"/>
        </w:rPr>
      </w:pPr>
    </w:p>
    <w:p w:rsidR="00993D5A" w:rsidRPr="006240D3" w:rsidRDefault="008A6D51" w:rsidP="00993D5A">
      <w:pPr>
        <w:jc w:val="center"/>
        <w:rPr>
          <w:rFonts w:ascii="Tahoma" w:hAnsi="Tahoma" w:cs="Tahoma"/>
        </w:rPr>
      </w:pPr>
      <w:r>
        <w:rPr>
          <w:rFonts w:ascii="Tahoma" w:hAnsi="Tahoma" w:cs="Tahoma"/>
          <w:noProof/>
          <w:lang w:val="es-SV" w:eastAsia="es-SV"/>
        </w:rPr>
        <w:lastRenderedPageBreak/>
        <w:drawing>
          <wp:inline distT="0" distB="0" distL="0" distR="0" wp14:anchorId="34480138" wp14:editId="4963938A">
            <wp:extent cx="5629392" cy="219465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3548" cy="2215770"/>
                    </a:xfrm>
                    <a:prstGeom prst="rect">
                      <a:avLst/>
                    </a:prstGeom>
                    <a:noFill/>
                  </pic:spPr>
                </pic:pic>
              </a:graphicData>
            </a:graphic>
          </wp:inline>
        </w:drawing>
      </w:r>
    </w:p>
    <w:p w:rsidR="00B05F5F" w:rsidRDefault="00B05F5F" w:rsidP="00993D5A">
      <w:pPr>
        <w:jc w:val="center"/>
        <w:rPr>
          <w:rFonts w:ascii="Tahoma" w:hAnsi="Tahoma" w:cs="Tahoma"/>
          <w:b/>
          <w:bCs/>
        </w:rPr>
      </w:pPr>
    </w:p>
    <w:p w:rsidR="00993D5A" w:rsidRPr="006240D3" w:rsidRDefault="00993D5A" w:rsidP="00993D5A">
      <w:pPr>
        <w:jc w:val="center"/>
        <w:rPr>
          <w:rFonts w:ascii="Tahoma" w:hAnsi="Tahoma" w:cs="Tahoma"/>
        </w:rPr>
      </w:pPr>
      <w:r w:rsidRPr="006240D3">
        <w:rPr>
          <w:rFonts w:ascii="Tahoma" w:hAnsi="Tahoma" w:cs="Tahoma"/>
          <w:b/>
          <w:bCs/>
        </w:rPr>
        <w:t>PRESUPUESTO DE EGRESOS</w:t>
      </w:r>
      <w:r>
        <w:rPr>
          <w:rFonts w:ascii="Tahoma" w:hAnsi="Tahoma" w:cs="Tahoma"/>
          <w:b/>
          <w:bCs/>
        </w:rPr>
        <w:t xml:space="preserve"> INSTITUCIONAL 2023</w:t>
      </w:r>
    </w:p>
    <w:p w:rsidR="00993D5A" w:rsidRDefault="00993D5A" w:rsidP="00993D5A">
      <w:pPr>
        <w:jc w:val="center"/>
        <w:rPr>
          <w:rFonts w:ascii="Tahoma" w:hAnsi="Tahoma" w:cs="Tahoma"/>
        </w:rPr>
      </w:pPr>
      <w:r w:rsidRPr="006240D3">
        <w:rPr>
          <w:rFonts w:ascii="Tahoma" w:hAnsi="Tahoma" w:cs="Tahoma"/>
        </w:rPr>
        <w:t>(US $ DOLARES)</w:t>
      </w:r>
    </w:p>
    <w:p w:rsidR="00993D5A" w:rsidRDefault="00993D5A" w:rsidP="008A6D51">
      <w:pPr>
        <w:spacing w:before="100" w:beforeAutospacing="1" w:after="100" w:afterAutospacing="1" w:line="360" w:lineRule="auto"/>
        <w:jc w:val="center"/>
        <w:rPr>
          <w:rFonts w:ascii="Tahoma" w:hAnsi="Tahoma" w:cs="Tahoma"/>
        </w:rPr>
      </w:pPr>
      <w:r>
        <w:rPr>
          <w:rFonts w:ascii="Tahoma" w:hAnsi="Tahoma" w:cs="Tahoma"/>
          <w:noProof/>
          <w:lang w:val="es-SV" w:eastAsia="es-SV"/>
        </w:rPr>
        <w:drawing>
          <wp:inline distT="0" distB="0" distL="0" distR="0" wp14:anchorId="629DCA56" wp14:editId="5A682F31">
            <wp:extent cx="5638800" cy="1903207"/>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096" cy="1922208"/>
                    </a:xfrm>
                    <a:prstGeom prst="rect">
                      <a:avLst/>
                    </a:prstGeom>
                    <a:noFill/>
                  </pic:spPr>
                </pic:pic>
              </a:graphicData>
            </a:graphic>
          </wp:inline>
        </w:drawing>
      </w:r>
    </w:p>
    <w:p w:rsidR="00993D5A" w:rsidRPr="006E1845" w:rsidRDefault="00993D5A" w:rsidP="00993D5A">
      <w:pPr>
        <w:spacing w:before="100" w:beforeAutospacing="1" w:after="100" w:afterAutospacing="1" w:line="360" w:lineRule="auto"/>
        <w:jc w:val="both"/>
        <w:rPr>
          <w:rFonts w:ascii="Tahoma" w:hAnsi="Tahoma" w:cs="Tahoma"/>
          <w:b/>
          <w:u w:val="single"/>
        </w:rPr>
      </w:pPr>
      <w:r w:rsidRPr="006E1845">
        <w:rPr>
          <w:rFonts w:ascii="Tahoma" w:hAnsi="Tahoma" w:cs="Tahoma"/>
          <w:b/>
          <w:u w:val="single"/>
        </w:rPr>
        <w:t xml:space="preserve">PRINCIPALES </w:t>
      </w:r>
      <w:r>
        <w:rPr>
          <w:rFonts w:ascii="Tahoma" w:hAnsi="Tahoma" w:cs="Tahoma"/>
          <w:b/>
          <w:u w:val="single"/>
        </w:rPr>
        <w:t>CONSIDERACIONES</w:t>
      </w:r>
    </w:p>
    <w:p w:rsidR="00993D5A" w:rsidRPr="006E1845" w:rsidRDefault="00993D5A" w:rsidP="00993D5A">
      <w:pPr>
        <w:spacing w:before="100" w:beforeAutospacing="1" w:after="100" w:afterAutospacing="1" w:line="360" w:lineRule="auto"/>
        <w:jc w:val="both"/>
        <w:rPr>
          <w:rFonts w:ascii="Tahoma" w:hAnsi="Tahoma" w:cs="Tahoma"/>
          <w:b/>
        </w:rPr>
      </w:pPr>
      <w:r w:rsidRPr="006E1845">
        <w:rPr>
          <w:rFonts w:ascii="Tahoma" w:hAnsi="Tahoma" w:cs="Tahoma"/>
          <w:b/>
        </w:rPr>
        <w:t>INGRESOS:</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Para la estimación de los ingresos por servicios portuarios se ha considerado la ejecución del ejercicio 2022 y el ajuste en el pliego tarifario aprobado por la AMP.</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 xml:space="preserve">Los principales ingresos del rubro </w:t>
      </w:r>
      <w:r w:rsidRPr="0089286D">
        <w:rPr>
          <w:rFonts w:ascii="Tahoma" w:hAnsi="Tahoma" w:cs="Tahoma"/>
        </w:rPr>
        <w:t xml:space="preserve">14 Venta de Bienes y Servicios </w:t>
      </w:r>
      <w:r w:rsidRPr="00227642">
        <w:rPr>
          <w:rFonts w:ascii="Tahoma" w:hAnsi="Tahoma" w:cs="Tahoma"/>
        </w:rPr>
        <w:t>son los servicios portuarios $2,385,198.00 y los ingresos por reparaciones navales por $514,150.00. Ambos IVA incluido</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Se han proyectado la distribución de dividendos de años anteriores de INSINCA y de las utilidade</w:t>
      </w:r>
      <w:r>
        <w:rPr>
          <w:rFonts w:ascii="Tahoma" w:hAnsi="Tahoma" w:cs="Tahoma"/>
        </w:rPr>
        <w:t>s del ejercicio 2022 de DIZUCAR; por $275,000.00 entre ambas sociedades.</w:t>
      </w:r>
    </w:p>
    <w:p w:rsidR="00993D5A"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Formarán parte importante de los ingresos el uso de los Depósitos a Plazo para garantizar principalmente la ejecución de la reparación de muelle, mejoras a los remolcadores de CORSAIN, equipos informáticos, licencias, mejoras en la red eléctrica de Puerto, estudios para los proyectos de ampliación de Varadero, Planta Fotovoltaica y Terminal de Almacenamiento y Distribución de Combustible.</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lang w:val="es-ES"/>
        </w:rPr>
        <w:t>Se proyecta rentabilidad de depósitos a plazo por $285,050.00</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lang w:val="es-ES"/>
        </w:rPr>
        <w:t>Se proyectan ingresos por arrendamientos de bienes muebles e inmuebles en Puerto CORSAIN por $271,192.00 IVA incluido.</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rPr>
          <w:rFonts w:ascii="Tahoma" w:hAnsi="Tahoma" w:cs="Tahoma"/>
        </w:rPr>
      </w:pPr>
      <w:r w:rsidRPr="00227642">
        <w:rPr>
          <w:rFonts w:ascii="Tahoma" w:hAnsi="Tahoma" w:cs="Tahoma"/>
          <w:lang w:val="es-ES"/>
        </w:rPr>
        <w:t>Recuperación de capital de la cartera de préstamos por $81,300.00</w:t>
      </w:r>
    </w:p>
    <w:p w:rsidR="00AD7594" w:rsidRDefault="00AD7594" w:rsidP="00993D5A">
      <w:pPr>
        <w:spacing w:before="100" w:beforeAutospacing="1" w:after="100" w:afterAutospacing="1" w:line="360" w:lineRule="auto"/>
        <w:jc w:val="both"/>
        <w:rPr>
          <w:rFonts w:ascii="Tahoma" w:hAnsi="Tahoma" w:cs="Tahoma"/>
          <w:b/>
        </w:rPr>
      </w:pPr>
    </w:p>
    <w:p w:rsidR="00993D5A" w:rsidRPr="006E1845" w:rsidRDefault="00993D5A" w:rsidP="00993D5A">
      <w:pPr>
        <w:spacing w:before="100" w:beforeAutospacing="1" w:after="100" w:afterAutospacing="1" w:line="360" w:lineRule="auto"/>
        <w:jc w:val="both"/>
        <w:rPr>
          <w:rFonts w:ascii="Tahoma" w:hAnsi="Tahoma" w:cs="Tahoma"/>
          <w:b/>
        </w:rPr>
      </w:pPr>
      <w:r w:rsidRPr="006E1845">
        <w:rPr>
          <w:rFonts w:ascii="Tahoma" w:hAnsi="Tahoma" w:cs="Tahoma"/>
          <w:b/>
        </w:rPr>
        <w:t>EGRESOS:</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lastRenderedPageBreak/>
        <w:t xml:space="preserve">El rubro 51 de Remuneraciones se ha </w:t>
      </w:r>
      <w:r w:rsidRPr="00227642">
        <w:rPr>
          <w:rFonts w:ascii="Tahoma" w:hAnsi="Tahoma" w:cs="Tahoma"/>
          <w:u w:val="single"/>
        </w:rPr>
        <w:t xml:space="preserve">disminuido </w:t>
      </w:r>
      <w:r w:rsidRPr="00227642">
        <w:rPr>
          <w:rFonts w:ascii="Tahoma" w:hAnsi="Tahoma" w:cs="Tahoma"/>
        </w:rPr>
        <w:t>en $510,259.00 respecto a lo aprobado para el ejercicio 2022.</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El Rubro 54 Adquisición de Bienes y Servicios por $1,589,366.00, constituye el segundo rubro más importante del gasto corriente e incluye gastos ineludibles como el mantenimiento de bienes muebles e inmuebles, servicios básicos, seguridad, así como estudios para proyectos por $203,400.00, reparación de remolcadores de CORSAIN por $216,033.00</w:t>
      </w:r>
    </w:p>
    <w:p w:rsidR="00993D5A"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El aumento del rubro 55 de Gastos Financieros se debe principalmente al aumento en las primas de los seguros de bienes de Puerto CORSAIN, esto debido las mejoras al muelle, mejoras a los remolcadores de la Corporación y el incremento en las primas del seguro.</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lang w:val="es-ES"/>
        </w:rPr>
        <w:t>El rubro 61 de Inversión en Activos Fijos muestra un incremento por $314,475.00 con relación al año 2022, y básicamente está sustentado con la inversión de Muelle por $913,824.00, que forma parte del plan de inversiones y mantenimientos que se presenta a la AMP y que es requisito indispensable para la certificación de Puerto Seguro. También se incluyen las mejoras a la red eléctrica por $96,050.00</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lang w:val="es-ES"/>
        </w:rPr>
        <w:t>Inversión en equipo informático y licencias por $186,224.00 indispensables para garantizar el buen funcionamiento y para la implementación del Plan de Modernización e Innovación Institucional (PEMII).</w:t>
      </w:r>
    </w:p>
    <w:p w:rsidR="00993D5A" w:rsidRPr="00227642"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lang w:val="es-ES"/>
        </w:rPr>
        <w:t>Inversión en Planta telefónica por $33,900.00 debido a que la actual está desactualizada y está fuera del soporte técnico del fabricante.</w:t>
      </w:r>
    </w:p>
    <w:p w:rsidR="00993D5A" w:rsidRDefault="00993D5A" w:rsidP="00751FDA">
      <w:pPr>
        <w:numPr>
          <w:ilvl w:val="1"/>
          <w:numId w:val="26"/>
        </w:numPr>
        <w:tabs>
          <w:tab w:val="clear" w:pos="1440"/>
          <w:tab w:val="num" w:pos="993"/>
        </w:tabs>
        <w:spacing w:before="100" w:beforeAutospacing="1" w:after="100" w:afterAutospacing="1" w:line="360" w:lineRule="auto"/>
        <w:ind w:left="851" w:hanging="425"/>
        <w:jc w:val="both"/>
        <w:rPr>
          <w:rFonts w:ascii="Tahoma" w:hAnsi="Tahoma" w:cs="Tahoma"/>
        </w:rPr>
      </w:pPr>
      <w:r w:rsidRPr="00227642">
        <w:rPr>
          <w:rFonts w:ascii="Tahoma" w:hAnsi="Tahoma" w:cs="Tahoma"/>
        </w:rPr>
        <w:t>El rubro 54 Adquisición de Bienes y Servicios y el rubro 61 Inversiones en Activos Fijos, son principalmente los que permitirán ejecutar el Plan de Mantenimiento y el Plan de Inversiones de Puerto CORSAIN que se reporta a la Autoridad Marítima Portuaria (AMP), lo cual constituye un compromiso importante para CORSAIN, ya que respalda la aprobación del Pliego Tarifario vigente y la Certificación de Puerto Seguro Internacional, dado por dicha autoridad.</w:t>
      </w:r>
    </w:p>
    <w:p w:rsidR="004F2F47" w:rsidRPr="009C091D" w:rsidRDefault="004F2F47" w:rsidP="004F2F47">
      <w:pPr>
        <w:pStyle w:val="Sinespaciado"/>
        <w:tabs>
          <w:tab w:val="left" w:pos="284"/>
        </w:tabs>
        <w:spacing w:after="200" w:line="360" w:lineRule="auto"/>
        <w:ind w:left="-142"/>
        <w:jc w:val="both"/>
        <w:rPr>
          <w:rFonts w:ascii="Tahoma" w:hAnsi="Tahoma" w:cs="Tahoma"/>
          <w:sz w:val="20"/>
          <w:szCs w:val="20"/>
          <w:lang w:val="es-SV" w:eastAsia="es-ES"/>
        </w:rPr>
      </w:pPr>
      <w:r w:rsidRPr="009C091D">
        <w:rPr>
          <w:rFonts w:ascii="Tahoma" w:hAnsi="Tahoma" w:cs="Tahoma"/>
          <w:sz w:val="20"/>
          <w:szCs w:val="20"/>
          <w:lang w:val="es-SV" w:eastAsia="es-ES"/>
        </w:rPr>
        <w:t>El Consejo Directivo, toma nota de la presentación la cual se agrega al libro de anexos, y ACUERDA:</w:t>
      </w:r>
    </w:p>
    <w:p w:rsidR="004F2F47" w:rsidRDefault="004F2F47" w:rsidP="004F2F47">
      <w:pPr>
        <w:spacing w:line="360" w:lineRule="auto"/>
        <w:jc w:val="both"/>
        <w:rPr>
          <w:rFonts w:ascii="Tahoma" w:hAnsi="Tahoma" w:cs="Tahoma"/>
          <w:b/>
        </w:rPr>
      </w:pPr>
      <w:r w:rsidRPr="00C70EEA">
        <w:rPr>
          <w:rFonts w:ascii="Tahoma" w:hAnsi="Tahoma" w:cs="Tahoma"/>
          <w:b/>
        </w:rPr>
        <w:t xml:space="preserve">ACUERDO </w:t>
      </w:r>
      <w:r>
        <w:rPr>
          <w:rFonts w:ascii="Tahoma" w:hAnsi="Tahoma" w:cs="Tahoma"/>
          <w:b/>
        </w:rPr>
        <w:t>8-1645</w:t>
      </w:r>
      <w:r w:rsidRPr="00C70EEA">
        <w:rPr>
          <w:rFonts w:ascii="Tahoma" w:hAnsi="Tahoma" w:cs="Tahoma"/>
          <w:b/>
        </w:rPr>
        <w:t>-2022</w:t>
      </w:r>
    </w:p>
    <w:p w:rsidR="00D41E7A" w:rsidRPr="00993D5A" w:rsidRDefault="00751FDA" w:rsidP="00751FDA">
      <w:pPr>
        <w:pStyle w:val="Prrafodelista"/>
        <w:numPr>
          <w:ilvl w:val="0"/>
          <w:numId w:val="27"/>
        </w:numPr>
        <w:spacing w:before="100" w:beforeAutospacing="1" w:after="100" w:afterAutospacing="1" w:line="360" w:lineRule="auto"/>
        <w:jc w:val="both"/>
        <w:rPr>
          <w:rFonts w:ascii="Tahoma" w:hAnsi="Tahoma" w:cs="Tahoma"/>
          <w:color w:val="000000" w:themeColor="text1"/>
          <w:sz w:val="20"/>
          <w:szCs w:val="20"/>
        </w:rPr>
      </w:pPr>
      <w:r w:rsidRPr="00993D5A">
        <w:rPr>
          <w:rFonts w:ascii="Tahoma" w:hAnsi="Tahoma" w:cs="Tahoma"/>
          <w:color w:val="000000" w:themeColor="text1"/>
          <w:sz w:val="20"/>
          <w:szCs w:val="20"/>
        </w:rPr>
        <w:t>Dar el visto bueno al Presupuesto 2023 de la Corporación Salvadoreña de Inversiones, con el fin de proveer los recursos necesarios a la institución, para alcanzar los objetivos estratégicos institucionales propuestos y poder ejecutar el Plan Operativo Anual de acuerdo a la Misión de CORSAIN.</w:t>
      </w:r>
    </w:p>
    <w:p w:rsidR="00993D5A" w:rsidRDefault="00993D5A" w:rsidP="00751FDA">
      <w:pPr>
        <w:pStyle w:val="Prrafodelista"/>
        <w:numPr>
          <w:ilvl w:val="0"/>
          <w:numId w:val="27"/>
        </w:numPr>
        <w:spacing w:before="100" w:beforeAutospacing="1" w:after="100" w:afterAutospacing="1" w:line="360" w:lineRule="auto"/>
        <w:jc w:val="both"/>
        <w:rPr>
          <w:rFonts w:ascii="Tahoma" w:hAnsi="Tahoma" w:cs="Tahoma"/>
          <w:color w:val="000000" w:themeColor="text1"/>
          <w:sz w:val="20"/>
          <w:szCs w:val="20"/>
        </w:rPr>
      </w:pPr>
      <w:r w:rsidRPr="00993D5A">
        <w:rPr>
          <w:rFonts w:ascii="Tahoma" w:hAnsi="Tahoma" w:cs="Tahoma"/>
          <w:color w:val="000000" w:themeColor="text1"/>
          <w:sz w:val="20"/>
          <w:szCs w:val="20"/>
        </w:rPr>
        <w:t>Autorizar al Director Presidente de la Corporación para que presente el presupuesto 2023 a la Asamblea de Gobernadores, para su aprobación.</w:t>
      </w:r>
    </w:p>
    <w:p w:rsidR="00E55B7B" w:rsidRPr="00993D5A" w:rsidRDefault="00E55B7B" w:rsidP="00E55B7B">
      <w:pPr>
        <w:pStyle w:val="Prrafodelista"/>
        <w:spacing w:before="100" w:beforeAutospacing="1" w:after="100" w:afterAutospacing="1" w:line="360" w:lineRule="auto"/>
        <w:jc w:val="both"/>
        <w:rPr>
          <w:rFonts w:ascii="Tahoma" w:hAnsi="Tahoma" w:cs="Tahoma"/>
          <w:color w:val="000000" w:themeColor="text1"/>
          <w:sz w:val="20"/>
          <w:szCs w:val="20"/>
        </w:rPr>
      </w:pPr>
    </w:p>
    <w:p w:rsidR="00E55B7B" w:rsidRPr="00E55B7B" w:rsidRDefault="00E55B7B" w:rsidP="00E55B7B">
      <w:pPr>
        <w:pStyle w:val="Prrafodelista"/>
        <w:numPr>
          <w:ilvl w:val="0"/>
          <w:numId w:val="11"/>
        </w:numPr>
        <w:rPr>
          <w:rFonts w:ascii="Tahoma" w:hAnsi="Tahoma" w:cs="Tahoma"/>
          <w:b/>
          <w:sz w:val="20"/>
          <w:szCs w:val="20"/>
          <w:u w:val="double"/>
          <w:lang w:eastAsia="en-US"/>
        </w:rPr>
      </w:pPr>
      <w:r w:rsidRPr="00E55B7B">
        <w:rPr>
          <w:rFonts w:ascii="Tahoma" w:hAnsi="Tahoma" w:cs="Tahoma"/>
          <w:b/>
          <w:sz w:val="20"/>
          <w:szCs w:val="20"/>
          <w:u w:val="double"/>
          <w:lang w:eastAsia="en-US"/>
        </w:rPr>
        <w:t>INFORMACIÓN CONFIDENCIAL, ART 24 DE LA LAIP.</w:t>
      </w:r>
    </w:p>
    <w:p w:rsidR="004F2F47" w:rsidRDefault="004F2F47" w:rsidP="00E55B7B">
      <w:pPr>
        <w:pStyle w:val="Sinespaciado"/>
        <w:tabs>
          <w:tab w:val="left" w:pos="284"/>
        </w:tabs>
        <w:spacing w:after="200" w:line="360" w:lineRule="auto"/>
        <w:ind w:left="284"/>
        <w:jc w:val="both"/>
        <w:rPr>
          <w:rFonts w:ascii="Tahoma" w:hAnsi="Tahoma" w:cs="Tahoma"/>
          <w:b/>
          <w:sz w:val="20"/>
          <w:szCs w:val="20"/>
          <w:u w:val="double"/>
          <w:lang w:val="es-SV"/>
        </w:rPr>
      </w:pPr>
    </w:p>
    <w:p w:rsidR="00D41E7A" w:rsidRDefault="00D41E7A"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Default="00E55B7B" w:rsidP="00E55B7B">
      <w:pPr>
        <w:spacing w:line="360" w:lineRule="auto"/>
        <w:ind w:left="720"/>
        <w:jc w:val="both"/>
        <w:rPr>
          <w:rFonts w:ascii="Tahoma" w:hAnsi="Tahoma" w:cs="Tahoma"/>
          <w:lang w:val="es-SV"/>
        </w:rPr>
      </w:pPr>
    </w:p>
    <w:p w:rsidR="00E55B7B" w:rsidRPr="00AD7594" w:rsidRDefault="00E55B7B" w:rsidP="00E55B7B">
      <w:pPr>
        <w:spacing w:line="360" w:lineRule="auto"/>
        <w:ind w:left="720"/>
        <w:jc w:val="both"/>
        <w:rPr>
          <w:rFonts w:ascii="Tahoma" w:hAnsi="Tahoma" w:cs="Tahoma"/>
          <w:lang w:val="es-SV"/>
        </w:rPr>
      </w:pPr>
    </w:p>
    <w:p w:rsidR="00AD7594" w:rsidRPr="00AD7594" w:rsidRDefault="00AD7594" w:rsidP="00AD7594">
      <w:pPr>
        <w:spacing w:line="360" w:lineRule="auto"/>
        <w:ind w:left="720"/>
        <w:jc w:val="both"/>
        <w:rPr>
          <w:rFonts w:ascii="Tahoma" w:hAnsi="Tahoma" w:cs="Tahoma"/>
          <w:lang w:val="es-SV"/>
        </w:rPr>
      </w:pPr>
    </w:p>
    <w:p w:rsidR="00E55B7B" w:rsidRPr="00327CBB" w:rsidRDefault="00E55B7B" w:rsidP="00E55B7B">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sidRPr="00327CBB">
        <w:rPr>
          <w:rFonts w:ascii="Tahoma" w:hAnsi="Tahoma" w:cs="Tahoma"/>
          <w:b/>
          <w:sz w:val="20"/>
          <w:szCs w:val="20"/>
          <w:u w:val="double"/>
          <w:lang w:val="es-SV"/>
        </w:rPr>
        <w:t>INFORMACIÓN CONFIDENCIAL, ART 24 DE LA LAIP.</w:t>
      </w:r>
    </w:p>
    <w:p w:rsidR="00AD7594" w:rsidRDefault="00AD7594" w:rsidP="00E55B7B">
      <w:pPr>
        <w:pStyle w:val="Sinespaciado"/>
        <w:tabs>
          <w:tab w:val="left" w:pos="284"/>
        </w:tabs>
        <w:spacing w:after="200" w:line="360" w:lineRule="auto"/>
        <w:ind w:left="284"/>
        <w:jc w:val="both"/>
        <w:rPr>
          <w:rFonts w:ascii="Tahoma" w:hAnsi="Tahoma" w:cs="Tahoma"/>
          <w:b/>
          <w:sz w:val="20"/>
          <w:szCs w:val="20"/>
          <w:u w:val="double"/>
          <w:lang w:val="es-SV"/>
        </w:rPr>
      </w:pPr>
    </w:p>
    <w:p w:rsidR="00AD7594" w:rsidRDefault="00AD7594"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bookmarkStart w:id="0" w:name="_GoBack"/>
      <w:bookmarkEnd w:id="0"/>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E55B7B" w:rsidRDefault="00E55B7B" w:rsidP="00AD7594">
      <w:pPr>
        <w:spacing w:line="360" w:lineRule="auto"/>
        <w:jc w:val="both"/>
        <w:rPr>
          <w:rFonts w:ascii="Tahoma" w:hAnsi="Tahoma" w:cs="Tahoma"/>
          <w:b/>
        </w:rPr>
      </w:pPr>
    </w:p>
    <w:p w:rsidR="00536D10" w:rsidRPr="000C7EBC" w:rsidRDefault="00697279" w:rsidP="004F743D">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0C7EBC">
        <w:rPr>
          <w:rFonts w:ascii="Tahoma" w:hAnsi="Tahoma" w:cs="Tahoma"/>
          <w:sz w:val="20"/>
          <w:szCs w:val="20"/>
          <w:lang w:val="es-SV"/>
        </w:rPr>
        <w:t>No habiendo nada más que hacer constar, se da</w:t>
      </w:r>
      <w:r w:rsidR="00C11DDD" w:rsidRPr="000C7EBC">
        <w:rPr>
          <w:rFonts w:ascii="Tahoma" w:hAnsi="Tahoma" w:cs="Tahoma"/>
          <w:sz w:val="20"/>
          <w:szCs w:val="20"/>
          <w:lang w:val="es-SV"/>
        </w:rPr>
        <w:t xml:space="preserve"> por finalizada la sesión </w:t>
      </w:r>
      <w:r w:rsidR="00791C84" w:rsidRPr="000C7EBC">
        <w:rPr>
          <w:rFonts w:ascii="Tahoma" w:hAnsi="Tahoma" w:cs="Tahoma"/>
          <w:sz w:val="20"/>
          <w:szCs w:val="20"/>
          <w:lang w:val="es-SV"/>
        </w:rPr>
        <w:t xml:space="preserve">a las </w:t>
      </w:r>
      <w:r w:rsidR="00886267">
        <w:rPr>
          <w:rFonts w:ascii="Tahoma" w:hAnsi="Tahoma" w:cs="Tahoma"/>
          <w:sz w:val="20"/>
          <w:szCs w:val="20"/>
          <w:lang w:val="es-SV"/>
        </w:rPr>
        <w:t>dieciséis</w:t>
      </w:r>
      <w:r w:rsidR="00C074F3" w:rsidRPr="000C7EBC">
        <w:rPr>
          <w:rFonts w:ascii="Tahoma" w:hAnsi="Tahoma" w:cs="Tahoma"/>
          <w:sz w:val="20"/>
          <w:szCs w:val="20"/>
          <w:lang w:val="es-SV"/>
        </w:rPr>
        <w:t xml:space="preserve"> horas</w:t>
      </w:r>
      <w:r w:rsidR="007E34CA" w:rsidRPr="000C7EBC">
        <w:rPr>
          <w:rFonts w:ascii="Tahoma" w:hAnsi="Tahoma" w:cs="Tahoma"/>
          <w:sz w:val="20"/>
          <w:szCs w:val="20"/>
          <w:lang w:val="es-SV"/>
        </w:rPr>
        <w:t xml:space="preserve"> con </w:t>
      </w:r>
      <w:r w:rsidR="0051338F">
        <w:rPr>
          <w:rFonts w:ascii="Tahoma" w:hAnsi="Tahoma" w:cs="Tahoma"/>
          <w:sz w:val="20"/>
          <w:szCs w:val="20"/>
          <w:lang w:val="es-SV"/>
        </w:rPr>
        <w:t xml:space="preserve">cuarenta y siete </w:t>
      </w:r>
      <w:r w:rsidR="007E34CA" w:rsidRPr="000C7EBC">
        <w:rPr>
          <w:rFonts w:ascii="Tahoma" w:hAnsi="Tahoma" w:cs="Tahoma"/>
          <w:sz w:val="20"/>
          <w:szCs w:val="20"/>
          <w:lang w:val="es-SV"/>
        </w:rPr>
        <w:t>minutos</w:t>
      </w:r>
      <w:r w:rsidR="00D33929" w:rsidRPr="000C7EBC">
        <w:rPr>
          <w:rFonts w:ascii="Tahoma" w:hAnsi="Tahoma" w:cs="Tahoma"/>
          <w:sz w:val="20"/>
          <w:szCs w:val="20"/>
          <w:lang w:val="es-SV"/>
        </w:rPr>
        <w:t xml:space="preserve">, </w:t>
      </w:r>
      <w:r w:rsidR="00017B8E" w:rsidRPr="000C7EBC">
        <w:rPr>
          <w:rFonts w:ascii="Tahoma" w:hAnsi="Tahoma" w:cs="Tahoma"/>
          <w:sz w:val="20"/>
          <w:szCs w:val="20"/>
          <w:lang w:val="es-SV"/>
        </w:rPr>
        <w:t>del día</w:t>
      </w:r>
      <w:r w:rsidR="00AA702C" w:rsidRPr="000C7EBC">
        <w:rPr>
          <w:rFonts w:ascii="Tahoma" w:hAnsi="Tahoma" w:cs="Tahoma"/>
          <w:sz w:val="20"/>
          <w:szCs w:val="20"/>
          <w:lang w:val="es-SV"/>
        </w:rPr>
        <w:t xml:space="preserve"> </w:t>
      </w:r>
      <w:r w:rsidR="0051338F">
        <w:rPr>
          <w:rFonts w:ascii="Tahoma" w:hAnsi="Tahoma" w:cs="Tahoma"/>
          <w:sz w:val="20"/>
          <w:szCs w:val="20"/>
          <w:lang w:val="es-SV"/>
        </w:rPr>
        <w:t>nueve de septiembre</w:t>
      </w:r>
      <w:r w:rsidR="007E34CA" w:rsidRPr="000C7EBC">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Pr="000C7EBC" w:rsidRDefault="00F62FD1" w:rsidP="002410AD">
            <w:pPr>
              <w:jc w:val="both"/>
              <w:rPr>
                <w:rFonts w:ascii="Tahoma" w:hAnsi="Tahoma" w:cs="Tahoma"/>
                <w:b/>
                <w:lang w:val="es-SV"/>
              </w:rPr>
            </w:pPr>
          </w:p>
          <w:p w:rsidR="00D21FAE" w:rsidRDefault="00D21FAE" w:rsidP="002410AD">
            <w:pPr>
              <w:jc w:val="both"/>
              <w:rPr>
                <w:rFonts w:ascii="Tahoma" w:hAnsi="Tahoma" w:cs="Tahoma"/>
                <w:b/>
                <w:lang w:val="es-SV"/>
              </w:rPr>
            </w:pPr>
          </w:p>
          <w:p w:rsidR="004441B1" w:rsidRDefault="004441B1" w:rsidP="002410AD">
            <w:pPr>
              <w:jc w:val="both"/>
              <w:rPr>
                <w:rFonts w:ascii="Tahoma" w:hAnsi="Tahoma" w:cs="Tahoma"/>
                <w:b/>
                <w:lang w:val="es-SV"/>
              </w:rPr>
            </w:pPr>
          </w:p>
          <w:p w:rsidR="00D21FAE" w:rsidRDefault="00D21FAE"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Pr="000C7EBC"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D21FAE" w:rsidRPr="000C7EBC" w:rsidRDefault="00D21FAE" w:rsidP="002410AD">
            <w:pPr>
              <w:jc w:val="both"/>
              <w:rPr>
                <w:rFonts w:ascii="Tahoma" w:hAnsi="Tahoma" w:cs="Tahoma"/>
                <w:b/>
                <w:lang w:val="es-SV"/>
              </w:rPr>
            </w:pPr>
          </w:p>
          <w:p w:rsidR="00217A5F" w:rsidRDefault="00217A5F" w:rsidP="002410AD">
            <w:pPr>
              <w:jc w:val="both"/>
              <w:rPr>
                <w:rFonts w:ascii="Tahoma" w:hAnsi="Tahoma" w:cs="Tahoma"/>
                <w:b/>
                <w:lang w:val="es-SV"/>
              </w:rPr>
            </w:pPr>
          </w:p>
          <w:p w:rsidR="004441B1" w:rsidRDefault="004441B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Default="001D7E89" w:rsidP="002410AD">
            <w:pPr>
              <w:jc w:val="both"/>
              <w:rPr>
                <w:rFonts w:ascii="Tahoma" w:hAnsi="Tahoma" w:cs="Tahoma"/>
                <w:b/>
                <w:lang w:val="es-SV"/>
              </w:rPr>
            </w:pPr>
          </w:p>
          <w:p w:rsidR="00B05F5F" w:rsidRDefault="00B05F5F" w:rsidP="002410AD">
            <w:pPr>
              <w:jc w:val="both"/>
              <w:rPr>
                <w:rFonts w:ascii="Tahoma" w:hAnsi="Tahoma" w:cs="Tahoma"/>
                <w:b/>
                <w:lang w:val="es-SV"/>
              </w:rPr>
            </w:pPr>
          </w:p>
          <w:p w:rsidR="00B05F5F" w:rsidRDefault="00B05F5F" w:rsidP="002410AD">
            <w:pPr>
              <w:jc w:val="both"/>
              <w:rPr>
                <w:rFonts w:ascii="Tahoma" w:hAnsi="Tahoma" w:cs="Tahoma"/>
                <w:b/>
                <w:lang w:val="es-SV"/>
              </w:rPr>
            </w:pPr>
          </w:p>
          <w:p w:rsidR="00B05F5F" w:rsidRPr="000C7EBC" w:rsidRDefault="00B05F5F" w:rsidP="002410AD">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lastRenderedPageBreak/>
              <w:tab/>
            </w:r>
          </w:p>
          <w:p w:rsidR="00F62FD1" w:rsidRDefault="00F62FD1" w:rsidP="002410AD">
            <w:pPr>
              <w:jc w:val="both"/>
              <w:rPr>
                <w:rFonts w:ascii="Tahoma" w:hAnsi="Tahoma" w:cs="Tahoma"/>
                <w:b/>
                <w:lang w:val="es-SV"/>
              </w:rPr>
            </w:pPr>
          </w:p>
          <w:p w:rsidR="004441B1" w:rsidRDefault="004441B1"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Pr="000C7EBC"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F33EF9" w:rsidRDefault="00F33EF9" w:rsidP="002410AD">
            <w:pPr>
              <w:jc w:val="both"/>
              <w:rPr>
                <w:rFonts w:ascii="Tahoma" w:hAnsi="Tahoma" w:cs="Tahoma"/>
                <w:b/>
                <w:lang w:val="es-SV"/>
              </w:rPr>
            </w:pPr>
          </w:p>
          <w:p w:rsidR="00D21FAE" w:rsidRDefault="00D21FAE" w:rsidP="002410AD">
            <w:pPr>
              <w:jc w:val="both"/>
              <w:rPr>
                <w:rFonts w:ascii="Tahoma" w:hAnsi="Tahoma" w:cs="Tahoma"/>
                <w:b/>
                <w:lang w:val="es-SV"/>
              </w:rPr>
            </w:pPr>
          </w:p>
          <w:p w:rsidR="00217A5F" w:rsidRDefault="00217A5F" w:rsidP="002410AD">
            <w:pPr>
              <w:jc w:val="both"/>
              <w:rPr>
                <w:rFonts w:ascii="Tahoma" w:hAnsi="Tahoma" w:cs="Tahoma"/>
                <w:b/>
                <w:lang w:val="es-SV"/>
              </w:rPr>
            </w:pPr>
          </w:p>
          <w:p w:rsidR="00217A5F" w:rsidRDefault="00217A5F"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B05F5F" w:rsidRDefault="00B05F5F" w:rsidP="002410AD">
            <w:pPr>
              <w:jc w:val="both"/>
              <w:rPr>
                <w:rFonts w:ascii="Tahoma" w:hAnsi="Tahoma" w:cs="Tahoma"/>
                <w:b/>
                <w:lang w:val="es-SV"/>
              </w:rPr>
            </w:pPr>
          </w:p>
          <w:p w:rsidR="009E4A74" w:rsidRDefault="009E4A74" w:rsidP="002410AD">
            <w:pPr>
              <w:jc w:val="both"/>
              <w:rPr>
                <w:rFonts w:ascii="Tahoma" w:hAnsi="Tahoma" w:cs="Tahoma"/>
                <w:b/>
                <w:lang w:val="es-SV"/>
              </w:rPr>
            </w:pPr>
          </w:p>
          <w:p w:rsidR="004441B1" w:rsidRPr="000C7EBC" w:rsidRDefault="004441B1" w:rsidP="002410AD">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rPr>
                <w:rFonts w:ascii="Tahoma" w:hAnsi="Tahoma" w:cs="Tahoma"/>
                <w:b/>
                <w:lang w:val="es-SV"/>
              </w:rPr>
            </w:pPr>
            <w:r w:rsidRPr="000C7EBC">
              <w:rPr>
                <w:rFonts w:ascii="Tahoma" w:hAnsi="Tahoma" w:cs="Tahoma"/>
                <w:b/>
                <w:lang w:val="es-SV"/>
              </w:rPr>
              <w:t>DRA. TERESA DEL CARMEN FLORES DE GUEVARA</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6F1476" w:rsidRPr="000C7EBC" w:rsidRDefault="006F1476" w:rsidP="002410AD">
            <w:pPr>
              <w:rPr>
                <w:rFonts w:ascii="Tahoma" w:hAnsi="Tahoma" w:cs="Tahoma"/>
                <w:b/>
                <w:lang w:val="es-SV"/>
              </w:rPr>
            </w:pPr>
          </w:p>
          <w:p w:rsidR="00982EDC" w:rsidRPr="000C7EBC" w:rsidRDefault="00982EDC" w:rsidP="002410AD">
            <w:pPr>
              <w:rPr>
                <w:rFonts w:ascii="Tahoma" w:hAnsi="Tahoma" w:cs="Tahoma"/>
                <w:b/>
                <w:lang w:val="es-SV"/>
              </w:rPr>
            </w:pPr>
          </w:p>
          <w:p w:rsidR="00982EDC" w:rsidRPr="000C7EBC" w:rsidRDefault="00982EDC" w:rsidP="002410AD">
            <w:pPr>
              <w:rPr>
                <w:rFonts w:ascii="Tahoma" w:hAnsi="Tahoma" w:cs="Tahoma"/>
                <w:b/>
                <w:lang w:val="es-SV"/>
              </w:rPr>
            </w:pPr>
          </w:p>
          <w:p w:rsidR="0027605B" w:rsidRPr="000C7EBC" w:rsidRDefault="0027605B" w:rsidP="002410AD">
            <w:pPr>
              <w:rPr>
                <w:rFonts w:ascii="Tahoma" w:hAnsi="Tahoma" w:cs="Tahoma"/>
                <w:b/>
                <w:lang w:val="es-SV"/>
              </w:rPr>
            </w:pP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3D" w:rsidRDefault="006D0B3D" w:rsidP="001A7AEF">
      <w:r>
        <w:separator/>
      </w:r>
    </w:p>
  </w:endnote>
  <w:endnote w:type="continuationSeparator" w:id="0">
    <w:p w:rsidR="006D0B3D" w:rsidRDefault="006D0B3D"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3D" w:rsidRDefault="006D0B3D" w:rsidP="001A7AEF">
      <w:r>
        <w:separator/>
      </w:r>
    </w:p>
  </w:footnote>
  <w:footnote w:type="continuationSeparator" w:id="0">
    <w:p w:rsidR="006D0B3D" w:rsidRDefault="006D0B3D"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4781"/>
    <w:multiLevelType w:val="hybridMultilevel"/>
    <w:tmpl w:val="AFBA1BA2"/>
    <w:lvl w:ilvl="0" w:tplc="966296E6">
      <w:start w:val="1"/>
      <w:numFmt w:val="bullet"/>
      <w:lvlText w:val="-"/>
      <w:lvlJc w:val="left"/>
      <w:pPr>
        <w:tabs>
          <w:tab w:val="num" w:pos="720"/>
        </w:tabs>
        <w:ind w:left="720" w:hanging="360"/>
      </w:pPr>
      <w:rPr>
        <w:rFonts w:ascii="Times New Roman" w:hAnsi="Times New Roman" w:hint="default"/>
      </w:rPr>
    </w:lvl>
    <w:lvl w:ilvl="1" w:tplc="8DC0A4C2" w:tentative="1">
      <w:start w:val="1"/>
      <w:numFmt w:val="bullet"/>
      <w:lvlText w:val="-"/>
      <w:lvlJc w:val="left"/>
      <w:pPr>
        <w:tabs>
          <w:tab w:val="num" w:pos="1440"/>
        </w:tabs>
        <w:ind w:left="1440" w:hanging="360"/>
      </w:pPr>
      <w:rPr>
        <w:rFonts w:ascii="Times New Roman" w:hAnsi="Times New Roman" w:hint="default"/>
      </w:rPr>
    </w:lvl>
    <w:lvl w:ilvl="2" w:tplc="591AB5F2" w:tentative="1">
      <w:start w:val="1"/>
      <w:numFmt w:val="bullet"/>
      <w:lvlText w:val="-"/>
      <w:lvlJc w:val="left"/>
      <w:pPr>
        <w:tabs>
          <w:tab w:val="num" w:pos="2160"/>
        </w:tabs>
        <w:ind w:left="2160" w:hanging="360"/>
      </w:pPr>
      <w:rPr>
        <w:rFonts w:ascii="Times New Roman" w:hAnsi="Times New Roman" w:hint="default"/>
      </w:rPr>
    </w:lvl>
    <w:lvl w:ilvl="3" w:tplc="9DC407CA" w:tentative="1">
      <w:start w:val="1"/>
      <w:numFmt w:val="bullet"/>
      <w:lvlText w:val="-"/>
      <w:lvlJc w:val="left"/>
      <w:pPr>
        <w:tabs>
          <w:tab w:val="num" w:pos="2880"/>
        </w:tabs>
        <w:ind w:left="2880" w:hanging="360"/>
      </w:pPr>
      <w:rPr>
        <w:rFonts w:ascii="Times New Roman" w:hAnsi="Times New Roman" w:hint="default"/>
      </w:rPr>
    </w:lvl>
    <w:lvl w:ilvl="4" w:tplc="1C48515E" w:tentative="1">
      <w:start w:val="1"/>
      <w:numFmt w:val="bullet"/>
      <w:lvlText w:val="-"/>
      <w:lvlJc w:val="left"/>
      <w:pPr>
        <w:tabs>
          <w:tab w:val="num" w:pos="3600"/>
        </w:tabs>
        <w:ind w:left="3600" w:hanging="360"/>
      </w:pPr>
      <w:rPr>
        <w:rFonts w:ascii="Times New Roman" w:hAnsi="Times New Roman" w:hint="default"/>
      </w:rPr>
    </w:lvl>
    <w:lvl w:ilvl="5" w:tplc="E946CFCC" w:tentative="1">
      <w:start w:val="1"/>
      <w:numFmt w:val="bullet"/>
      <w:lvlText w:val="-"/>
      <w:lvlJc w:val="left"/>
      <w:pPr>
        <w:tabs>
          <w:tab w:val="num" w:pos="4320"/>
        </w:tabs>
        <w:ind w:left="4320" w:hanging="360"/>
      </w:pPr>
      <w:rPr>
        <w:rFonts w:ascii="Times New Roman" w:hAnsi="Times New Roman" w:hint="default"/>
      </w:rPr>
    </w:lvl>
    <w:lvl w:ilvl="6" w:tplc="63AC178C" w:tentative="1">
      <w:start w:val="1"/>
      <w:numFmt w:val="bullet"/>
      <w:lvlText w:val="-"/>
      <w:lvlJc w:val="left"/>
      <w:pPr>
        <w:tabs>
          <w:tab w:val="num" w:pos="5040"/>
        </w:tabs>
        <w:ind w:left="5040" w:hanging="360"/>
      </w:pPr>
      <w:rPr>
        <w:rFonts w:ascii="Times New Roman" w:hAnsi="Times New Roman" w:hint="default"/>
      </w:rPr>
    </w:lvl>
    <w:lvl w:ilvl="7" w:tplc="A0B6D6DE" w:tentative="1">
      <w:start w:val="1"/>
      <w:numFmt w:val="bullet"/>
      <w:lvlText w:val="-"/>
      <w:lvlJc w:val="left"/>
      <w:pPr>
        <w:tabs>
          <w:tab w:val="num" w:pos="5760"/>
        </w:tabs>
        <w:ind w:left="5760" w:hanging="360"/>
      </w:pPr>
      <w:rPr>
        <w:rFonts w:ascii="Times New Roman" w:hAnsi="Times New Roman" w:hint="default"/>
      </w:rPr>
    </w:lvl>
    <w:lvl w:ilvl="8" w:tplc="AFA6F7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D6452F"/>
    <w:multiLevelType w:val="hybridMultilevel"/>
    <w:tmpl w:val="BC2A1922"/>
    <w:lvl w:ilvl="0" w:tplc="97C4D0C4">
      <w:start w:val="1"/>
      <w:numFmt w:val="bullet"/>
      <w:lvlText w:val=""/>
      <w:lvlJc w:val="left"/>
      <w:pPr>
        <w:tabs>
          <w:tab w:val="num" w:pos="1778"/>
        </w:tabs>
        <w:ind w:left="1778" w:hanging="360"/>
      </w:pPr>
      <w:rPr>
        <w:rFonts w:ascii="Wingdings" w:hAnsi="Wingdings" w:hint="default"/>
      </w:rPr>
    </w:lvl>
    <w:lvl w:ilvl="1" w:tplc="761A40FA" w:tentative="1">
      <w:start w:val="1"/>
      <w:numFmt w:val="bullet"/>
      <w:lvlText w:val=""/>
      <w:lvlJc w:val="left"/>
      <w:pPr>
        <w:tabs>
          <w:tab w:val="num" w:pos="2498"/>
        </w:tabs>
        <w:ind w:left="2498" w:hanging="360"/>
      </w:pPr>
      <w:rPr>
        <w:rFonts w:ascii="Wingdings" w:hAnsi="Wingdings" w:hint="default"/>
      </w:rPr>
    </w:lvl>
    <w:lvl w:ilvl="2" w:tplc="0AA4B230" w:tentative="1">
      <w:start w:val="1"/>
      <w:numFmt w:val="bullet"/>
      <w:lvlText w:val=""/>
      <w:lvlJc w:val="left"/>
      <w:pPr>
        <w:tabs>
          <w:tab w:val="num" w:pos="3218"/>
        </w:tabs>
        <w:ind w:left="3218" w:hanging="360"/>
      </w:pPr>
      <w:rPr>
        <w:rFonts w:ascii="Wingdings" w:hAnsi="Wingdings" w:hint="default"/>
      </w:rPr>
    </w:lvl>
    <w:lvl w:ilvl="3" w:tplc="486E1528" w:tentative="1">
      <w:start w:val="1"/>
      <w:numFmt w:val="bullet"/>
      <w:lvlText w:val=""/>
      <w:lvlJc w:val="left"/>
      <w:pPr>
        <w:tabs>
          <w:tab w:val="num" w:pos="3938"/>
        </w:tabs>
        <w:ind w:left="3938" w:hanging="360"/>
      </w:pPr>
      <w:rPr>
        <w:rFonts w:ascii="Wingdings" w:hAnsi="Wingdings" w:hint="default"/>
      </w:rPr>
    </w:lvl>
    <w:lvl w:ilvl="4" w:tplc="01020300" w:tentative="1">
      <w:start w:val="1"/>
      <w:numFmt w:val="bullet"/>
      <w:lvlText w:val=""/>
      <w:lvlJc w:val="left"/>
      <w:pPr>
        <w:tabs>
          <w:tab w:val="num" w:pos="4658"/>
        </w:tabs>
        <w:ind w:left="4658" w:hanging="360"/>
      </w:pPr>
      <w:rPr>
        <w:rFonts w:ascii="Wingdings" w:hAnsi="Wingdings" w:hint="default"/>
      </w:rPr>
    </w:lvl>
    <w:lvl w:ilvl="5" w:tplc="978ECC4C" w:tentative="1">
      <w:start w:val="1"/>
      <w:numFmt w:val="bullet"/>
      <w:lvlText w:val=""/>
      <w:lvlJc w:val="left"/>
      <w:pPr>
        <w:tabs>
          <w:tab w:val="num" w:pos="5378"/>
        </w:tabs>
        <w:ind w:left="5378" w:hanging="360"/>
      </w:pPr>
      <w:rPr>
        <w:rFonts w:ascii="Wingdings" w:hAnsi="Wingdings" w:hint="default"/>
      </w:rPr>
    </w:lvl>
    <w:lvl w:ilvl="6" w:tplc="FE5492FC" w:tentative="1">
      <w:start w:val="1"/>
      <w:numFmt w:val="bullet"/>
      <w:lvlText w:val=""/>
      <w:lvlJc w:val="left"/>
      <w:pPr>
        <w:tabs>
          <w:tab w:val="num" w:pos="6098"/>
        </w:tabs>
        <w:ind w:left="6098" w:hanging="360"/>
      </w:pPr>
      <w:rPr>
        <w:rFonts w:ascii="Wingdings" w:hAnsi="Wingdings" w:hint="default"/>
      </w:rPr>
    </w:lvl>
    <w:lvl w:ilvl="7" w:tplc="44C00B78" w:tentative="1">
      <w:start w:val="1"/>
      <w:numFmt w:val="bullet"/>
      <w:lvlText w:val=""/>
      <w:lvlJc w:val="left"/>
      <w:pPr>
        <w:tabs>
          <w:tab w:val="num" w:pos="6818"/>
        </w:tabs>
        <w:ind w:left="6818" w:hanging="360"/>
      </w:pPr>
      <w:rPr>
        <w:rFonts w:ascii="Wingdings" w:hAnsi="Wingdings" w:hint="default"/>
      </w:rPr>
    </w:lvl>
    <w:lvl w:ilvl="8" w:tplc="7096B168" w:tentative="1">
      <w:start w:val="1"/>
      <w:numFmt w:val="bullet"/>
      <w:lvlText w:val=""/>
      <w:lvlJc w:val="left"/>
      <w:pPr>
        <w:tabs>
          <w:tab w:val="num" w:pos="7538"/>
        </w:tabs>
        <w:ind w:left="7538" w:hanging="360"/>
      </w:pPr>
      <w:rPr>
        <w:rFonts w:ascii="Wingdings" w:hAnsi="Wingdings" w:hint="default"/>
      </w:rPr>
    </w:lvl>
  </w:abstractNum>
  <w:abstractNum w:abstractNumId="2">
    <w:nsid w:val="11A62F54"/>
    <w:multiLevelType w:val="hybridMultilevel"/>
    <w:tmpl w:val="FB64DFE4"/>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5F05D2A"/>
    <w:multiLevelType w:val="hybridMultilevel"/>
    <w:tmpl w:val="1EE0FFA4"/>
    <w:lvl w:ilvl="0" w:tplc="F886ECCE">
      <w:start w:val="1"/>
      <w:numFmt w:val="upperRoman"/>
      <w:lvlText w:val="%1."/>
      <w:lvlJc w:val="right"/>
      <w:pPr>
        <w:tabs>
          <w:tab w:val="num" w:pos="720"/>
        </w:tabs>
        <w:ind w:left="720" w:hanging="360"/>
      </w:pPr>
      <w:rPr>
        <w:b/>
      </w:rPr>
    </w:lvl>
    <w:lvl w:ilvl="1" w:tplc="E5F0D9A2" w:tentative="1">
      <w:start w:val="1"/>
      <w:numFmt w:val="upperRoman"/>
      <w:lvlText w:val="%2."/>
      <w:lvlJc w:val="right"/>
      <w:pPr>
        <w:tabs>
          <w:tab w:val="num" w:pos="1440"/>
        </w:tabs>
        <w:ind w:left="1440" w:hanging="360"/>
      </w:pPr>
    </w:lvl>
    <w:lvl w:ilvl="2" w:tplc="974CEAC8" w:tentative="1">
      <w:start w:val="1"/>
      <w:numFmt w:val="upperRoman"/>
      <w:lvlText w:val="%3."/>
      <w:lvlJc w:val="right"/>
      <w:pPr>
        <w:tabs>
          <w:tab w:val="num" w:pos="2160"/>
        </w:tabs>
        <w:ind w:left="2160" w:hanging="360"/>
      </w:pPr>
    </w:lvl>
    <w:lvl w:ilvl="3" w:tplc="7F348DEE" w:tentative="1">
      <w:start w:val="1"/>
      <w:numFmt w:val="upperRoman"/>
      <w:lvlText w:val="%4."/>
      <w:lvlJc w:val="right"/>
      <w:pPr>
        <w:tabs>
          <w:tab w:val="num" w:pos="2880"/>
        </w:tabs>
        <w:ind w:left="2880" w:hanging="360"/>
      </w:pPr>
    </w:lvl>
    <w:lvl w:ilvl="4" w:tplc="4A60C916" w:tentative="1">
      <w:start w:val="1"/>
      <w:numFmt w:val="upperRoman"/>
      <w:lvlText w:val="%5."/>
      <w:lvlJc w:val="right"/>
      <w:pPr>
        <w:tabs>
          <w:tab w:val="num" w:pos="3600"/>
        </w:tabs>
        <w:ind w:left="3600" w:hanging="360"/>
      </w:pPr>
    </w:lvl>
    <w:lvl w:ilvl="5" w:tplc="F73EA254" w:tentative="1">
      <w:start w:val="1"/>
      <w:numFmt w:val="upperRoman"/>
      <w:lvlText w:val="%6."/>
      <w:lvlJc w:val="right"/>
      <w:pPr>
        <w:tabs>
          <w:tab w:val="num" w:pos="4320"/>
        </w:tabs>
        <w:ind w:left="4320" w:hanging="360"/>
      </w:pPr>
    </w:lvl>
    <w:lvl w:ilvl="6" w:tplc="F474A9C4" w:tentative="1">
      <w:start w:val="1"/>
      <w:numFmt w:val="upperRoman"/>
      <w:lvlText w:val="%7."/>
      <w:lvlJc w:val="right"/>
      <w:pPr>
        <w:tabs>
          <w:tab w:val="num" w:pos="5040"/>
        </w:tabs>
        <w:ind w:left="5040" w:hanging="360"/>
      </w:pPr>
    </w:lvl>
    <w:lvl w:ilvl="7" w:tplc="4B72BF0A" w:tentative="1">
      <w:start w:val="1"/>
      <w:numFmt w:val="upperRoman"/>
      <w:lvlText w:val="%8."/>
      <w:lvlJc w:val="right"/>
      <w:pPr>
        <w:tabs>
          <w:tab w:val="num" w:pos="5760"/>
        </w:tabs>
        <w:ind w:left="5760" w:hanging="360"/>
      </w:pPr>
    </w:lvl>
    <w:lvl w:ilvl="8" w:tplc="9E84A62A" w:tentative="1">
      <w:start w:val="1"/>
      <w:numFmt w:val="upperRoman"/>
      <w:lvlText w:val="%9."/>
      <w:lvlJc w:val="right"/>
      <w:pPr>
        <w:tabs>
          <w:tab w:val="num" w:pos="6480"/>
        </w:tabs>
        <w:ind w:left="648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513900"/>
    <w:multiLevelType w:val="hybridMultilevel"/>
    <w:tmpl w:val="D7E894F4"/>
    <w:lvl w:ilvl="0" w:tplc="0164C290">
      <w:start w:val="1"/>
      <w:numFmt w:val="upperRoman"/>
      <w:lvlText w:val="%1."/>
      <w:lvlJc w:val="right"/>
      <w:pPr>
        <w:tabs>
          <w:tab w:val="num" w:pos="720"/>
        </w:tabs>
        <w:ind w:left="720" w:hanging="360"/>
      </w:pPr>
      <w:rPr>
        <w:b/>
      </w:rPr>
    </w:lvl>
    <w:lvl w:ilvl="1" w:tplc="785CF3A8" w:tentative="1">
      <w:start w:val="1"/>
      <w:numFmt w:val="upperRoman"/>
      <w:lvlText w:val="%2."/>
      <w:lvlJc w:val="right"/>
      <w:pPr>
        <w:tabs>
          <w:tab w:val="num" w:pos="1440"/>
        </w:tabs>
        <w:ind w:left="1440" w:hanging="360"/>
      </w:pPr>
    </w:lvl>
    <w:lvl w:ilvl="2" w:tplc="2456465C" w:tentative="1">
      <w:start w:val="1"/>
      <w:numFmt w:val="upperRoman"/>
      <w:lvlText w:val="%3."/>
      <w:lvlJc w:val="right"/>
      <w:pPr>
        <w:tabs>
          <w:tab w:val="num" w:pos="2160"/>
        </w:tabs>
        <w:ind w:left="2160" w:hanging="360"/>
      </w:pPr>
    </w:lvl>
    <w:lvl w:ilvl="3" w:tplc="8320F7D6" w:tentative="1">
      <w:start w:val="1"/>
      <w:numFmt w:val="upperRoman"/>
      <w:lvlText w:val="%4."/>
      <w:lvlJc w:val="right"/>
      <w:pPr>
        <w:tabs>
          <w:tab w:val="num" w:pos="2880"/>
        </w:tabs>
        <w:ind w:left="2880" w:hanging="360"/>
      </w:pPr>
    </w:lvl>
    <w:lvl w:ilvl="4" w:tplc="73B45AC2" w:tentative="1">
      <w:start w:val="1"/>
      <w:numFmt w:val="upperRoman"/>
      <w:lvlText w:val="%5."/>
      <w:lvlJc w:val="right"/>
      <w:pPr>
        <w:tabs>
          <w:tab w:val="num" w:pos="3600"/>
        </w:tabs>
        <w:ind w:left="3600" w:hanging="360"/>
      </w:pPr>
    </w:lvl>
    <w:lvl w:ilvl="5" w:tplc="34760D00" w:tentative="1">
      <w:start w:val="1"/>
      <w:numFmt w:val="upperRoman"/>
      <w:lvlText w:val="%6."/>
      <w:lvlJc w:val="right"/>
      <w:pPr>
        <w:tabs>
          <w:tab w:val="num" w:pos="4320"/>
        </w:tabs>
        <w:ind w:left="4320" w:hanging="360"/>
      </w:pPr>
    </w:lvl>
    <w:lvl w:ilvl="6" w:tplc="2D18749E" w:tentative="1">
      <w:start w:val="1"/>
      <w:numFmt w:val="upperRoman"/>
      <w:lvlText w:val="%7."/>
      <w:lvlJc w:val="right"/>
      <w:pPr>
        <w:tabs>
          <w:tab w:val="num" w:pos="5040"/>
        </w:tabs>
        <w:ind w:left="5040" w:hanging="360"/>
      </w:pPr>
    </w:lvl>
    <w:lvl w:ilvl="7" w:tplc="2CE49586" w:tentative="1">
      <w:start w:val="1"/>
      <w:numFmt w:val="upperRoman"/>
      <w:lvlText w:val="%8."/>
      <w:lvlJc w:val="right"/>
      <w:pPr>
        <w:tabs>
          <w:tab w:val="num" w:pos="5760"/>
        </w:tabs>
        <w:ind w:left="5760" w:hanging="360"/>
      </w:pPr>
    </w:lvl>
    <w:lvl w:ilvl="8" w:tplc="AD122424" w:tentative="1">
      <w:start w:val="1"/>
      <w:numFmt w:val="upperRoman"/>
      <w:lvlText w:val="%9."/>
      <w:lvlJc w:val="right"/>
      <w:pPr>
        <w:tabs>
          <w:tab w:val="num" w:pos="6480"/>
        </w:tabs>
        <w:ind w:left="6480" w:hanging="360"/>
      </w:pPr>
    </w:lvl>
  </w:abstractNum>
  <w:abstractNum w:abstractNumId="7">
    <w:nsid w:val="1F5E1B24"/>
    <w:multiLevelType w:val="hybridMultilevel"/>
    <w:tmpl w:val="E2DA47D0"/>
    <w:lvl w:ilvl="0" w:tplc="85163AC0">
      <w:start w:val="1"/>
      <w:numFmt w:val="decimal"/>
      <w:lvlText w:val="%1."/>
      <w:lvlJc w:val="left"/>
      <w:pPr>
        <w:tabs>
          <w:tab w:val="num" w:pos="720"/>
        </w:tabs>
        <w:ind w:left="720" w:hanging="360"/>
      </w:pPr>
    </w:lvl>
    <w:lvl w:ilvl="1" w:tplc="319A5E38" w:tentative="1">
      <w:start w:val="1"/>
      <w:numFmt w:val="decimal"/>
      <w:lvlText w:val="%2."/>
      <w:lvlJc w:val="left"/>
      <w:pPr>
        <w:tabs>
          <w:tab w:val="num" w:pos="1440"/>
        </w:tabs>
        <w:ind w:left="1440" w:hanging="360"/>
      </w:pPr>
    </w:lvl>
    <w:lvl w:ilvl="2" w:tplc="EF064568" w:tentative="1">
      <w:start w:val="1"/>
      <w:numFmt w:val="decimal"/>
      <w:lvlText w:val="%3."/>
      <w:lvlJc w:val="left"/>
      <w:pPr>
        <w:tabs>
          <w:tab w:val="num" w:pos="2160"/>
        </w:tabs>
        <w:ind w:left="2160" w:hanging="360"/>
      </w:pPr>
    </w:lvl>
    <w:lvl w:ilvl="3" w:tplc="19961258" w:tentative="1">
      <w:start w:val="1"/>
      <w:numFmt w:val="decimal"/>
      <w:lvlText w:val="%4."/>
      <w:lvlJc w:val="left"/>
      <w:pPr>
        <w:tabs>
          <w:tab w:val="num" w:pos="2880"/>
        </w:tabs>
        <w:ind w:left="2880" w:hanging="360"/>
      </w:pPr>
    </w:lvl>
    <w:lvl w:ilvl="4" w:tplc="3552E766" w:tentative="1">
      <w:start w:val="1"/>
      <w:numFmt w:val="decimal"/>
      <w:lvlText w:val="%5."/>
      <w:lvlJc w:val="left"/>
      <w:pPr>
        <w:tabs>
          <w:tab w:val="num" w:pos="3600"/>
        </w:tabs>
        <w:ind w:left="3600" w:hanging="360"/>
      </w:pPr>
    </w:lvl>
    <w:lvl w:ilvl="5" w:tplc="CBE48822" w:tentative="1">
      <w:start w:val="1"/>
      <w:numFmt w:val="decimal"/>
      <w:lvlText w:val="%6."/>
      <w:lvlJc w:val="left"/>
      <w:pPr>
        <w:tabs>
          <w:tab w:val="num" w:pos="4320"/>
        </w:tabs>
        <w:ind w:left="4320" w:hanging="360"/>
      </w:pPr>
    </w:lvl>
    <w:lvl w:ilvl="6" w:tplc="E1FE67B4" w:tentative="1">
      <w:start w:val="1"/>
      <w:numFmt w:val="decimal"/>
      <w:lvlText w:val="%7."/>
      <w:lvlJc w:val="left"/>
      <w:pPr>
        <w:tabs>
          <w:tab w:val="num" w:pos="5040"/>
        </w:tabs>
        <w:ind w:left="5040" w:hanging="360"/>
      </w:pPr>
    </w:lvl>
    <w:lvl w:ilvl="7" w:tplc="E7E4B692" w:tentative="1">
      <w:start w:val="1"/>
      <w:numFmt w:val="decimal"/>
      <w:lvlText w:val="%8."/>
      <w:lvlJc w:val="left"/>
      <w:pPr>
        <w:tabs>
          <w:tab w:val="num" w:pos="5760"/>
        </w:tabs>
        <w:ind w:left="5760" w:hanging="360"/>
      </w:pPr>
    </w:lvl>
    <w:lvl w:ilvl="8" w:tplc="84065394" w:tentative="1">
      <w:start w:val="1"/>
      <w:numFmt w:val="decimal"/>
      <w:lvlText w:val="%9."/>
      <w:lvlJc w:val="left"/>
      <w:pPr>
        <w:tabs>
          <w:tab w:val="num" w:pos="6480"/>
        </w:tabs>
        <w:ind w:left="6480" w:hanging="360"/>
      </w:pPr>
    </w:lvl>
  </w:abstractNum>
  <w:abstractNum w:abstractNumId="8">
    <w:nsid w:val="20521376"/>
    <w:multiLevelType w:val="hybridMultilevel"/>
    <w:tmpl w:val="4F56FE4C"/>
    <w:lvl w:ilvl="0" w:tplc="3C8057D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9E7CE4"/>
    <w:multiLevelType w:val="hybridMultilevel"/>
    <w:tmpl w:val="0ABC272A"/>
    <w:lvl w:ilvl="0" w:tplc="01AC810E">
      <w:start w:val="1"/>
      <w:numFmt w:val="bullet"/>
      <w:lvlText w:val="•"/>
      <w:lvlJc w:val="left"/>
      <w:pPr>
        <w:tabs>
          <w:tab w:val="num" w:pos="720"/>
        </w:tabs>
        <w:ind w:left="720" w:hanging="360"/>
      </w:pPr>
      <w:rPr>
        <w:rFonts w:ascii="Arial" w:hAnsi="Arial" w:hint="default"/>
      </w:rPr>
    </w:lvl>
    <w:lvl w:ilvl="1" w:tplc="7772F518">
      <w:start w:val="1"/>
      <w:numFmt w:val="bullet"/>
      <w:lvlText w:val="•"/>
      <w:lvlJc w:val="left"/>
      <w:pPr>
        <w:tabs>
          <w:tab w:val="num" w:pos="1440"/>
        </w:tabs>
        <w:ind w:left="1440" w:hanging="360"/>
      </w:pPr>
      <w:rPr>
        <w:rFonts w:ascii="Arial" w:hAnsi="Arial" w:hint="default"/>
      </w:rPr>
    </w:lvl>
    <w:lvl w:ilvl="2" w:tplc="455C655E" w:tentative="1">
      <w:start w:val="1"/>
      <w:numFmt w:val="bullet"/>
      <w:lvlText w:val="•"/>
      <w:lvlJc w:val="left"/>
      <w:pPr>
        <w:tabs>
          <w:tab w:val="num" w:pos="2160"/>
        </w:tabs>
        <w:ind w:left="2160" w:hanging="360"/>
      </w:pPr>
      <w:rPr>
        <w:rFonts w:ascii="Arial" w:hAnsi="Arial" w:hint="default"/>
      </w:rPr>
    </w:lvl>
    <w:lvl w:ilvl="3" w:tplc="5204DE5A" w:tentative="1">
      <w:start w:val="1"/>
      <w:numFmt w:val="bullet"/>
      <w:lvlText w:val="•"/>
      <w:lvlJc w:val="left"/>
      <w:pPr>
        <w:tabs>
          <w:tab w:val="num" w:pos="2880"/>
        </w:tabs>
        <w:ind w:left="2880" w:hanging="360"/>
      </w:pPr>
      <w:rPr>
        <w:rFonts w:ascii="Arial" w:hAnsi="Arial" w:hint="default"/>
      </w:rPr>
    </w:lvl>
    <w:lvl w:ilvl="4" w:tplc="B054F860" w:tentative="1">
      <w:start w:val="1"/>
      <w:numFmt w:val="bullet"/>
      <w:lvlText w:val="•"/>
      <w:lvlJc w:val="left"/>
      <w:pPr>
        <w:tabs>
          <w:tab w:val="num" w:pos="3600"/>
        </w:tabs>
        <w:ind w:left="3600" w:hanging="360"/>
      </w:pPr>
      <w:rPr>
        <w:rFonts w:ascii="Arial" w:hAnsi="Arial" w:hint="default"/>
      </w:rPr>
    </w:lvl>
    <w:lvl w:ilvl="5" w:tplc="04C09D1E" w:tentative="1">
      <w:start w:val="1"/>
      <w:numFmt w:val="bullet"/>
      <w:lvlText w:val="•"/>
      <w:lvlJc w:val="left"/>
      <w:pPr>
        <w:tabs>
          <w:tab w:val="num" w:pos="4320"/>
        </w:tabs>
        <w:ind w:left="4320" w:hanging="360"/>
      </w:pPr>
      <w:rPr>
        <w:rFonts w:ascii="Arial" w:hAnsi="Arial" w:hint="default"/>
      </w:rPr>
    </w:lvl>
    <w:lvl w:ilvl="6" w:tplc="27484464" w:tentative="1">
      <w:start w:val="1"/>
      <w:numFmt w:val="bullet"/>
      <w:lvlText w:val="•"/>
      <w:lvlJc w:val="left"/>
      <w:pPr>
        <w:tabs>
          <w:tab w:val="num" w:pos="5040"/>
        </w:tabs>
        <w:ind w:left="5040" w:hanging="360"/>
      </w:pPr>
      <w:rPr>
        <w:rFonts w:ascii="Arial" w:hAnsi="Arial" w:hint="default"/>
      </w:rPr>
    </w:lvl>
    <w:lvl w:ilvl="7" w:tplc="1FEC0A0C" w:tentative="1">
      <w:start w:val="1"/>
      <w:numFmt w:val="bullet"/>
      <w:lvlText w:val="•"/>
      <w:lvlJc w:val="left"/>
      <w:pPr>
        <w:tabs>
          <w:tab w:val="num" w:pos="5760"/>
        </w:tabs>
        <w:ind w:left="5760" w:hanging="360"/>
      </w:pPr>
      <w:rPr>
        <w:rFonts w:ascii="Arial" w:hAnsi="Arial" w:hint="default"/>
      </w:rPr>
    </w:lvl>
    <w:lvl w:ilvl="8" w:tplc="E68666E2" w:tentative="1">
      <w:start w:val="1"/>
      <w:numFmt w:val="bullet"/>
      <w:lvlText w:val="•"/>
      <w:lvlJc w:val="left"/>
      <w:pPr>
        <w:tabs>
          <w:tab w:val="num" w:pos="6480"/>
        </w:tabs>
        <w:ind w:left="6480" w:hanging="360"/>
      </w:pPr>
      <w:rPr>
        <w:rFonts w:ascii="Arial" w:hAnsi="Arial" w:hint="default"/>
      </w:r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F77E6D"/>
    <w:multiLevelType w:val="hybridMultilevel"/>
    <w:tmpl w:val="4F56FE4C"/>
    <w:lvl w:ilvl="0" w:tplc="3C8057D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2796C67"/>
    <w:multiLevelType w:val="hybridMultilevel"/>
    <w:tmpl w:val="E3442DA8"/>
    <w:lvl w:ilvl="0" w:tplc="CB005F02">
      <w:start w:val="1"/>
      <w:numFmt w:val="bullet"/>
      <w:lvlText w:val="-"/>
      <w:lvlJc w:val="left"/>
      <w:pPr>
        <w:tabs>
          <w:tab w:val="num" w:pos="720"/>
        </w:tabs>
        <w:ind w:left="720" w:hanging="360"/>
      </w:pPr>
      <w:rPr>
        <w:rFonts w:ascii="Times New Roman" w:hAnsi="Times New Roman" w:hint="default"/>
      </w:rPr>
    </w:lvl>
    <w:lvl w:ilvl="1" w:tplc="38904914" w:tentative="1">
      <w:start w:val="1"/>
      <w:numFmt w:val="bullet"/>
      <w:lvlText w:val="-"/>
      <w:lvlJc w:val="left"/>
      <w:pPr>
        <w:tabs>
          <w:tab w:val="num" w:pos="1440"/>
        </w:tabs>
        <w:ind w:left="1440" w:hanging="360"/>
      </w:pPr>
      <w:rPr>
        <w:rFonts w:ascii="Times New Roman" w:hAnsi="Times New Roman" w:hint="default"/>
      </w:rPr>
    </w:lvl>
    <w:lvl w:ilvl="2" w:tplc="FDD458AE" w:tentative="1">
      <w:start w:val="1"/>
      <w:numFmt w:val="bullet"/>
      <w:lvlText w:val="-"/>
      <w:lvlJc w:val="left"/>
      <w:pPr>
        <w:tabs>
          <w:tab w:val="num" w:pos="2160"/>
        </w:tabs>
        <w:ind w:left="2160" w:hanging="360"/>
      </w:pPr>
      <w:rPr>
        <w:rFonts w:ascii="Times New Roman" w:hAnsi="Times New Roman" w:hint="default"/>
      </w:rPr>
    </w:lvl>
    <w:lvl w:ilvl="3" w:tplc="694ABDDA" w:tentative="1">
      <w:start w:val="1"/>
      <w:numFmt w:val="bullet"/>
      <w:lvlText w:val="-"/>
      <w:lvlJc w:val="left"/>
      <w:pPr>
        <w:tabs>
          <w:tab w:val="num" w:pos="2880"/>
        </w:tabs>
        <w:ind w:left="2880" w:hanging="360"/>
      </w:pPr>
      <w:rPr>
        <w:rFonts w:ascii="Times New Roman" w:hAnsi="Times New Roman" w:hint="default"/>
      </w:rPr>
    </w:lvl>
    <w:lvl w:ilvl="4" w:tplc="D618F79E" w:tentative="1">
      <w:start w:val="1"/>
      <w:numFmt w:val="bullet"/>
      <w:lvlText w:val="-"/>
      <w:lvlJc w:val="left"/>
      <w:pPr>
        <w:tabs>
          <w:tab w:val="num" w:pos="3600"/>
        </w:tabs>
        <w:ind w:left="3600" w:hanging="360"/>
      </w:pPr>
      <w:rPr>
        <w:rFonts w:ascii="Times New Roman" w:hAnsi="Times New Roman" w:hint="default"/>
      </w:rPr>
    </w:lvl>
    <w:lvl w:ilvl="5" w:tplc="065C4430" w:tentative="1">
      <w:start w:val="1"/>
      <w:numFmt w:val="bullet"/>
      <w:lvlText w:val="-"/>
      <w:lvlJc w:val="left"/>
      <w:pPr>
        <w:tabs>
          <w:tab w:val="num" w:pos="4320"/>
        </w:tabs>
        <w:ind w:left="4320" w:hanging="360"/>
      </w:pPr>
      <w:rPr>
        <w:rFonts w:ascii="Times New Roman" w:hAnsi="Times New Roman" w:hint="default"/>
      </w:rPr>
    </w:lvl>
    <w:lvl w:ilvl="6" w:tplc="793EE072" w:tentative="1">
      <w:start w:val="1"/>
      <w:numFmt w:val="bullet"/>
      <w:lvlText w:val="-"/>
      <w:lvlJc w:val="left"/>
      <w:pPr>
        <w:tabs>
          <w:tab w:val="num" w:pos="5040"/>
        </w:tabs>
        <w:ind w:left="5040" w:hanging="360"/>
      </w:pPr>
      <w:rPr>
        <w:rFonts w:ascii="Times New Roman" w:hAnsi="Times New Roman" w:hint="default"/>
      </w:rPr>
    </w:lvl>
    <w:lvl w:ilvl="7" w:tplc="1214CA9E" w:tentative="1">
      <w:start w:val="1"/>
      <w:numFmt w:val="bullet"/>
      <w:lvlText w:val="-"/>
      <w:lvlJc w:val="left"/>
      <w:pPr>
        <w:tabs>
          <w:tab w:val="num" w:pos="5760"/>
        </w:tabs>
        <w:ind w:left="5760" w:hanging="360"/>
      </w:pPr>
      <w:rPr>
        <w:rFonts w:ascii="Times New Roman" w:hAnsi="Times New Roman" w:hint="default"/>
      </w:rPr>
    </w:lvl>
    <w:lvl w:ilvl="8" w:tplc="91B6999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4FA5DB8"/>
    <w:multiLevelType w:val="hybridMultilevel"/>
    <w:tmpl w:val="281E6AFA"/>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FF8190D"/>
    <w:multiLevelType w:val="hybridMultilevel"/>
    <w:tmpl w:val="80DAD3EA"/>
    <w:lvl w:ilvl="0" w:tplc="6B1438C0">
      <w:start w:val="1"/>
      <w:numFmt w:val="bullet"/>
      <w:lvlText w:val="•"/>
      <w:lvlJc w:val="left"/>
      <w:pPr>
        <w:tabs>
          <w:tab w:val="num" w:pos="720"/>
        </w:tabs>
        <w:ind w:left="720" w:hanging="360"/>
      </w:pPr>
      <w:rPr>
        <w:rFonts w:ascii="Arial" w:hAnsi="Arial" w:hint="default"/>
      </w:rPr>
    </w:lvl>
    <w:lvl w:ilvl="1" w:tplc="ABF0A620" w:tentative="1">
      <w:start w:val="1"/>
      <w:numFmt w:val="bullet"/>
      <w:lvlText w:val="•"/>
      <w:lvlJc w:val="left"/>
      <w:pPr>
        <w:tabs>
          <w:tab w:val="num" w:pos="1440"/>
        </w:tabs>
        <w:ind w:left="1440" w:hanging="360"/>
      </w:pPr>
      <w:rPr>
        <w:rFonts w:ascii="Arial" w:hAnsi="Arial" w:hint="default"/>
      </w:rPr>
    </w:lvl>
    <w:lvl w:ilvl="2" w:tplc="A5A057B8" w:tentative="1">
      <w:start w:val="1"/>
      <w:numFmt w:val="bullet"/>
      <w:lvlText w:val="•"/>
      <w:lvlJc w:val="left"/>
      <w:pPr>
        <w:tabs>
          <w:tab w:val="num" w:pos="2160"/>
        </w:tabs>
        <w:ind w:left="2160" w:hanging="360"/>
      </w:pPr>
      <w:rPr>
        <w:rFonts w:ascii="Arial" w:hAnsi="Arial" w:hint="default"/>
      </w:rPr>
    </w:lvl>
    <w:lvl w:ilvl="3" w:tplc="AC525572" w:tentative="1">
      <w:start w:val="1"/>
      <w:numFmt w:val="bullet"/>
      <w:lvlText w:val="•"/>
      <w:lvlJc w:val="left"/>
      <w:pPr>
        <w:tabs>
          <w:tab w:val="num" w:pos="2880"/>
        </w:tabs>
        <w:ind w:left="2880" w:hanging="360"/>
      </w:pPr>
      <w:rPr>
        <w:rFonts w:ascii="Arial" w:hAnsi="Arial" w:hint="default"/>
      </w:rPr>
    </w:lvl>
    <w:lvl w:ilvl="4" w:tplc="5ABEC024" w:tentative="1">
      <w:start w:val="1"/>
      <w:numFmt w:val="bullet"/>
      <w:lvlText w:val="•"/>
      <w:lvlJc w:val="left"/>
      <w:pPr>
        <w:tabs>
          <w:tab w:val="num" w:pos="3600"/>
        </w:tabs>
        <w:ind w:left="3600" w:hanging="360"/>
      </w:pPr>
      <w:rPr>
        <w:rFonts w:ascii="Arial" w:hAnsi="Arial" w:hint="default"/>
      </w:rPr>
    </w:lvl>
    <w:lvl w:ilvl="5" w:tplc="B254F126" w:tentative="1">
      <w:start w:val="1"/>
      <w:numFmt w:val="bullet"/>
      <w:lvlText w:val="•"/>
      <w:lvlJc w:val="left"/>
      <w:pPr>
        <w:tabs>
          <w:tab w:val="num" w:pos="4320"/>
        </w:tabs>
        <w:ind w:left="4320" w:hanging="360"/>
      </w:pPr>
      <w:rPr>
        <w:rFonts w:ascii="Arial" w:hAnsi="Arial" w:hint="default"/>
      </w:rPr>
    </w:lvl>
    <w:lvl w:ilvl="6" w:tplc="E8409C2E" w:tentative="1">
      <w:start w:val="1"/>
      <w:numFmt w:val="bullet"/>
      <w:lvlText w:val="•"/>
      <w:lvlJc w:val="left"/>
      <w:pPr>
        <w:tabs>
          <w:tab w:val="num" w:pos="5040"/>
        </w:tabs>
        <w:ind w:left="5040" w:hanging="360"/>
      </w:pPr>
      <w:rPr>
        <w:rFonts w:ascii="Arial" w:hAnsi="Arial" w:hint="default"/>
      </w:rPr>
    </w:lvl>
    <w:lvl w:ilvl="7" w:tplc="08C85BF2" w:tentative="1">
      <w:start w:val="1"/>
      <w:numFmt w:val="bullet"/>
      <w:lvlText w:val="•"/>
      <w:lvlJc w:val="left"/>
      <w:pPr>
        <w:tabs>
          <w:tab w:val="num" w:pos="5760"/>
        </w:tabs>
        <w:ind w:left="5760" w:hanging="360"/>
      </w:pPr>
      <w:rPr>
        <w:rFonts w:ascii="Arial" w:hAnsi="Arial" w:hint="default"/>
      </w:rPr>
    </w:lvl>
    <w:lvl w:ilvl="8" w:tplc="E90E4D64" w:tentative="1">
      <w:start w:val="1"/>
      <w:numFmt w:val="bullet"/>
      <w:lvlText w:val="•"/>
      <w:lvlJc w:val="left"/>
      <w:pPr>
        <w:tabs>
          <w:tab w:val="num" w:pos="6480"/>
        </w:tabs>
        <w:ind w:left="6480" w:hanging="360"/>
      </w:pPr>
      <w:rPr>
        <w:rFonts w:ascii="Arial" w:hAnsi="Arial" w:hint="default"/>
      </w:rPr>
    </w:lvl>
  </w:abstractNum>
  <w:abstractNum w:abstractNumId="16">
    <w:nsid w:val="53616D42"/>
    <w:multiLevelType w:val="hybridMultilevel"/>
    <w:tmpl w:val="4C888F7E"/>
    <w:lvl w:ilvl="0" w:tplc="72F6B91C">
      <w:start w:val="1"/>
      <w:numFmt w:val="upperRoman"/>
      <w:lvlText w:val="%1."/>
      <w:lvlJc w:val="right"/>
      <w:pPr>
        <w:tabs>
          <w:tab w:val="num" w:pos="720"/>
        </w:tabs>
        <w:ind w:left="720" w:hanging="360"/>
      </w:pPr>
      <w:rPr>
        <w:b/>
      </w:rPr>
    </w:lvl>
    <w:lvl w:ilvl="1" w:tplc="14126BFA" w:tentative="1">
      <w:start w:val="1"/>
      <w:numFmt w:val="upperRoman"/>
      <w:lvlText w:val="%2."/>
      <w:lvlJc w:val="right"/>
      <w:pPr>
        <w:tabs>
          <w:tab w:val="num" w:pos="1440"/>
        </w:tabs>
        <w:ind w:left="1440" w:hanging="360"/>
      </w:pPr>
    </w:lvl>
    <w:lvl w:ilvl="2" w:tplc="D00AA0C0" w:tentative="1">
      <w:start w:val="1"/>
      <w:numFmt w:val="upperRoman"/>
      <w:lvlText w:val="%3."/>
      <w:lvlJc w:val="right"/>
      <w:pPr>
        <w:tabs>
          <w:tab w:val="num" w:pos="2160"/>
        </w:tabs>
        <w:ind w:left="2160" w:hanging="360"/>
      </w:pPr>
    </w:lvl>
    <w:lvl w:ilvl="3" w:tplc="679646D6" w:tentative="1">
      <w:start w:val="1"/>
      <w:numFmt w:val="upperRoman"/>
      <w:lvlText w:val="%4."/>
      <w:lvlJc w:val="right"/>
      <w:pPr>
        <w:tabs>
          <w:tab w:val="num" w:pos="2880"/>
        </w:tabs>
        <w:ind w:left="2880" w:hanging="360"/>
      </w:pPr>
    </w:lvl>
    <w:lvl w:ilvl="4" w:tplc="FFFADADA" w:tentative="1">
      <w:start w:val="1"/>
      <w:numFmt w:val="upperRoman"/>
      <w:lvlText w:val="%5."/>
      <w:lvlJc w:val="right"/>
      <w:pPr>
        <w:tabs>
          <w:tab w:val="num" w:pos="3600"/>
        </w:tabs>
        <w:ind w:left="3600" w:hanging="360"/>
      </w:pPr>
    </w:lvl>
    <w:lvl w:ilvl="5" w:tplc="7E283AA8" w:tentative="1">
      <w:start w:val="1"/>
      <w:numFmt w:val="upperRoman"/>
      <w:lvlText w:val="%6."/>
      <w:lvlJc w:val="right"/>
      <w:pPr>
        <w:tabs>
          <w:tab w:val="num" w:pos="4320"/>
        </w:tabs>
        <w:ind w:left="4320" w:hanging="360"/>
      </w:pPr>
    </w:lvl>
    <w:lvl w:ilvl="6" w:tplc="9C2CD65E" w:tentative="1">
      <w:start w:val="1"/>
      <w:numFmt w:val="upperRoman"/>
      <w:lvlText w:val="%7."/>
      <w:lvlJc w:val="right"/>
      <w:pPr>
        <w:tabs>
          <w:tab w:val="num" w:pos="5040"/>
        </w:tabs>
        <w:ind w:left="5040" w:hanging="360"/>
      </w:pPr>
    </w:lvl>
    <w:lvl w:ilvl="7" w:tplc="72D6DC4C" w:tentative="1">
      <w:start w:val="1"/>
      <w:numFmt w:val="upperRoman"/>
      <w:lvlText w:val="%8."/>
      <w:lvlJc w:val="right"/>
      <w:pPr>
        <w:tabs>
          <w:tab w:val="num" w:pos="5760"/>
        </w:tabs>
        <w:ind w:left="5760" w:hanging="360"/>
      </w:pPr>
    </w:lvl>
    <w:lvl w:ilvl="8" w:tplc="DCAAF01A" w:tentative="1">
      <w:start w:val="1"/>
      <w:numFmt w:val="upperRoman"/>
      <w:lvlText w:val="%9."/>
      <w:lvlJc w:val="right"/>
      <w:pPr>
        <w:tabs>
          <w:tab w:val="num" w:pos="6480"/>
        </w:tabs>
        <w:ind w:left="6480" w:hanging="360"/>
      </w:pPr>
    </w:lvl>
  </w:abstractNum>
  <w:abstractNum w:abstractNumId="17">
    <w:nsid w:val="541A2DDA"/>
    <w:multiLevelType w:val="hybridMultilevel"/>
    <w:tmpl w:val="2DCEB2C0"/>
    <w:lvl w:ilvl="0" w:tplc="F9443588">
      <w:start w:val="2"/>
      <w:numFmt w:val="upperRoman"/>
      <w:lvlText w:val="%1."/>
      <w:lvlJc w:val="right"/>
      <w:pPr>
        <w:tabs>
          <w:tab w:val="num" w:pos="720"/>
        </w:tabs>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21B60EE"/>
    <w:multiLevelType w:val="hybridMultilevel"/>
    <w:tmpl w:val="8960A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3">
    <w:nsid w:val="70B23112"/>
    <w:multiLevelType w:val="hybridMultilevel"/>
    <w:tmpl w:val="5CBC293C"/>
    <w:lvl w:ilvl="0" w:tplc="475287F4">
      <w:start w:val="1"/>
      <w:numFmt w:val="bullet"/>
      <w:lvlText w:val=""/>
      <w:lvlJc w:val="left"/>
      <w:pPr>
        <w:tabs>
          <w:tab w:val="num" w:pos="720"/>
        </w:tabs>
        <w:ind w:left="720" w:hanging="360"/>
      </w:pPr>
      <w:rPr>
        <w:rFonts w:ascii="Wingdings" w:hAnsi="Wingdings" w:hint="default"/>
      </w:rPr>
    </w:lvl>
    <w:lvl w:ilvl="1" w:tplc="14DEFFD4" w:tentative="1">
      <w:start w:val="1"/>
      <w:numFmt w:val="bullet"/>
      <w:lvlText w:val=""/>
      <w:lvlJc w:val="left"/>
      <w:pPr>
        <w:tabs>
          <w:tab w:val="num" w:pos="1440"/>
        </w:tabs>
        <w:ind w:left="1440" w:hanging="360"/>
      </w:pPr>
      <w:rPr>
        <w:rFonts w:ascii="Wingdings" w:hAnsi="Wingdings" w:hint="default"/>
      </w:rPr>
    </w:lvl>
    <w:lvl w:ilvl="2" w:tplc="1C78B26C" w:tentative="1">
      <w:start w:val="1"/>
      <w:numFmt w:val="bullet"/>
      <w:lvlText w:val=""/>
      <w:lvlJc w:val="left"/>
      <w:pPr>
        <w:tabs>
          <w:tab w:val="num" w:pos="2160"/>
        </w:tabs>
        <w:ind w:left="2160" w:hanging="360"/>
      </w:pPr>
      <w:rPr>
        <w:rFonts w:ascii="Wingdings" w:hAnsi="Wingdings" w:hint="default"/>
      </w:rPr>
    </w:lvl>
    <w:lvl w:ilvl="3" w:tplc="6A3CE7AA" w:tentative="1">
      <w:start w:val="1"/>
      <w:numFmt w:val="bullet"/>
      <w:lvlText w:val=""/>
      <w:lvlJc w:val="left"/>
      <w:pPr>
        <w:tabs>
          <w:tab w:val="num" w:pos="2880"/>
        </w:tabs>
        <w:ind w:left="2880" w:hanging="360"/>
      </w:pPr>
      <w:rPr>
        <w:rFonts w:ascii="Wingdings" w:hAnsi="Wingdings" w:hint="default"/>
      </w:rPr>
    </w:lvl>
    <w:lvl w:ilvl="4" w:tplc="1A6CF640" w:tentative="1">
      <w:start w:val="1"/>
      <w:numFmt w:val="bullet"/>
      <w:lvlText w:val=""/>
      <w:lvlJc w:val="left"/>
      <w:pPr>
        <w:tabs>
          <w:tab w:val="num" w:pos="3600"/>
        </w:tabs>
        <w:ind w:left="3600" w:hanging="360"/>
      </w:pPr>
      <w:rPr>
        <w:rFonts w:ascii="Wingdings" w:hAnsi="Wingdings" w:hint="default"/>
      </w:rPr>
    </w:lvl>
    <w:lvl w:ilvl="5" w:tplc="B0E6DE7C" w:tentative="1">
      <w:start w:val="1"/>
      <w:numFmt w:val="bullet"/>
      <w:lvlText w:val=""/>
      <w:lvlJc w:val="left"/>
      <w:pPr>
        <w:tabs>
          <w:tab w:val="num" w:pos="4320"/>
        </w:tabs>
        <w:ind w:left="4320" w:hanging="360"/>
      </w:pPr>
      <w:rPr>
        <w:rFonts w:ascii="Wingdings" w:hAnsi="Wingdings" w:hint="default"/>
      </w:rPr>
    </w:lvl>
    <w:lvl w:ilvl="6" w:tplc="ED206892" w:tentative="1">
      <w:start w:val="1"/>
      <w:numFmt w:val="bullet"/>
      <w:lvlText w:val=""/>
      <w:lvlJc w:val="left"/>
      <w:pPr>
        <w:tabs>
          <w:tab w:val="num" w:pos="5040"/>
        </w:tabs>
        <w:ind w:left="5040" w:hanging="360"/>
      </w:pPr>
      <w:rPr>
        <w:rFonts w:ascii="Wingdings" w:hAnsi="Wingdings" w:hint="default"/>
      </w:rPr>
    </w:lvl>
    <w:lvl w:ilvl="7" w:tplc="38B61020" w:tentative="1">
      <w:start w:val="1"/>
      <w:numFmt w:val="bullet"/>
      <w:lvlText w:val=""/>
      <w:lvlJc w:val="left"/>
      <w:pPr>
        <w:tabs>
          <w:tab w:val="num" w:pos="5760"/>
        </w:tabs>
        <w:ind w:left="5760" w:hanging="360"/>
      </w:pPr>
      <w:rPr>
        <w:rFonts w:ascii="Wingdings" w:hAnsi="Wingdings" w:hint="default"/>
      </w:rPr>
    </w:lvl>
    <w:lvl w:ilvl="8" w:tplc="E348E37C" w:tentative="1">
      <w:start w:val="1"/>
      <w:numFmt w:val="bullet"/>
      <w:lvlText w:val=""/>
      <w:lvlJc w:val="left"/>
      <w:pPr>
        <w:tabs>
          <w:tab w:val="num" w:pos="6480"/>
        </w:tabs>
        <w:ind w:left="6480" w:hanging="360"/>
      </w:pPr>
      <w:rPr>
        <w:rFonts w:ascii="Wingdings" w:hAnsi="Wingdings" w:hint="default"/>
      </w:rPr>
    </w:lvl>
  </w:abstractNum>
  <w:abstractNum w:abstractNumId="2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7A960D9"/>
    <w:multiLevelType w:val="hybridMultilevel"/>
    <w:tmpl w:val="4C888F7E"/>
    <w:lvl w:ilvl="0" w:tplc="72F6B91C">
      <w:start w:val="1"/>
      <w:numFmt w:val="upperRoman"/>
      <w:lvlText w:val="%1."/>
      <w:lvlJc w:val="right"/>
      <w:pPr>
        <w:tabs>
          <w:tab w:val="num" w:pos="720"/>
        </w:tabs>
        <w:ind w:left="720" w:hanging="360"/>
      </w:pPr>
      <w:rPr>
        <w:b/>
      </w:rPr>
    </w:lvl>
    <w:lvl w:ilvl="1" w:tplc="14126BFA" w:tentative="1">
      <w:start w:val="1"/>
      <w:numFmt w:val="upperRoman"/>
      <w:lvlText w:val="%2."/>
      <w:lvlJc w:val="right"/>
      <w:pPr>
        <w:tabs>
          <w:tab w:val="num" w:pos="1440"/>
        </w:tabs>
        <w:ind w:left="1440" w:hanging="360"/>
      </w:pPr>
    </w:lvl>
    <w:lvl w:ilvl="2" w:tplc="D00AA0C0" w:tentative="1">
      <w:start w:val="1"/>
      <w:numFmt w:val="upperRoman"/>
      <w:lvlText w:val="%3."/>
      <w:lvlJc w:val="right"/>
      <w:pPr>
        <w:tabs>
          <w:tab w:val="num" w:pos="2160"/>
        </w:tabs>
        <w:ind w:left="2160" w:hanging="360"/>
      </w:pPr>
    </w:lvl>
    <w:lvl w:ilvl="3" w:tplc="679646D6" w:tentative="1">
      <w:start w:val="1"/>
      <w:numFmt w:val="upperRoman"/>
      <w:lvlText w:val="%4."/>
      <w:lvlJc w:val="right"/>
      <w:pPr>
        <w:tabs>
          <w:tab w:val="num" w:pos="2880"/>
        </w:tabs>
        <w:ind w:left="2880" w:hanging="360"/>
      </w:pPr>
    </w:lvl>
    <w:lvl w:ilvl="4" w:tplc="FFFADADA" w:tentative="1">
      <w:start w:val="1"/>
      <w:numFmt w:val="upperRoman"/>
      <w:lvlText w:val="%5."/>
      <w:lvlJc w:val="right"/>
      <w:pPr>
        <w:tabs>
          <w:tab w:val="num" w:pos="3600"/>
        </w:tabs>
        <w:ind w:left="3600" w:hanging="360"/>
      </w:pPr>
    </w:lvl>
    <w:lvl w:ilvl="5" w:tplc="7E283AA8" w:tentative="1">
      <w:start w:val="1"/>
      <w:numFmt w:val="upperRoman"/>
      <w:lvlText w:val="%6."/>
      <w:lvlJc w:val="right"/>
      <w:pPr>
        <w:tabs>
          <w:tab w:val="num" w:pos="4320"/>
        </w:tabs>
        <w:ind w:left="4320" w:hanging="360"/>
      </w:pPr>
    </w:lvl>
    <w:lvl w:ilvl="6" w:tplc="9C2CD65E" w:tentative="1">
      <w:start w:val="1"/>
      <w:numFmt w:val="upperRoman"/>
      <w:lvlText w:val="%7."/>
      <w:lvlJc w:val="right"/>
      <w:pPr>
        <w:tabs>
          <w:tab w:val="num" w:pos="5040"/>
        </w:tabs>
        <w:ind w:left="5040" w:hanging="360"/>
      </w:pPr>
    </w:lvl>
    <w:lvl w:ilvl="7" w:tplc="72D6DC4C" w:tentative="1">
      <w:start w:val="1"/>
      <w:numFmt w:val="upperRoman"/>
      <w:lvlText w:val="%8."/>
      <w:lvlJc w:val="right"/>
      <w:pPr>
        <w:tabs>
          <w:tab w:val="num" w:pos="5760"/>
        </w:tabs>
        <w:ind w:left="5760" w:hanging="360"/>
      </w:pPr>
    </w:lvl>
    <w:lvl w:ilvl="8" w:tplc="DCAAF01A" w:tentative="1">
      <w:start w:val="1"/>
      <w:numFmt w:val="upperRoman"/>
      <w:lvlText w:val="%9."/>
      <w:lvlJc w:val="right"/>
      <w:pPr>
        <w:tabs>
          <w:tab w:val="num" w:pos="6480"/>
        </w:tabs>
        <w:ind w:left="6480" w:hanging="360"/>
      </w:pPr>
    </w:lvl>
  </w:abstractNum>
  <w:abstractNum w:abstractNumId="28">
    <w:nsid w:val="7A986F39"/>
    <w:multiLevelType w:val="hybridMultilevel"/>
    <w:tmpl w:val="55B69A6A"/>
    <w:lvl w:ilvl="0" w:tplc="5E2C11C2">
      <w:start w:val="1"/>
      <w:numFmt w:val="upperRoman"/>
      <w:lvlText w:val="%1."/>
      <w:lvlJc w:val="right"/>
      <w:pPr>
        <w:tabs>
          <w:tab w:val="num" w:pos="720"/>
        </w:tabs>
        <w:ind w:left="720" w:hanging="360"/>
      </w:pPr>
      <w:rPr>
        <w:b/>
      </w:rPr>
    </w:lvl>
    <w:lvl w:ilvl="1" w:tplc="7B4ED39E" w:tentative="1">
      <w:start w:val="1"/>
      <w:numFmt w:val="upperRoman"/>
      <w:lvlText w:val="%2."/>
      <w:lvlJc w:val="right"/>
      <w:pPr>
        <w:tabs>
          <w:tab w:val="num" w:pos="1440"/>
        </w:tabs>
        <w:ind w:left="1440" w:hanging="360"/>
      </w:pPr>
    </w:lvl>
    <w:lvl w:ilvl="2" w:tplc="0F84C184" w:tentative="1">
      <w:start w:val="1"/>
      <w:numFmt w:val="upperRoman"/>
      <w:lvlText w:val="%3."/>
      <w:lvlJc w:val="right"/>
      <w:pPr>
        <w:tabs>
          <w:tab w:val="num" w:pos="2160"/>
        </w:tabs>
        <w:ind w:left="2160" w:hanging="360"/>
      </w:pPr>
    </w:lvl>
    <w:lvl w:ilvl="3" w:tplc="5518E22C" w:tentative="1">
      <w:start w:val="1"/>
      <w:numFmt w:val="upperRoman"/>
      <w:lvlText w:val="%4."/>
      <w:lvlJc w:val="right"/>
      <w:pPr>
        <w:tabs>
          <w:tab w:val="num" w:pos="2880"/>
        </w:tabs>
        <w:ind w:left="2880" w:hanging="360"/>
      </w:pPr>
    </w:lvl>
    <w:lvl w:ilvl="4" w:tplc="5FD4CB2A" w:tentative="1">
      <w:start w:val="1"/>
      <w:numFmt w:val="upperRoman"/>
      <w:lvlText w:val="%5."/>
      <w:lvlJc w:val="right"/>
      <w:pPr>
        <w:tabs>
          <w:tab w:val="num" w:pos="3600"/>
        </w:tabs>
        <w:ind w:left="3600" w:hanging="360"/>
      </w:pPr>
    </w:lvl>
    <w:lvl w:ilvl="5" w:tplc="7DB4F5DA" w:tentative="1">
      <w:start w:val="1"/>
      <w:numFmt w:val="upperRoman"/>
      <w:lvlText w:val="%6."/>
      <w:lvlJc w:val="right"/>
      <w:pPr>
        <w:tabs>
          <w:tab w:val="num" w:pos="4320"/>
        </w:tabs>
        <w:ind w:left="4320" w:hanging="360"/>
      </w:pPr>
    </w:lvl>
    <w:lvl w:ilvl="6" w:tplc="4B94F748" w:tentative="1">
      <w:start w:val="1"/>
      <w:numFmt w:val="upperRoman"/>
      <w:lvlText w:val="%7."/>
      <w:lvlJc w:val="right"/>
      <w:pPr>
        <w:tabs>
          <w:tab w:val="num" w:pos="5040"/>
        </w:tabs>
        <w:ind w:left="5040" w:hanging="360"/>
      </w:pPr>
    </w:lvl>
    <w:lvl w:ilvl="7" w:tplc="210661B6" w:tentative="1">
      <w:start w:val="1"/>
      <w:numFmt w:val="upperRoman"/>
      <w:lvlText w:val="%8."/>
      <w:lvlJc w:val="right"/>
      <w:pPr>
        <w:tabs>
          <w:tab w:val="num" w:pos="5760"/>
        </w:tabs>
        <w:ind w:left="5760" w:hanging="360"/>
      </w:pPr>
    </w:lvl>
    <w:lvl w:ilvl="8" w:tplc="F622FC3A" w:tentative="1">
      <w:start w:val="1"/>
      <w:numFmt w:val="upperRoman"/>
      <w:lvlText w:val="%9."/>
      <w:lvlJc w:val="right"/>
      <w:pPr>
        <w:tabs>
          <w:tab w:val="num" w:pos="6480"/>
        </w:tabs>
        <w:ind w:left="6480" w:hanging="360"/>
      </w:pPr>
    </w:lvl>
  </w:abstractNum>
  <w:num w:numId="1">
    <w:abstractNumId w:val="25"/>
  </w:num>
  <w:num w:numId="2">
    <w:abstractNumId w:val="24"/>
  </w:num>
  <w:num w:numId="3">
    <w:abstractNumId w:val="18"/>
  </w:num>
  <w:num w:numId="4">
    <w:abstractNumId w:val="3"/>
  </w:num>
  <w:num w:numId="5">
    <w:abstractNumId w:val="21"/>
  </w:num>
  <w:num w:numId="6">
    <w:abstractNumId w:val="11"/>
  </w:num>
  <w:num w:numId="7">
    <w:abstractNumId w:val="9"/>
  </w:num>
  <w:num w:numId="8">
    <w:abstractNumId w:val="5"/>
  </w:num>
  <w:num w:numId="9">
    <w:abstractNumId w:val="20"/>
  </w:num>
  <w:num w:numId="10">
    <w:abstractNumId w:val="22"/>
  </w:num>
  <w:num w:numId="11">
    <w:abstractNumId w:val="2"/>
  </w:num>
  <w:num w:numId="12">
    <w:abstractNumId w:val="26"/>
  </w:num>
  <w:num w:numId="13">
    <w:abstractNumId w:val="13"/>
  </w:num>
  <w:num w:numId="14">
    <w:abstractNumId w:val="23"/>
  </w:num>
  <w:num w:numId="15">
    <w:abstractNumId w:val="1"/>
  </w:num>
  <w:num w:numId="16">
    <w:abstractNumId w:val="7"/>
  </w:num>
  <w:num w:numId="17">
    <w:abstractNumId w:val="0"/>
  </w:num>
  <w:num w:numId="18">
    <w:abstractNumId w:val="4"/>
  </w:num>
  <w:num w:numId="19">
    <w:abstractNumId w:val="17"/>
  </w:num>
  <w:num w:numId="20">
    <w:abstractNumId w:val="28"/>
  </w:num>
  <w:num w:numId="21">
    <w:abstractNumId w:val="19"/>
  </w:num>
  <w:num w:numId="22">
    <w:abstractNumId w:val="8"/>
  </w:num>
  <w:num w:numId="23">
    <w:abstractNumId w:val="14"/>
  </w:num>
  <w:num w:numId="24">
    <w:abstractNumId w:val="6"/>
  </w:num>
  <w:num w:numId="25">
    <w:abstractNumId w:val="15"/>
  </w:num>
  <w:num w:numId="26">
    <w:abstractNumId w:val="10"/>
  </w:num>
  <w:num w:numId="27">
    <w:abstractNumId w:val="12"/>
  </w:num>
  <w:num w:numId="28">
    <w:abstractNumId w:val="16"/>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3EFF"/>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27C"/>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8BE"/>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19"/>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BB"/>
    <w:rsid w:val="00327CE3"/>
    <w:rsid w:val="003302D0"/>
    <w:rsid w:val="00330316"/>
    <w:rsid w:val="00330A42"/>
    <w:rsid w:val="0033131A"/>
    <w:rsid w:val="0033167B"/>
    <w:rsid w:val="003316BC"/>
    <w:rsid w:val="003319A3"/>
    <w:rsid w:val="00331D38"/>
    <w:rsid w:val="00332593"/>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309"/>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1B1"/>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2F47"/>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38F"/>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493"/>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D3"/>
    <w:rsid w:val="006C11E2"/>
    <w:rsid w:val="006C15E0"/>
    <w:rsid w:val="006C1975"/>
    <w:rsid w:val="006C1E35"/>
    <w:rsid w:val="006C1ECD"/>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B3D"/>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688"/>
    <w:rsid w:val="00700720"/>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1FDA"/>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5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6D51"/>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67A6"/>
    <w:rsid w:val="00936B06"/>
    <w:rsid w:val="00936B55"/>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5A"/>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3FA"/>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594"/>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5F5F"/>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5E"/>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72D"/>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BC"/>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E74"/>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00"/>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5C6"/>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1E7A"/>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334"/>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59"/>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D7F33"/>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0E3"/>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B7B"/>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7B2"/>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uiPriority w:val="99"/>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055709">
      <w:bodyDiv w:val="1"/>
      <w:marLeft w:val="0"/>
      <w:marRight w:val="0"/>
      <w:marTop w:val="0"/>
      <w:marBottom w:val="0"/>
      <w:divBdr>
        <w:top w:val="none" w:sz="0" w:space="0" w:color="auto"/>
        <w:left w:val="none" w:sz="0" w:space="0" w:color="auto"/>
        <w:bottom w:val="none" w:sz="0" w:space="0" w:color="auto"/>
        <w:right w:val="none" w:sz="0" w:space="0" w:color="auto"/>
      </w:divBdr>
      <w:divsChild>
        <w:div w:id="336034737">
          <w:marLeft w:val="634"/>
          <w:marRight w:val="0"/>
          <w:marTop w:val="77"/>
          <w:marBottom w:val="0"/>
          <w:divBdr>
            <w:top w:val="none" w:sz="0" w:space="0" w:color="auto"/>
            <w:left w:val="none" w:sz="0" w:space="0" w:color="auto"/>
            <w:bottom w:val="none" w:sz="0" w:space="0" w:color="auto"/>
            <w:right w:val="none" w:sz="0" w:space="0" w:color="auto"/>
          </w:divBdr>
        </w:div>
        <w:div w:id="1592542853">
          <w:marLeft w:val="634"/>
          <w:marRight w:val="0"/>
          <w:marTop w:val="77"/>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69936">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81290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403481">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369339">
      <w:bodyDiv w:val="1"/>
      <w:marLeft w:val="0"/>
      <w:marRight w:val="0"/>
      <w:marTop w:val="0"/>
      <w:marBottom w:val="0"/>
      <w:divBdr>
        <w:top w:val="none" w:sz="0" w:space="0" w:color="auto"/>
        <w:left w:val="none" w:sz="0" w:space="0" w:color="auto"/>
        <w:bottom w:val="none" w:sz="0" w:space="0" w:color="auto"/>
        <w:right w:val="none" w:sz="0" w:space="0" w:color="auto"/>
      </w:divBdr>
      <w:divsChild>
        <w:div w:id="2036884594">
          <w:marLeft w:val="634"/>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453548">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0927160">
      <w:bodyDiv w:val="1"/>
      <w:marLeft w:val="0"/>
      <w:marRight w:val="0"/>
      <w:marTop w:val="0"/>
      <w:marBottom w:val="0"/>
      <w:divBdr>
        <w:top w:val="none" w:sz="0" w:space="0" w:color="auto"/>
        <w:left w:val="none" w:sz="0" w:space="0" w:color="auto"/>
        <w:bottom w:val="none" w:sz="0" w:space="0" w:color="auto"/>
        <w:right w:val="none" w:sz="0" w:space="0" w:color="auto"/>
      </w:divBdr>
      <w:divsChild>
        <w:div w:id="521941712">
          <w:marLeft w:val="547"/>
          <w:marRight w:val="0"/>
          <w:marTop w:val="77"/>
          <w:marBottom w:val="0"/>
          <w:divBdr>
            <w:top w:val="none" w:sz="0" w:space="0" w:color="auto"/>
            <w:left w:val="none" w:sz="0" w:space="0" w:color="auto"/>
            <w:bottom w:val="none" w:sz="0" w:space="0" w:color="auto"/>
            <w:right w:val="none" w:sz="0" w:space="0" w:color="auto"/>
          </w:divBdr>
        </w:div>
        <w:div w:id="254752172">
          <w:marLeft w:val="547"/>
          <w:marRight w:val="0"/>
          <w:marTop w:val="77"/>
          <w:marBottom w:val="0"/>
          <w:divBdr>
            <w:top w:val="none" w:sz="0" w:space="0" w:color="auto"/>
            <w:left w:val="none" w:sz="0" w:space="0" w:color="auto"/>
            <w:bottom w:val="none" w:sz="0" w:space="0" w:color="auto"/>
            <w:right w:val="none" w:sz="0" w:space="0" w:color="auto"/>
          </w:divBdr>
        </w:div>
      </w:divsChild>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00975">
      <w:bodyDiv w:val="1"/>
      <w:marLeft w:val="0"/>
      <w:marRight w:val="0"/>
      <w:marTop w:val="0"/>
      <w:marBottom w:val="0"/>
      <w:divBdr>
        <w:top w:val="none" w:sz="0" w:space="0" w:color="auto"/>
        <w:left w:val="none" w:sz="0" w:space="0" w:color="auto"/>
        <w:bottom w:val="none" w:sz="0" w:space="0" w:color="auto"/>
        <w:right w:val="none" w:sz="0" w:space="0" w:color="auto"/>
      </w:divBdr>
      <w:divsChild>
        <w:div w:id="1596092238">
          <w:marLeft w:val="634"/>
          <w:marRight w:val="0"/>
          <w:marTop w:val="0"/>
          <w:marBottom w:val="0"/>
          <w:divBdr>
            <w:top w:val="none" w:sz="0" w:space="0" w:color="auto"/>
            <w:left w:val="none" w:sz="0" w:space="0" w:color="auto"/>
            <w:bottom w:val="none" w:sz="0" w:space="0" w:color="auto"/>
            <w:right w:val="none" w:sz="0" w:space="0" w:color="auto"/>
          </w:divBdr>
        </w:div>
      </w:divsChild>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160492">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01799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875923">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482554">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452335">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6800673">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7606995">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516122">
      <w:bodyDiv w:val="1"/>
      <w:marLeft w:val="0"/>
      <w:marRight w:val="0"/>
      <w:marTop w:val="0"/>
      <w:marBottom w:val="0"/>
      <w:divBdr>
        <w:top w:val="none" w:sz="0" w:space="0" w:color="auto"/>
        <w:left w:val="none" w:sz="0" w:space="0" w:color="auto"/>
        <w:bottom w:val="none" w:sz="0" w:space="0" w:color="auto"/>
        <w:right w:val="none" w:sz="0" w:space="0" w:color="auto"/>
      </w:divBdr>
      <w:divsChild>
        <w:div w:id="2062097236">
          <w:marLeft w:val="1166"/>
          <w:marRight w:val="0"/>
          <w:marTop w:val="0"/>
          <w:marBottom w:val="240"/>
          <w:divBdr>
            <w:top w:val="none" w:sz="0" w:space="0" w:color="auto"/>
            <w:left w:val="none" w:sz="0" w:space="0" w:color="auto"/>
            <w:bottom w:val="none" w:sz="0" w:space="0" w:color="auto"/>
            <w:right w:val="none" w:sz="0" w:space="0" w:color="auto"/>
          </w:divBdr>
        </w:div>
        <w:div w:id="785580034">
          <w:marLeft w:val="1166"/>
          <w:marRight w:val="0"/>
          <w:marTop w:val="0"/>
          <w:marBottom w:val="240"/>
          <w:divBdr>
            <w:top w:val="none" w:sz="0" w:space="0" w:color="auto"/>
            <w:left w:val="none" w:sz="0" w:space="0" w:color="auto"/>
            <w:bottom w:val="none" w:sz="0" w:space="0" w:color="auto"/>
            <w:right w:val="none" w:sz="0" w:space="0" w:color="auto"/>
          </w:divBdr>
        </w:div>
        <w:div w:id="485901506">
          <w:marLeft w:val="1166"/>
          <w:marRight w:val="0"/>
          <w:marTop w:val="0"/>
          <w:marBottom w:val="240"/>
          <w:divBdr>
            <w:top w:val="none" w:sz="0" w:space="0" w:color="auto"/>
            <w:left w:val="none" w:sz="0" w:space="0" w:color="auto"/>
            <w:bottom w:val="none" w:sz="0" w:space="0" w:color="auto"/>
            <w:right w:val="none" w:sz="0" w:space="0" w:color="auto"/>
          </w:divBdr>
        </w:div>
        <w:div w:id="1652833542">
          <w:marLeft w:val="1166"/>
          <w:marRight w:val="0"/>
          <w:marTop w:val="0"/>
          <w:marBottom w:val="24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395911">
      <w:bodyDiv w:val="1"/>
      <w:marLeft w:val="0"/>
      <w:marRight w:val="0"/>
      <w:marTop w:val="0"/>
      <w:marBottom w:val="0"/>
      <w:divBdr>
        <w:top w:val="none" w:sz="0" w:space="0" w:color="auto"/>
        <w:left w:val="none" w:sz="0" w:space="0" w:color="auto"/>
        <w:bottom w:val="none" w:sz="0" w:space="0" w:color="auto"/>
        <w:right w:val="none" w:sz="0" w:space="0" w:color="auto"/>
      </w:divBdr>
      <w:divsChild>
        <w:div w:id="1230657186">
          <w:marLeft w:val="446"/>
          <w:marRight w:val="0"/>
          <w:marTop w:val="0"/>
          <w:marBottom w:val="0"/>
          <w:divBdr>
            <w:top w:val="none" w:sz="0" w:space="0" w:color="auto"/>
            <w:left w:val="none" w:sz="0" w:space="0" w:color="auto"/>
            <w:bottom w:val="none" w:sz="0" w:space="0" w:color="auto"/>
            <w:right w:val="none" w:sz="0" w:space="0" w:color="auto"/>
          </w:divBdr>
        </w:div>
        <w:div w:id="2072345504">
          <w:marLeft w:val="446"/>
          <w:marRight w:val="0"/>
          <w:marTop w:val="0"/>
          <w:marBottom w:val="0"/>
          <w:divBdr>
            <w:top w:val="none" w:sz="0" w:space="0" w:color="auto"/>
            <w:left w:val="none" w:sz="0" w:space="0" w:color="auto"/>
            <w:bottom w:val="none" w:sz="0" w:space="0" w:color="auto"/>
            <w:right w:val="none" w:sz="0" w:space="0" w:color="auto"/>
          </w:divBdr>
        </w:div>
        <w:div w:id="1085883156">
          <w:marLeft w:val="446"/>
          <w:marRight w:val="0"/>
          <w:marTop w:val="0"/>
          <w:marBottom w:val="0"/>
          <w:divBdr>
            <w:top w:val="none" w:sz="0" w:space="0" w:color="auto"/>
            <w:left w:val="none" w:sz="0" w:space="0" w:color="auto"/>
            <w:bottom w:val="none" w:sz="0" w:space="0" w:color="auto"/>
            <w:right w:val="none" w:sz="0" w:space="0" w:color="auto"/>
          </w:divBdr>
        </w:div>
        <w:div w:id="1823616190">
          <w:marLeft w:val="446"/>
          <w:marRight w:val="0"/>
          <w:marTop w:val="0"/>
          <w:marBottom w:val="0"/>
          <w:divBdr>
            <w:top w:val="none" w:sz="0" w:space="0" w:color="auto"/>
            <w:left w:val="none" w:sz="0" w:space="0" w:color="auto"/>
            <w:bottom w:val="none" w:sz="0" w:space="0" w:color="auto"/>
            <w:right w:val="none" w:sz="0" w:space="0" w:color="auto"/>
          </w:divBdr>
        </w:div>
        <w:div w:id="1494834307">
          <w:marLeft w:val="446"/>
          <w:marRight w:val="0"/>
          <w:marTop w:val="0"/>
          <w:marBottom w:val="0"/>
          <w:divBdr>
            <w:top w:val="none" w:sz="0" w:space="0" w:color="auto"/>
            <w:left w:val="none" w:sz="0" w:space="0" w:color="auto"/>
            <w:bottom w:val="none" w:sz="0" w:space="0" w:color="auto"/>
            <w:right w:val="none" w:sz="0" w:space="0" w:color="auto"/>
          </w:divBdr>
        </w:div>
        <w:div w:id="1811170631">
          <w:marLeft w:val="446"/>
          <w:marRight w:val="0"/>
          <w:marTop w:val="0"/>
          <w:marBottom w:val="0"/>
          <w:divBdr>
            <w:top w:val="none" w:sz="0" w:space="0" w:color="auto"/>
            <w:left w:val="none" w:sz="0" w:space="0" w:color="auto"/>
            <w:bottom w:val="none" w:sz="0" w:space="0" w:color="auto"/>
            <w:right w:val="none" w:sz="0" w:space="0" w:color="auto"/>
          </w:divBdr>
        </w:div>
        <w:div w:id="1328830126">
          <w:marLeft w:val="446"/>
          <w:marRight w:val="0"/>
          <w:marTop w:val="0"/>
          <w:marBottom w:val="0"/>
          <w:divBdr>
            <w:top w:val="none" w:sz="0" w:space="0" w:color="auto"/>
            <w:left w:val="none" w:sz="0" w:space="0" w:color="auto"/>
            <w:bottom w:val="none" w:sz="0" w:space="0" w:color="auto"/>
            <w:right w:val="none" w:sz="0" w:space="0" w:color="auto"/>
          </w:divBdr>
        </w:div>
        <w:div w:id="1865090422">
          <w:marLeft w:val="446"/>
          <w:marRight w:val="0"/>
          <w:marTop w:val="0"/>
          <w:marBottom w:val="0"/>
          <w:divBdr>
            <w:top w:val="none" w:sz="0" w:space="0" w:color="auto"/>
            <w:left w:val="none" w:sz="0" w:space="0" w:color="auto"/>
            <w:bottom w:val="none" w:sz="0" w:space="0" w:color="auto"/>
            <w:right w:val="none" w:sz="0" w:space="0" w:color="auto"/>
          </w:divBdr>
        </w:div>
        <w:div w:id="415439423">
          <w:marLeft w:val="446"/>
          <w:marRight w:val="0"/>
          <w:marTop w:val="0"/>
          <w:marBottom w:val="0"/>
          <w:divBdr>
            <w:top w:val="none" w:sz="0" w:space="0" w:color="auto"/>
            <w:left w:val="none" w:sz="0" w:space="0" w:color="auto"/>
            <w:bottom w:val="none" w:sz="0" w:space="0" w:color="auto"/>
            <w:right w:val="none" w:sz="0" w:space="0" w:color="auto"/>
          </w:divBdr>
        </w:div>
        <w:div w:id="1428696532">
          <w:marLeft w:val="446"/>
          <w:marRight w:val="0"/>
          <w:marTop w:val="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508956">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482484">
      <w:bodyDiv w:val="1"/>
      <w:marLeft w:val="0"/>
      <w:marRight w:val="0"/>
      <w:marTop w:val="0"/>
      <w:marBottom w:val="0"/>
      <w:divBdr>
        <w:top w:val="none" w:sz="0" w:space="0" w:color="auto"/>
        <w:left w:val="none" w:sz="0" w:space="0" w:color="auto"/>
        <w:bottom w:val="none" w:sz="0" w:space="0" w:color="auto"/>
        <w:right w:val="none" w:sz="0" w:space="0" w:color="auto"/>
      </w:divBdr>
      <w:divsChild>
        <w:div w:id="1542287086">
          <w:marLeft w:val="634"/>
          <w:marRight w:val="0"/>
          <w:marTop w:val="0"/>
          <w:marBottom w:val="0"/>
          <w:divBdr>
            <w:top w:val="none" w:sz="0" w:space="0" w:color="auto"/>
            <w:left w:val="none" w:sz="0" w:space="0" w:color="auto"/>
            <w:bottom w:val="none" w:sz="0" w:space="0" w:color="auto"/>
            <w:right w:val="none" w:sz="0" w:space="0" w:color="auto"/>
          </w:divBdr>
        </w:div>
        <w:div w:id="1247614377">
          <w:marLeft w:val="634"/>
          <w:marRight w:val="0"/>
          <w:marTop w:val="0"/>
          <w:marBottom w:val="0"/>
          <w:divBdr>
            <w:top w:val="none" w:sz="0" w:space="0" w:color="auto"/>
            <w:left w:val="none" w:sz="0" w:space="0" w:color="auto"/>
            <w:bottom w:val="none" w:sz="0" w:space="0" w:color="auto"/>
            <w:right w:val="none" w:sz="0" w:space="0" w:color="auto"/>
          </w:divBdr>
        </w:div>
        <w:div w:id="1739739670">
          <w:marLeft w:val="634"/>
          <w:marRight w:val="0"/>
          <w:marTop w:val="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7428">
      <w:bodyDiv w:val="1"/>
      <w:marLeft w:val="0"/>
      <w:marRight w:val="0"/>
      <w:marTop w:val="0"/>
      <w:marBottom w:val="0"/>
      <w:divBdr>
        <w:top w:val="none" w:sz="0" w:space="0" w:color="auto"/>
        <w:left w:val="none" w:sz="0" w:space="0" w:color="auto"/>
        <w:bottom w:val="none" w:sz="0" w:space="0" w:color="auto"/>
        <w:right w:val="none" w:sz="0" w:space="0" w:color="auto"/>
      </w:divBdr>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649374">
      <w:bodyDiv w:val="1"/>
      <w:marLeft w:val="0"/>
      <w:marRight w:val="0"/>
      <w:marTop w:val="0"/>
      <w:marBottom w:val="0"/>
      <w:divBdr>
        <w:top w:val="none" w:sz="0" w:space="0" w:color="auto"/>
        <w:left w:val="none" w:sz="0" w:space="0" w:color="auto"/>
        <w:bottom w:val="none" w:sz="0" w:space="0" w:color="auto"/>
        <w:right w:val="none" w:sz="0" w:space="0" w:color="auto"/>
      </w:divBdr>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6943424">
      <w:bodyDiv w:val="1"/>
      <w:marLeft w:val="0"/>
      <w:marRight w:val="0"/>
      <w:marTop w:val="0"/>
      <w:marBottom w:val="0"/>
      <w:divBdr>
        <w:top w:val="none" w:sz="0" w:space="0" w:color="auto"/>
        <w:left w:val="none" w:sz="0" w:space="0" w:color="auto"/>
        <w:bottom w:val="none" w:sz="0" w:space="0" w:color="auto"/>
        <w:right w:val="none" w:sz="0" w:space="0" w:color="auto"/>
      </w:divBdr>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3933045">
      <w:bodyDiv w:val="1"/>
      <w:marLeft w:val="0"/>
      <w:marRight w:val="0"/>
      <w:marTop w:val="0"/>
      <w:marBottom w:val="0"/>
      <w:divBdr>
        <w:top w:val="none" w:sz="0" w:space="0" w:color="auto"/>
        <w:left w:val="none" w:sz="0" w:space="0" w:color="auto"/>
        <w:bottom w:val="none" w:sz="0" w:space="0" w:color="auto"/>
        <w:right w:val="none" w:sz="0" w:space="0" w:color="auto"/>
      </w:divBdr>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570408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065964">
      <w:bodyDiv w:val="1"/>
      <w:marLeft w:val="0"/>
      <w:marRight w:val="0"/>
      <w:marTop w:val="0"/>
      <w:marBottom w:val="0"/>
      <w:divBdr>
        <w:top w:val="none" w:sz="0" w:space="0" w:color="auto"/>
        <w:left w:val="none" w:sz="0" w:space="0" w:color="auto"/>
        <w:bottom w:val="none" w:sz="0" w:space="0" w:color="auto"/>
        <w:right w:val="none" w:sz="0" w:space="0" w:color="auto"/>
      </w:divBdr>
      <w:divsChild>
        <w:div w:id="2097555836">
          <w:marLeft w:val="907"/>
          <w:marRight w:val="0"/>
          <w:marTop w:val="82"/>
          <w:marBottom w:val="0"/>
          <w:divBdr>
            <w:top w:val="none" w:sz="0" w:space="0" w:color="auto"/>
            <w:left w:val="none" w:sz="0" w:space="0" w:color="auto"/>
            <w:bottom w:val="none" w:sz="0" w:space="0" w:color="auto"/>
            <w:right w:val="none" w:sz="0" w:space="0" w:color="auto"/>
          </w:divBdr>
        </w:div>
        <w:div w:id="1979727034">
          <w:marLeft w:val="907"/>
          <w:marRight w:val="0"/>
          <w:marTop w:val="82"/>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0886646">
      <w:bodyDiv w:val="1"/>
      <w:marLeft w:val="0"/>
      <w:marRight w:val="0"/>
      <w:marTop w:val="0"/>
      <w:marBottom w:val="0"/>
      <w:divBdr>
        <w:top w:val="none" w:sz="0" w:space="0" w:color="auto"/>
        <w:left w:val="none" w:sz="0" w:space="0" w:color="auto"/>
        <w:bottom w:val="none" w:sz="0" w:space="0" w:color="auto"/>
        <w:right w:val="none" w:sz="0" w:space="0" w:color="auto"/>
      </w:divBdr>
      <w:divsChild>
        <w:div w:id="741223517">
          <w:marLeft w:val="1138"/>
          <w:marRight w:val="0"/>
          <w:marTop w:val="0"/>
          <w:marBottom w:val="240"/>
          <w:divBdr>
            <w:top w:val="none" w:sz="0" w:space="0" w:color="auto"/>
            <w:left w:val="none" w:sz="0" w:space="0" w:color="auto"/>
            <w:bottom w:val="none" w:sz="0" w:space="0" w:color="auto"/>
            <w:right w:val="none" w:sz="0" w:space="0" w:color="auto"/>
          </w:divBdr>
        </w:div>
        <w:div w:id="1537499167">
          <w:marLeft w:val="1138"/>
          <w:marRight w:val="0"/>
          <w:marTop w:val="0"/>
          <w:marBottom w:val="240"/>
          <w:divBdr>
            <w:top w:val="none" w:sz="0" w:space="0" w:color="auto"/>
            <w:left w:val="none" w:sz="0" w:space="0" w:color="auto"/>
            <w:bottom w:val="none" w:sz="0" w:space="0" w:color="auto"/>
            <w:right w:val="none" w:sz="0" w:space="0" w:color="auto"/>
          </w:divBdr>
        </w:div>
        <w:div w:id="256405445">
          <w:marLeft w:val="1138"/>
          <w:marRight w:val="0"/>
          <w:marTop w:val="0"/>
          <w:marBottom w:val="240"/>
          <w:divBdr>
            <w:top w:val="none" w:sz="0" w:space="0" w:color="auto"/>
            <w:left w:val="none" w:sz="0" w:space="0" w:color="auto"/>
            <w:bottom w:val="none" w:sz="0" w:space="0" w:color="auto"/>
            <w:right w:val="none" w:sz="0" w:space="0" w:color="auto"/>
          </w:divBdr>
        </w:div>
        <w:div w:id="591822099">
          <w:marLeft w:val="1138"/>
          <w:marRight w:val="0"/>
          <w:marTop w:val="0"/>
          <w:marBottom w:val="240"/>
          <w:divBdr>
            <w:top w:val="none" w:sz="0" w:space="0" w:color="auto"/>
            <w:left w:val="none" w:sz="0" w:space="0" w:color="auto"/>
            <w:bottom w:val="none" w:sz="0" w:space="0" w:color="auto"/>
            <w:right w:val="none" w:sz="0" w:space="0" w:color="auto"/>
          </w:divBdr>
        </w:div>
        <w:div w:id="549417824">
          <w:marLeft w:val="1138"/>
          <w:marRight w:val="0"/>
          <w:marTop w:val="0"/>
          <w:marBottom w:val="240"/>
          <w:divBdr>
            <w:top w:val="none" w:sz="0" w:space="0" w:color="auto"/>
            <w:left w:val="none" w:sz="0" w:space="0" w:color="auto"/>
            <w:bottom w:val="none" w:sz="0" w:space="0" w:color="auto"/>
            <w:right w:val="none" w:sz="0" w:space="0" w:color="auto"/>
          </w:divBdr>
        </w:div>
        <w:div w:id="1496263435">
          <w:marLeft w:val="1138"/>
          <w:marRight w:val="0"/>
          <w:marTop w:val="0"/>
          <w:marBottom w:val="24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750519">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342962">
      <w:bodyDiv w:val="1"/>
      <w:marLeft w:val="0"/>
      <w:marRight w:val="0"/>
      <w:marTop w:val="0"/>
      <w:marBottom w:val="0"/>
      <w:divBdr>
        <w:top w:val="none" w:sz="0" w:space="0" w:color="auto"/>
        <w:left w:val="none" w:sz="0" w:space="0" w:color="auto"/>
        <w:bottom w:val="none" w:sz="0" w:space="0" w:color="auto"/>
        <w:right w:val="none" w:sz="0" w:space="0" w:color="auto"/>
      </w:divBdr>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4566712">
      <w:bodyDiv w:val="1"/>
      <w:marLeft w:val="0"/>
      <w:marRight w:val="0"/>
      <w:marTop w:val="0"/>
      <w:marBottom w:val="0"/>
      <w:divBdr>
        <w:top w:val="none" w:sz="0" w:space="0" w:color="auto"/>
        <w:left w:val="none" w:sz="0" w:space="0" w:color="auto"/>
        <w:bottom w:val="none" w:sz="0" w:space="0" w:color="auto"/>
        <w:right w:val="none" w:sz="0" w:space="0" w:color="auto"/>
      </w:divBdr>
      <w:divsChild>
        <w:div w:id="1409422234">
          <w:marLeft w:val="547"/>
          <w:marRight w:val="0"/>
          <w:marTop w:val="77"/>
          <w:marBottom w:val="0"/>
          <w:divBdr>
            <w:top w:val="none" w:sz="0" w:space="0" w:color="auto"/>
            <w:left w:val="none" w:sz="0" w:space="0" w:color="auto"/>
            <w:bottom w:val="none" w:sz="0" w:space="0" w:color="auto"/>
            <w:right w:val="none" w:sz="0" w:space="0" w:color="auto"/>
          </w:divBdr>
        </w:div>
        <w:div w:id="707409424">
          <w:marLeft w:val="547"/>
          <w:marRight w:val="0"/>
          <w:marTop w:val="77"/>
          <w:marBottom w:val="0"/>
          <w:divBdr>
            <w:top w:val="none" w:sz="0" w:space="0" w:color="auto"/>
            <w:left w:val="none" w:sz="0" w:space="0" w:color="auto"/>
            <w:bottom w:val="none" w:sz="0" w:space="0" w:color="auto"/>
            <w:right w:val="none" w:sz="0" w:space="0" w:color="auto"/>
          </w:divBdr>
        </w:div>
        <w:div w:id="1424032968">
          <w:marLeft w:val="547"/>
          <w:marRight w:val="0"/>
          <w:marTop w:val="77"/>
          <w:marBottom w:val="0"/>
          <w:divBdr>
            <w:top w:val="none" w:sz="0" w:space="0" w:color="auto"/>
            <w:left w:val="none" w:sz="0" w:space="0" w:color="auto"/>
            <w:bottom w:val="none" w:sz="0" w:space="0" w:color="auto"/>
            <w:right w:val="none" w:sz="0" w:space="0" w:color="auto"/>
          </w:divBdr>
        </w:div>
        <w:div w:id="151335895">
          <w:marLeft w:val="547"/>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41897">
      <w:bodyDiv w:val="1"/>
      <w:marLeft w:val="0"/>
      <w:marRight w:val="0"/>
      <w:marTop w:val="0"/>
      <w:marBottom w:val="0"/>
      <w:divBdr>
        <w:top w:val="none" w:sz="0" w:space="0" w:color="auto"/>
        <w:left w:val="none" w:sz="0" w:space="0" w:color="auto"/>
        <w:bottom w:val="none" w:sz="0" w:space="0" w:color="auto"/>
        <w:right w:val="none" w:sz="0" w:space="0" w:color="auto"/>
      </w:divBdr>
      <w:divsChild>
        <w:div w:id="1541161384">
          <w:marLeft w:val="547"/>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335877">
      <w:bodyDiv w:val="1"/>
      <w:marLeft w:val="0"/>
      <w:marRight w:val="0"/>
      <w:marTop w:val="0"/>
      <w:marBottom w:val="0"/>
      <w:divBdr>
        <w:top w:val="none" w:sz="0" w:space="0" w:color="auto"/>
        <w:left w:val="none" w:sz="0" w:space="0" w:color="auto"/>
        <w:bottom w:val="none" w:sz="0" w:space="0" w:color="auto"/>
        <w:right w:val="none" w:sz="0" w:space="0" w:color="auto"/>
      </w:divBdr>
      <w:divsChild>
        <w:div w:id="445662481">
          <w:marLeft w:val="634"/>
          <w:marRight w:val="0"/>
          <w:marTop w:val="0"/>
          <w:marBottom w:val="0"/>
          <w:divBdr>
            <w:top w:val="none" w:sz="0" w:space="0" w:color="auto"/>
            <w:left w:val="none" w:sz="0" w:space="0" w:color="auto"/>
            <w:bottom w:val="none" w:sz="0" w:space="0" w:color="auto"/>
            <w:right w:val="none" w:sz="0" w:space="0" w:color="auto"/>
          </w:divBdr>
        </w:div>
        <w:div w:id="935862737">
          <w:marLeft w:val="634"/>
          <w:marRight w:val="0"/>
          <w:marTop w:val="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47213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8918940">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2274103">
      <w:bodyDiv w:val="1"/>
      <w:marLeft w:val="0"/>
      <w:marRight w:val="0"/>
      <w:marTop w:val="0"/>
      <w:marBottom w:val="0"/>
      <w:divBdr>
        <w:top w:val="none" w:sz="0" w:space="0" w:color="auto"/>
        <w:left w:val="none" w:sz="0" w:space="0" w:color="auto"/>
        <w:bottom w:val="none" w:sz="0" w:space="0" w:color="auto"/>
        <w:right w:val="none" w:sz="0" w:space="0" w:color="auto"/>
      </w:divBdr>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0590880">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151164">
      <w:bodyDiv w:val="1"/>
      <w:marLeft w:val="0"/>
      <w:marRight w:val="0"/>
      <w:marTop w:val="0"/>
      <w:marBottom w:val="0"/>
      <w:divBdr>
        <w:top w:val="none" w:sz="0" w:space="0" w:color="auto"/>
        <w:left w:val="none" w:sz="0" w:space="0" w:color="auto"/>
        <w:bottom w:val="none" w:sz="0" w:space="0" w:color="auto"/>
        <w:right w:val="none" w:sz="0" w:space="0" w:color="auto"/>
      </w:divBdr>
      <w:divsChild>
        <w:div w:id="648020143">
          <w:marLeft w:val="634"/>
          <w:marRight w:val="0"/>
          <w:marTop w:val="0"/>
          <w:marBottom w:val="0"/>
          <w:divBdr>
            <w:top w:val="none" w:sz="0" w:space="0" w:color="auto"/>
            <w:left w:val="none" w:sz="0" w:space="0" w:color="auto"/>
            <w:bottom w:val="none" w:sz="0" w:space="0" w:color="auto"/>
            <w:right w:val="none" w:sz="0" w:space="0" w:color="auto"/>
          </w:divBdr>
        </w:div>
        <w:div w:id="1192690011">
          <w:marLeft w:val="634"/>
          <w:marRight w:val="0"/>
          <w:marTop w:val="0"/>
          <w:marBottom w:val="0"/>
          <w:divBdr>
            <w:top w:val="none" w:sz="0" w:space="0" w:color="auto"/>
            <w:left w:val="none" w:sz="0" w:space="0" w:color="auto"/>
            <w:bottom w:val="none" w:sz="0" w:space="0" w:color="auto"/>
            <w:right w:val="none" w:sz="0" w:space="0" w:color="auto"/>
          </w:divBdr>
        </w:div>
        <w:div w:id="619803273">
          <w:marLeft w:val="634"/>
          <w:marRight w:val="0"/>
          <w:marTop w:val="0"/>
          <w:marBottom w:val="0"/>
          <w:divBdr>
            <w:top w:val="none" w:sz="0" w:space="0" w:color="auto"/>
            <w:left w:val="none" w:sz="0" w:space="0" w:color="auto"/>
            <w:bottom w:val="none" w:sz="0" w:space="0" w:color="auto"/>
            <w:right w:val="none" w:sz="0" w:space="0" w:color="auto"/>
          </w:divBdr>
        </w:div>
        <w:div w:id="107896584">
          <w:marLeft w:val="634"/>
          <w:marRight w:val="0"/>
          <w:marTop w:val="0"/>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0906972">
      <w:bodyDiv w:val="1"/>
      <w:marLeft w:val="0"/>
      <w:marRight w:val="0"/>
      <w:marTop w:val="0"/>
      <w:marBottom w:val="0"/>
      <w:divBdr>
        <w:top w:val="none" w:sz="0" w:space="0" w:color="auto"/>
        <w:left w:val="none" w:sz="0" w:space="0" w:color="auto"/>
        <w:bottom w:val="none" w:sz="0" w:space="0" w:color="auto"/>
        <w:right w:val="none" w:sz="0" w:space="0" w:color="auto"/>
      </w:divBdr>
      <w:divsChild>
        <w:div w:id="1668510624">
          <w:marLeft w:val="446"/>
          <w:marRight w:val="0"/>
          <w:marTop w:val="0"/>
          <w:marBottom w:val="0"/>
          <w:divBdr>
            <w:top w:val="none" w:sz="0" w:space="0" w:color="auto"/>
            <w:left w:val="none" w:sz="0" w:space="0" w:color="auto"/>
            <w:bottom w:val="none" w:sz="0" w:space="0" w:color="auto"/>
            <w:right w:val="none" w:sz="0" w:space="0" w:color="auto"/>
          </w:divBdr>
        </w:div>
        <w:div w:id="1222980915">
          <w:marLeft w:val="446"/>
          <w:marRight w:val="0"/>
          <w:marTop w:val="0"/>
          <w:marBottom w:val="0"/>
          <w:divBdr>
            <w:top w:val="none" w:sz="0" w:space="0" w:color="auto"/>
            <w:left w:val="none" w:sz="0" w:space="0" w:color="auto"/>
            <w:bottom w:val="none" w:sz="0" w:space="0" w:color="auto"/>
            <w:right w:val="none" w:sz="0" w:space="0" w:color="auto"/>
          </w:divBdr>
        </w:div>
        <w:div w:id="711156902">
          <w:marLeft w:val="878"/>
          <w:marRight w:val="0"/>
          <w:marTop w:val="0"/>
          <w:marBottom w:val="0"/>
          <w:divBdr>
            <w:top w:val="none" w:sz="0" w:space="0" w:color="auto"/>
            <w:left w:val="none" w:sz="0" w:space="0" w:color="auto"/>
            <w:bottom w:val="none" w:sz="0" w:space="0" w:color="auto"/>
            <w:right w:val="none" w:sz="0" w:space="0" w:color="auto"/>
          </w:divBdr>
        </w:div>
        <w:div w:id="1821145165">
          <w:marLeft w:val="878"/>
          <w:marRight w:val="0"/>
          <w:marTop w:val="0"/>
          <w:marBottom w:val="0"/>
          <w:divBdr>
            <w:top w:val="none" w:sz="0" w:space="0" w:color="auto"/>
            <w:left w:val="none" w:sz="0" w:space="0" w:color="auto"/>
            <w:bottom w:val="none" w:sz="0" w:space="0" w:color="auto"/>
            <w:right w:val="none" w:sz="0" w:space="0" w:color="auto"/>
          </w:divBdr>
        </w:div>
        <w:div w:id="2098209800">
          <w:marLeft w:val="878"/>
          <w:marRight w:val="0"/>
          <w:marTop w:val="0"/>
          <w:marBottom w:val="0"/>
          <w:divBdr>
            <w:top w:val="none" w:sz="0" w:space="0" w:color="auto"/>
            <w:left w:val="none" w:sz="0" w:space="0" w:color="auto"/>
            <w:bottom w:val="none" w:sz="0" w:space="0" w:color="auto"/>
            <w:right w:val="none" w:sz="0" w:space="0" w:color="auto"/>
          </w:divBdr>
        </w:div>
      </w:divsChild>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200443">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594165">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438380">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623771">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8794060">
      <w:bodyDiv w:val="1"/>
      <w:marLeft w:val="0"/>
      <w:marRight w:val="0"/>
      <w:marTop w:val="0"/>
      <w:marBottom w:val="0"/>
      <w:divBdr>
        <w:top w:val="none" w:sz="0" w:space="0" w:color="auto"/>
        <w:left w:val="none" w:sz="0" w:space="0" w:color="auto"/>
        <w:bottom w:val="none" w:sz="0" w:space="0" w:color="auto"/>
        <w:right w:val="none" w:sz="0" w:space="0" w:color="auto"/>
      </w:divBdr>
      <w:divsChild>
        <w:div w:id="1120296046">
          <w:marLeft w:val="80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5804678">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68C3-5514-44FB-BEB0-0A1D1D34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17098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2022-09-23T17:25:00Z</cp:lastPrinted>
  <dcterms:created xsi:type="dcterms:W3CDTF">2023-07-25T17:46:00Z</dcterms:created>
  <dcterms:modified xsi:type="dcterms:W3CDTF">2023-07-25T17:46:00Z</dcterms:modified>
</cp:coreProperties>
</file>