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F8441C" w:rsidRDefault="00347AD6" w:rsidP="00F8441C">
      <w:pPr>
        <w:spacing w:after="0" w:line="240" w:lineRule="auto"/>
        <w:ind w:left="441"/>
        <w:jc w:val="both"/>
        <w:rPr>
          <w:rFonts w:ascii="Museo 100" w:eastAsia="Times New Roman" w:hAnsi="Museo 100" w:cs="Times New Roman"/>
          <w:b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E075F" w:rsidRPr="00F8441C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F8441C" w:rsidRDefault="00056549" w:rsidP="00F8441C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F8441C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416474EC" w:rsidR="00056549" w:rsidRPr="00F8441C" w:rsidRDefault="00056549" w:rsidP="00F8441C">
            <w:pPr>
              <w:spacing w:after="0" w:line="240" w:lineRule="auto"/>
              <w:jc w:val="center"/>
              <w:rPr>
                <w:rFonts w:ascii="Museo 100" w:eastAsia="Calibri" w:hAnsi="Museo 100"/>
                <w:lang w:val="es-SV"/>
              </w:rPr>
            </w:pPr>
            <w:r w:rsidRPr="00F8441C">
              <w:rPr>
                <w:rFonts w:ascii="Museo 100" w:eastAsia="Calibri" w:hAnsi="Museo 100"/>
                <w:lang w:val="es-SV"/>
              </w:rPr>
              <w:t>UAIP/00</w:t>
            </w:r>
            <w:r w:rsidR="008D5F22" w:rsidRPr="00F8441C">
              <w:rPr>
                <w:rFonts w:ascii="Museo 100" w:eastAsia="Calibri" w:hAnsi="Museo 100"/>
                <w:lang w:val="es-SV"/>
              </w:rPr>
              <w:t>49</w:t>
            </w:r>
            <w:r w:rsidRPr="00F8441C">
              <w:rPr>
                <w:rFonts w:ascii="Museo 100" w:eastAsia="Calibri" w:hAnsi="Museo 100"/>
                <w:lang w:val="es-SV"/>
              </w:rPr>
              <w:t>/2021</w:t>
            </w:r>
          </w:p>
        </w:tc>
      </w:tr>
    </w:tbl>
    <w:p w14:paraId="25E15F92" w14:textId="00B0982E" w:rsidR="00056549" w:rsidRPr="00F8441C" w:rsidRDefault="00056549" w:rsidP="00F8441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8D5F22" w:rsidRPr="00F8441C">
        <w:rPr>
          <w:rFonts w:ascii="Museo 100" w:hAnsi="Museo 100"/>
        </w:rPr>
        <w:t xml:space="preserve">catorce </w:t>
      </w:r>
      <w:r w:rsidRPr="00F8441C">
        <w:rPr>
          <w:rFonts w:ascii="Museo 100" w:hAnsi="Museo 100"/>
        </w:rPr>
        <w:t>horas</w:t>
      </w:r>
      <w:r w:rsidR="00E74F41" w:rsidRPr="00F8441C">
        <w:rPr>
          <w:rFonts w:ascii="Museo 100" w:hAnsi="Museo 100"/>
        </w:rPr>
        <w:t xml:space="preserve"> </w:t>
      </w:r>
      <w:r w:rsidR="008D5F22" w:rsidRPr="00F8441C">
        <w:rPr>
          <w:rFonts w:ascii="Museo 100" w:hAnsi="Museo 100"/>
        </w:rPr>
        <w:t>once</w:t>
      </w:r>
      <w:r w:rsidR="009C15BE" w:rsidRPr="00F8441C">
        <w:rPr>
          <w:rFonts w:ascii="Museo 100" w:hAnsi="Museo 100"/>
        </w:rPr>
        <w:t xml:space="preserve"> minutos </w:t>
      </w:r>
      <w:r w:rsidRPr="00F8441C">
        <w:rPr>
          <w:rFonts w:ascii="Museo 100" w:hAnsi="Museo 100"/>
        </w:rPr>
        <w:t xml:space="preserve">del día </w:t>
      </w:r>
      <w:r w:rsidR="008D5F22" w:rsidRPr="00F8441C">
        <w:rPr>
          <w:rFonts w:ascii="Museo 100" w:hAnsi="Museo 100"/>
        </w:rPr>
        <w:t>dieciocho</w:t>
      </w:r>
      <w:r w:rsidR="008E09EB" w:rsidRPr="00F8441C">
        <w:rPr>
          <w:rFonts w:ascii="Museo 100" w:hAnsi="Museo 100"/>
        </w:rPr>
        <w:t xml:space="preserve"> </w:t>
      </w:r>
      <w:r w:rsidRPr="00F8441C">
        <w:rPr>
          <w:rFonts w:ascii="Museo 100" w:hAnsi="Museo 100"/>
        </w:rPr>
        <w:t xml:space="preserve">de </w:t>
      </w:r>
      <w:r w:rsidR="008E09EB" w:rsidRPr="00F8441C">
        <w:rPr>
          <w:rFonts w:ascii="Museo 100" w:hAnsi="Museo 100"/>
        </w:rPr>
        <w:t xml:space="preserve">octubre </w:t>
      </w:r>
      <w:r w:rsidRPr="00F8441C">
        <w:rPr>
          <w:rFonts w:ascii="Museo 100" w:hAnsi="Museo 100"/>
        </w:rPr>
        <w:t>de dos mil veintiuno.</w:t>
      </w:r>
    </w:p>
    <w:p w14:paraId="521C1C76" w14:textId="77777777" w:rsidR="00056549" w:rsidRPr="00F8441C" w:rsidRDefault="00056549" w:rsidP="00F8441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6FA0DD1" w14:textId="567F58B0" w:rsidR="008D5F22" w:rsidRPr="00F8441C" w:rsidRDefault="00930BA0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</w:rPr>
        <w:t xml:space="preserve">El </w:t>
      </w:r>
      <w:r w:rsidR="008E09EB" w:rsidRPr="00F8441C">
        <w:rPr>
          <w:rFonts w:ascii="Museo 100" w:hAnsi="Museo 100"/>
        </w:rPr>
        <w:t xml:space="preserve">cinco </w:t>
      </w:r>
      <w:r w:rsidRPr="00F8441C">
        <w:rPr>
          <w:rFonts w:ascii="Museo 100" w:hAnsi="Museo 100"/>
        </w:rPr>
        <w:t xml:space="preserve">de </w:t>
      </w:r>
      <w:r w:rsidR="008E09EB" w:rsidRPr="00F8441C">
        <w:rPr>
          <w:rFonts w:ascii="Museo 100" w:hAnsi="Museo 100"/>
        </w:rPr>
        <w:t xml:space="preserve">octubre </w:t>
      </w:r>
      <w:r w:rsidRPr="00F8441C">
        <w:rPr>
          <w:rFonts w:ascii="Museo 100" w:hAnsi="Museo 100"/>
        </w:rPr>
        <w:t>de dos mil veintiuno, se recibió electrónicamente la solicitud de información</w:t>
      </w:r>
      <w:bookmarkStart w:id="0" w:name="_Hlk83039585"/>
      <w:r w:rsidR="008D5F22" w:rsidRPr="00F8441C">
        <w:rPr>
          <w:rFonts w:ascii="Museo 100" w:hAnsi="Museo 100"/>
        </w:rPr>
        <w:t>;</w:t>
      </w:r>
      <w:r w:rsidR="00533A65">
        <w:rPr>
          <w:rFonts w:ascii="Museo 100" w:hAnsi="Museo 100"/>
        </w:rPr>
        <w:t xml:space="preserve"> por medio de la cual solicitan</w:t>
      </w:r>
      <w:r w:rsidR="008D5F22" w:rsidRPr="00F8441C">
        <w:rPr>
          <w:rFonts w:ascii="Museo 100" w:hAnsi="Museo 100"/>
        </w:rPr>
        <w:t xml:space="preserve"> lo siguiente: </w:t>
      </w:r>
    </w:p>
    <w:p w14:paraId="11F0BD95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BA5A883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“”” Subdirección de Promoción y Protección de Derechos Colectivos y Difusos.  </w:t>
      </w:r>
    </w:p>
    <w:p w14:paraId="7D3E89F2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Presupuesto destinado para la subdirección. </w:t>
      </w:r>
    </w:p>
    <w:p w14:paraId="633EF961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Departamento de coordinación y articulación: número de personal. espacios generados para el fortalecimiento del sistema de protección, espacios generados para la conformación de Comités Locales de Derechos. </w:t>
      </w:r>
    </w:p>
    <w:p w14:paraId="01F1F0CF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Departamento de asistencia técnica a comités locales: número de personal. detalle de los comités locales conformados, detalle por departamento de los comités locales en funcionamiento, detalle de los comités locales en proceso de conformación. </w:t>
      </w:r>
    </w:p>
    <w:p w14:paraId="39AFDE43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Departamento de protección de derechos colectivos y difusos: número de personal, detalle de las acciones y lineamientos emitidos para la defensa y protección de derechos colectivos y difusos. </w:t>
      </w:r>
    </w:p>
    <w:p w14:paraId="2AEE7880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Subdirección de políticas. acciones sobre la implementación y evaluación de la política nacional de protección integral de la niñez y adolescencia. </w:t>
      </w:r>
    </w:p>
    <w:p w14:paraId="19918DE9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Acciones implementadas en el cumplimiento de los objetivos estratégicos de la política por detalle según: derechos de supervisión y crecimiento integral, derechos de protección, derechos al desarrollo y derechos de participación del departamento de políticas y planes nacionales y locales. </w:t>
      </w:r>
    </w:p>
    <w:p w14:paraId="7FFDDB17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Detalle de los planes locales elaborados e implementados en el marco de la política nacional de protección integral y el detalle de propuestas realizadas de planes locales. </w:t>
      </w:r>
    </w:p>
    <w:p w14:paraId="6B92121A" w14:textId="77777777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 xml:space="preserve">Departamento de promoción y difusión: detalle de acciones de fortalecimiento dirigidas hacia miembros del sistema, actores locales y población que han sido realizadas y en ejecución; </w:t>
      </w:r>
    </w:p>
    <w:p w14:paraId="3EC7EDC9" w14:textId="5DCD5486" w:rsidR="008D5F22" w:rsidRPr="00F8441C" w:rsidRDefault="008D5F22" w:rsidP="00F8441C">
      <w:pPr>
        <w:pStyle w:val="Prrafodelista"/>
        <w:numPr>
          <w:ilvl w:val="0"/>
          <w:numId w:val="16"/>
        </w:numPr>
        <w:spacing w:after="0" w:line="240" w:lineRule="auto"/>
        <w:ind w:firstLine="0"/>
        <w:jc w:val="both"/>
        <w:rPr>
          <w:rFonts w:ascii="Museo 100" w:hAnsi="Museo 100"/>
          <w:b/>
          <w:bCs/>
        </w:rPr>
      </w:pPr>
      <w:r w:rsidRPr="00F8441C">
        <w:rPr>
          <w:rFonts w:ascii="Museo 100" w:hAnsi="Museo 100"/>
          <w:b/>
          <w:bCs/>
        </w:rPr>
        <w:t>Temáticas que se han fortalecido en tordo a derechos de niñez y adolescencia. “””</w:t>
      </w:r>
    </w:p>
    <w:bookmarkEnd w:id="0"/>
    <w:p w14:paraId="7BAED677" w14:textId="77777777" w:rsidR="008E09EB" w:rsidRPr="00F8441C" w:rsidRDefault="008E09EB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3727D35" w14:textId="77777777" w:rsidR="008D5F22" w:rsidRPr="00F8441C" w:rsidRDefault="008D5F22" w:rsidP="00F8441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F8441C">
        <w:rPr>
          <w:rFonts w:ascii="Museo 100" w:hAnsi="Museo 100"/>
          <w:b/>
        </w:rPr>
        <w:t xml:space="preserve">CONSIDERANDO. </w:t>
      </w:r>
    </w:p>
    <w:p w14:paraId="2A3A0D6E" w14:textId="77777777" w:rsidR="008D5F22" w:rsidRPr="00F8441C" w:rsidRDefault="008D5F22" w:rsidP="00F8441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0221120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05F7BC24" w14:textId="77777777" w:rsidR="008D5F22" w:rsidRPr="00F8441C" w:rsidRDefault="008D5F22" w:rsidP="00F8441C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0BF95772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F8441C">
        <w:rPr>
          <w:rFonts w:ascii="Museo 100" w:hAnsi="Museo 100"/>
          <w:color w:val="000000"/>
        </w:rPr>
        <w:t>Que, el art. 69 de la Ley de Acceso a la Información Pública establece que</w:t>
      </w:r>
      <w:r w:rsidRPr="00F8441C">
        <w:rPr>
          <w:rFonts w:ascii="Museo 100" w:hAnsi="Museo 100"/>
          <w:b/>
          <w:color w:val="000000"/>
        </w:rPr>
        <w:t xml:space="preserve"> </w:t>
      </w:r>
      <w:r w:rsidRPr="00F8441C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779C63E3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5B0F380" w14:textId="77777777" w:rsidR="008D5F22" w:rsidRPr="00F8441C" w:rsidRDefault="008D5F22" w:rsidP="00F8441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F8441C">
        <w:rPr>
          <w:rFonts w:ascii="Museo 100" w:hAnsi="Museo 100"/>
          <w:b/>
        </w:rPr>
        <w:t xml:space="preserve">FUNDAMENTACIÓN. </w:t>
      </w:r>
    </w:p>
    <w:p w14:paraId="307A4F0A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F370ECB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Siendo el derecho al acceso a la información pública, una categoría fundamental que el Estado debe potenciar y garantizar a la población en general, a fin de consolidar un auténtico régimen de ética en el </w:t>
      </w:r>
      <w:r w:rsidRPr="00F8441C">
        <w:rPr>
          <w:rFonts w:ascii="Museo 100" w:hAnsi="Museo 100"/>
        </w:rPr>
        <w:lastRenderedPageBreak/>
        <w:t>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5E3F6B9E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2107F7D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F8441C">
        <w:rPr>
          <w:rFonts w:ascii="Museo 100" w:hAnsi="Museo 100"/>
        </w:rPr>
        <w:t>haciendo mención de</w:t>
      </w:r>
      <w:proofErr w:type="gramEnd"/>
      <w:r w:rsidRPr="00F8441C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F7B841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36440EB" w14:textId="29BD75A2" w:rsidR="008D5F22" w:rsidRPr="00F8441C" w:rsidRDefault="008D5F22" w:rsidP="00F8441C">
      <w:pPr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  <w:color w:val="000000"/>
        </w:rPr>
        <w:t>Conforme lo anteriormente expuesto y con el propósito de dar respuesta</w:t>
      </w:r>
      <w:r w:rsidRPr="00F8441C">
        <w:rPr>
          <w:rFonts w:ascii="Museo 100" w:hAnsi="Museo 100"/>
        </w:rPr>
        <w:t xml:space="preserve">, se solicitó a Subdirección de </w:t>
      </w:r>
      <w:r w:rsidR="00EF0EB7" w:rsidRPr="00F8441C">
        <w:rPr>
          <w:rFonts w:ascii="Museo 100" w:hAnsi="Museo 100"/>
        </w:rPr>
        <w:t xml:space="preserve">Políticas, Subdirección de Promoción y Protección de Derechos Colectivos y Difusos, y </w:t>
      </w:r>
      <w:r w:rsidR="005D6103" w:rsidRPr="00F8441C">
        <w:rPr>
          <w:rFonts w:ascii="Museo 100" w:hAnsi="Museo 100"/>
        </w:rPr>
        <w:t>Unidad Financiera Institucional</w:t>
      </w:r>
      <w:r w:rsidRPr="00F8441C">
        <w:rPr>
          <w:rFonts w:ascii="Museo 100" w:hAnsi="Museo 100"/>
        </w:rPr>
        <w:t>, para que verificara</w:t>
      </w:r>
      <w:r w:rsidR="00EF0EB7" w:rsidRPr="00F8441C">
        <w:rPr>
          <w:rFonts w:ascii="Museo 100" w:hAnsi="Museo 100"/>
        </w:rPr>
        <w:t>n</w:t>
      </w:r>
      <w:r w:rsidRPr="00F8441C">
        <w:rPr>
          <w:rFonts w:ascii="Museo 100" w:hAnsi="Museo 100"/>
        </w:rPr>
        <w:t xml:space="preserve"> su clasificación y comunicara la forma en que se encuentra disponible la</w:t>
      </w:r>
      <w:r w:rsidR="00EF0EB7" w:rsidRPr="00F8441C">
        <w:rPr>
          <w:rFonts w:ascii="Museo 100" w:hAnsi="Museo 100"/>
        </w:rPr>
        <w:t xml:space="preserve"> información</w:t>
      </w:r>
      <w:r w:rsidRPr="00F8441C">
        <w:rPr>
          <w:rFonts w:ascii="Museo 100" w:hAnsi="Museo 100"/>
        </w:rPr>
        <w:t xml:space="preserve">. </w:t>
      </w:r>
    </w:p>
    <w:p w14:paraId="681B771F" w14:textId="77777777" w:rsidR="008D5F22" w:rsidRPr="00F8441C" w:rsidRDefault="008D5F22" w:rsidP="00F8441C">
      <w:pPr>
        <w:spacing w:after="0" w:line="240" w:lineRule="auto"/>
        <w:jc w:val="both"/>
        <w:rPr>
          <w:rFonts w:ascii="Museo 100" w:hAnsi="Museo 100"/>
        </w:rPr>
      </w:pPr>
    </w:p>
    <w:p w14:paraId="17F2E14D" w14:textId="652AB2A9" w:rsidR="005D6103" w:rsidRPr="00F8441C" w:rsidRDefault="005D6103" w:rsidP="00F8441C">
      <w:pPr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Se ha recibido de parte de la Subdirección de Políticas Memorando </w:t>
      </w:r>
      <w:r w:rsidR="00533A65" w:rsidRPr="00F8441C">
        <w:rPr>
          <w:rFonts w:ascii="Museo 100" w:hAnsi="Museo 100"/>
        </w:rPr>
        <w:t>número</w:t>
      </w:r>
      <w:r w:rsidRPr="00F8441C">
        <w:rPr>
          <w:rFonts w:ascii="Museo 100" w:hAnsi="Museo 100"/>
        </w:rPr>
        <w:t xml:space="preserve"> SDP/106/2021, por medio del cual da respuesta a los requerimientos</w:t>
      </w:r>
      <w:r w:rsidR="00731EA1" w:rsidRPr="00F8441C">
        <w:rPr>
          <w:rFonts w:ascii="Museo 100" w:hAnsi="Museo 100"/>
        </w:rPr>
        <w:t xml:space="preserve"> 3, 7, 9 y 10, el cual será adjuntado al correo electrónico señalado para recibir notificaciones</w:t>
      </w:r>
      <w:r w:rsidRPr="00F8441C">
        <w:rPr>
          <w:rFonts w:ascii="Museo 100" w:hAnsi="Museo 100"/>
        </w:rPr>
        <w:t xml:space="preserve">: </w:t>
      </w:r>
    </w:p>
    <w:p w14:paraId="3BCB8703" w14:textId="0A07487F" w:rsidR="005D6103" w:rsidRPr="00F8441C" w:rsidRDefault="005D6103" w:rsidP="00F8441C">
      <w:pPr>
        <w:spacing w:after="0" w:line="240" w:lineRule="auto"/>
        <w:jc w:val="both"/>
        <w:rPr>
          <w:rFonts w:ascii="Museo 100" w:hAnsi="Museo 100"/>
        </w:rPr>
      </w:pPr>
    </w:p>
    <w:p w14:paraId="37C88558" w14:textId="6D3D8C24" w:rsidR="00731EA1" w:rsidRPr="00F8441C" w:rsidRDefault="00731EA1" w:rsidP="00F8441C">
      <w:pPr>
        <w:pStyle w:val="Cuerpo"/>
        <w:spacing w:before="0"/>
        <w:jc w:val="both"/>
        <w:rPr>
          <w:rFonts w:ascii="Museo 100" w:hAnsi="Museo 100"/>
          <w:sz w:val="22"/>
          <w:szCs w:val="22"/>
          <w:u w:color="000000"/>
        </w:rPr>
      </w:pPr>
      <w:r w:rsidRPr="00F8441C">
        <w:rPr>
          <w:rFonts w:ascii="Museo 100" w:hAnsi="Museo 100"/>
          <w:sz w:val="22"/>
          <w:szCs w:val="22"/>
          <w:u w:color="000000"/>
        </w:rPr>
        <w:t xml:space="preserve">En relación al requerimiento </w:t>
      </w:r>
      <w:r w:rsidR="005D6103" w:rsidRPr="00F8441C">
        <w:rPr>
          <w:rFonts w:ascii="Museo 100" w:hAnsi="Museo 100"/>
          <w:sz w:val="22"/>
          <w:szCs w:val="22"/>
          <w:u w:color="000000"/>
        </w:rPr>
        <w:t>6</w:t>
      </w:r>
      <w:r w:rsidRPr="00F8441C">
        <w:rPr>
          <w:rFonts w:ascii="Museo 100" w:hAnsi="Museo 100"/>
          <w:sz w:val="22"/>
          <w:szCs w:val="22"/>
          <w:u w:color="000000"/>
        </w:rPr>
        <w:t xml:space="preserve"> la Subdirección de Políticas informa que</w:t>
      </w:r>
      <w:r w:rsidR="005D6103" w:rsidRPr="00F8441C">
        <w:rPr>
          <w:rFonts w:ascii="Museo 100" w:hAnsi="Museo 100"/>
          <w:sz w:val="22"/>
          <w:szCs w:val="22"/>
          <w:u w:color="000000"/>
        </w:rPr>
        <w:t xml:space="preserve"> no hay información generada a la fecha</w:t>
      </w:r>
      <w:r w:rsidRPr="00F8441C">
        <w:rPr>
          <w:rFonts w:ascii="Museo 100" w:hAnsi="Museo 100"/>
          <w:sz w:val="22"/>
          <w:szCs w:val="22"/>
          <w:u w:color="000000"/>
        </w:rPr>
        <w:t xml:space="preserve">, por lo tanto, nos encontramos que la información es Inexistente, y </w:t>
      </w:r>
      <w:r w:rsidRPr="00F8441C">
        <w:rPr>
          <w:rFonts w:ascii="Museo 100" w:hAnsi="Museo 100"/>
          <w:sz w:val="22"/>
          <w:szCs w:val="22"/>
        </w:rPr>
        <w:t>Cuando se da el caso que la información sea inexistente, el Oficial de Información de conformidad al artículo 73 de la Ley de Acceso a la Información Pública, tomara las medidas pertinentes para localizar la información, lo anterior se trae a cuenta que la suscrita Oficial de Información, constato la búsqueda de la información y se confirma su inexistencia, dado que no existen medidas que puedan adoptarse para facilitar la documentación requerida, por no haber sido esta generada.</w:t>
      </w:r>
    </w:p>
    <w:p w14:paraId="52D63E33" w14:textId="77777777" w:rsidR="005D6103" w:rsidRPr="00F8441C" w:rsidRDefault="005D6103" w:rsidP="00F8441C">
      <w:pPr>
        <w:pStyle w:val="Cuerpo"/>
        <w:spacing w:before="0"/>
        <w:jc w:val="both"/>
        <w:rPr>
          <w:rFonts w:ascii="Museo 100" w:hAnsi="Museo 100"/>
          <w:b/>
          <w:bCs/>
          <w:sz w:val="22"/>
          <w:szCs w:val="22"/>
          <w:u w:color="000000"/>
        </w:rPr>
      </w:pPr>
    </w:p>
    <w:p w14:paraId="3EC5597B" w14:textId="54E155FF" w:rsidR="005D6103" w:rsidRPr="00F8441C" w:rsidRDefault="005D6103" w:rsidP="00F8441C">
      <w:pPr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</w:rPr>
        <w:t xml:space="preserve">De parte de la Unidad Financiera Institucional, Memorando número UFI/CONNA/164/2021, por medio del cual informa que el Presupuesto destinado para la Subdirección de Promoción y Protección de Derecho Colectivo y Difusos, no se dispone de la información a ese nivel de detalle. </w:t>
      </w:r>
    </w:p>
    <w:p w14:paraId="63AD09E7" w14:textId="0061BCD6" w:rsidR="005D6103" w:rsidRPr="00F8441C" w:rsidRDefault="005D6103" w:rsidP="00F8441C">
      <w:pPr>
        <w:spacing w:after="0" w:line="240" w:lineRule="auto"/>
        <w:jc w:val="both"/>
        <w:rPr>
          <w:rFonts w:ascii="Museo 100" w:hAnsi="Museo 100"/>
        </w:rPr>
      </w:pPr>
    </w:p>
    <w:p w14:paraId="32F4860F" w14:textId="459C7FDA" w:rsidR="00444F30" w:rsidRPr="00F8441C" w:rsidRDefault="00444F30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Calibri" w:hAnsi="Museo 100"/>
          <w:lang w:val="es-ES"/>
        </w:rPr>
      </w:pPr>
      <w:r w:rsidRPr="00F8441C">
        <w:rPr>
          <w:rFonts w:ascii="Museo 100" w:hAnsi="Museo 100"/>
          <w:color w:val="000000"/>
        </w:rPr>
        <w:t xml:space="preserve">En el caso que la información sea inexistente, el Oficial de Información analizará el caso y tomará las medidas pertinentes para localizar la información, de conformidad al artículo 73 de la Ley de Acceso a la Información Pública. </w:t>
      </w:r>
      <w:r w:rsidRPr="00F8441C">
        <w:rPr>
          <w:rFonts w:ascii="Museo 100" w:eastAsia="Calibri" w:hAnsi="Museo 100"/>
          <w:lang w:val="es-ES"/>
        </w:rPr>
        <w:t xml:space="preserve">Lo anterior se trae a cuenta que la suscrita Oficial de Información constato e indago la búsqueda de la información y se confirma su inexistencia, dado que el detalle del presupuesto se encuentra de una forma general y no individualizado para cada subdirección. </w:t>
      </w:r>
    </w:p>
    <w:p w14:paraId="742CC310" w14:textId="28F1BD57" w:rsidR="00444F30" w:rsidRPr="00F8441C" w:rsidRDefault="00444F30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Calibri" w:hAnsi="Museo 100"/>
          <w:lang w:val="es-ES"/>
        </w:rPr>
      </w:pPr>
      <w:r w:rsidRPr="00F8441C">
        <w:rPr>
          <w:rFonts w:ascii="Museo 100" w:eastAsia="Calibri" w:hAnsi="Museo 100"/>
          <w:lang w:val="es-ES"/>
        </w:rPr>
        <w:t xml:space="preserve"> </w:t>
      </w:r>
    </w:p>
    <w:p w14:paraId="00B5D4EE" w14:textId="693B300C" w:rsidR="008D5F22" w:rsidRDefault="00444F30" w:rsidP="00F8441C">
      <w:pPr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eastAsia="Calibri" w:hAnsi="Museo 100"/>
          <w:lang w:val="es-ES"/>
        </w:rPr>
        <w:t xml:space="preserve">De parte de la </w:t>
      </w:r>
      <w:r w:rsidRPr="00F8441C">
        <w:rPr>
          <w:rFonts w:ascii="Museo 100" w:hAnsi="Museo 100"/>
        </w:rPr>
        <w:t xml:space="preserve">Subdirección de Promoción y Protección de Derechos Colectivos y Difusos, correo electrónico por medio del cual hace llegar Memorando </w:t>
      </w:r>
      <w:r w:rsidRPr="00F8441C">
        <w:rPr>
          <w:rFonts w:ascii="Museo 100" w:eastAsia="Calibri" w:hAnsi="Museo 100"/>
          <w:bCs/>
        </w:rPr>
        <w:t>SDCD/315/2020, en el que da respuesta a los requerimientos</w:t>
      </w:r>
      <w:r w:rsidR="00731EA1" w:rsidRPr="00F8441C">
        <w:rPr>
          <w:rFonts w:ascii="Museo 100" w:eastAsia="Calibri" w:hAnsi="Museo 100"/>
          <w:bCs/>
        </w:rPr>
        <w:t xml:space="preserve"> 1, 4, 5, 8 y 10</w:t>
      </w:r>
      <w:r w:rsidR="008D5F22" w:rsidRPr="00F8441C">
        <w:rPr>
          <w:rFonts w:ascii="Museo 100" w:hAnsi="Museo 100"/>
        </w:rPr>
        <w:t>, el cual será adjuntado al correo electrónico señalado para recibir notificaciones.</w:t>
      </w:r>
    </w:p>
    <w:p w14:paraId="1EAF20B1" w14:textId="77777777" w:rsidR="00AD535F" w:rsidRPr="00F8441C" w:rsidRDefault="00AD535F" w:rsidP="00F8441C">
      <w:pPr>
        <w:spacing w:after="0" w:line="240" w:lineRule="auto"/>
        <w:jc w:val="both"/>
        <w:rPr>
          <w:rFonts w:ascii="Museo 100" w:eastAsia="Calibri" w:hAnsi="Museo 100" w:cs="Arial"/>
          <w:bCs/>
          <w:lang w:val="es-MX"/>
        </w:rPr>
      </w:pPr>
    </w:p>
    <w:p w14:paraId="20C6F226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  <w:b/>
          <w:bCs/>
        </w:rPr>
        <w:t xml:space="preserve">POR TANTO: </w:t>
      </w:r>
      <w:r w:rsidRPr="00F8441C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F8441C">
        <w:rPr>
          <w:rFonts w:ascii="Museo 100" w:hAnsi="Museo 100"/>
          <w:b/>
          <w:bCs/>
        </w:rPr>
        <w:t>RESUELVE</w:t>
      </w:r>
      <w:r w:rsidRPr="00F8441C">
        <w:rPr>
          <w:rFonts w:ascii="Museo 100" w:hAnsi="Museo 100"/>
        </w:rPr>
        <w:t xml:space="preserve">: </w:t>
      </w:r>
    </w:p>
    <w:p w14:paraId="0B44622A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5976AE3D" w14:textId="6F7B7699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F8441C">
        <w:rPr>
          <w:rFonts w:ascii="Museo 100" w:hAnsi="Museo 100"/>
          <w:b/>
          <w:bCs/>
        </w:rPr>
        <w:t xml:space="preserve">ENTRÉGUESE </w:t>
      </w:r>
      <w:r w:rsidRPr="00F8441C">
        <w:rPr>
          <w:rFonts w:ascii="Museo 100" w:hAnsi="Museo 100"/>
        </w:rPr>
        <w:t>la información solicitada.</w:t>
      </w:r>
    </w:p>
    <w:p w14:paraId="6E81BE72" w14:textId="027406CA" w:rsidR="00731EA1" w:rsidRPr="00F8441C" w:rsidRDefault="00731EA1" w:rsidP="00F8441C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</w:p>
    <w:p w14:paraId="708611A8" w14:textId="671D8D7E" w:rsidR="00731EA1" w:rsidRPr="00F8441C" w:rsidRDefault="00731EA1" w:rsidP="00F8441C">
      <w:pPr>
        <w:spacing w:after="0" w:line="240" w:lineRule="auto"/>
        <w:jc w:val="both"/>
        <w:rPr>
          <w:rFonts w:ascii="Museo 100" w:hAnsi="Museo 100"/>
        </w:rPr>
      </w:pPr>
      <w:r w:rsidRPr="00F8441C">
        <w:rPr>
          <w:rFonts w:ascii="Museo 100" w:hAnsi="Museo 100"/>
          <w:b/>
        </w:rPr>
        <w:t xml:space="preserve">DECLARESE </w:t>
      </w:r>
      <w:r w:rsidRPr="00F8441C">
        <w:rPr>
          <w:rFonts w:ascii="Museo 100" w:hAnsi="Museo 100"/>
        </w:rPr>
        <w:t xml:space="preserve">la inexistencia del requerimiento número 2 y 6, por el motivo antes expresado. </w:t>
      </w:r>
    </w:p>
    <w:p w14:paraId="38353219" w14:textId="77777777" w:rsidR="00731EA1" w:rsidRPr="00F8441C" w:rsidRDefault="00731EA1" w:rsidP="00F8441C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</w:p>
    <w:p w14:paraId="63E9FB1A" w14:textId="77777777" w:rsidR="008D5F22" w:rsidRPr="00F8441C" w:rsidRDefault="008D5F22" w:rsidP="00F8441C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F8441C">
        <w:rPr>
          <w:rFonts w:ascii="Museo 100" w:hAnsi="Museo 100"/>
          <w:b/>
          <w:bCs/>
          <w:color w:val="000000"/>
        </w:rPr>
        <w:t xml:space="preserve">NOTIFÍQUESE. </w:t>
      </w:r>
    </w:p>
    <w:p w14:paraId="7F4E9DF2" w14:textId="73A9921C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F8441C">
        <w:rPr>
          <w:rFonts w:ascii="Museo 100" w:hAnsi="Museo 100"/>
          <w:noProof/>
        </w:rPr>
        <w:t>Laura Lisett Centeno Zavaleta</w:t>
      </w:r>
    </w:p>
    <w:p w14:paraId="0ECD88AF" w14:textId="24A5C7D7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F8441C">
        <w:rPr>
          <w:rFonts w:ascii="Museo 100" w:hAnsi="Museo 100"/>
          <w:noProof/>
        </w:rPr>
        <w:t>Oficial de Información</w:t>
      </w:r>
    </w:p>
    <w:p w14:paraId="06F03D7A" w14:textId="24D9F457" w:rsidR="00D05DD0" w:rsidRPr="00F8441C" w:rsidRDefault="00D05DD0" w:rsidP="00F8441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F8441C">
        <w:rPr>
          <w:rFonts w:ascii="Museo 100" w:hAnsi="Museo 100"/>
          <w:noProof/>
        </w:rPr>
        <w:t>CONNA</w:t>
      </w:r>
    </w:p>
    <w:sectPr w:rsidR="00D05DD0" w:rsidRPr="00F8441C" w:rsidSect="00533A65">
      <w:headerReference w:type="default" r:id="rId8"/>
      <w:pgSz w:w="12240" w:h="15840" w:code="1"/>
      <w:pgMar w:top="2410" w:right="1418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0D4A" w14:textId="77777777" w:rsidR="003B6163" w:rsidRDefault="003B6163">
      <w:r>
        <w:separator/>
      </w:r>
    </w:p>
  </w:endnote>
  <w:endnote w:type="continuationSeparator" w:id="0">
    <w:p w14:paraId="60D85087" w14:textId="77777777" w:rsidR="003B6163" w:rsidRDefault="003B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6154" w14:textId="77777777" w:rsidR="003B6163" w:rsidRDefault="003B6163">
      <w:r>
        <w:separator/>
      </w:r>
    </w:p>
  </w:footnote>
  <w:footnote w:type="continuationSeparator" w:id="0">
    <w:p w14:paraId="6E1F8098" w14:textId="77777777" w:rsidR="003B6163" w:rsidRDefault="003B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628E3BF3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A65">
      <w:rPr>
        <w:rFonts w:eastAsia="Arial Unicode MS"/>
        <w:noProof/>
        <w:sz w:val="20"/>
        <w:szCs w:val="20"/>
      </w:rPr>
      <w:drawing>
        <wp:inline distT="0" distB="0" distL="0" distR="0" wp14:anchorId="5C659513" wp14:editId="3A844002">
          <wp:extent cx="4981575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4180"/>
    <w:multiLevelType w:val="hybridMultilevel"/>
    <w:tmpl w:val="186C4A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EA"/>
    <w:multiLevelType w:val="hybridMultilevel"/>
    <w:tmpl w:val="CB285BA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71A8"/>
    <w:multiLevelType w:val="hybridMultilevel"/>
    <w:tmpl w:val="0964B6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180C"/>
    <w:multiLevelType w:val="hybridMultilevel"/>
    <w:tmpl w:val="9BBE4F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31797"/>
    <w:multiLevelType w:val="hybridMultilevel"/>
    <w:tmpl w:val="726890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B0215"/>
    <w:multiLevelType w:val="hybridMultilevel"/>
    <w:tmpl w:val="BB58C48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83368"/>
    <w:multiLevelType w:val="hybridMultilevel"/>
    <w:tmpl w:val="BE565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65F1"/>
    <w:multiLevelType w:val="hybridMultilevel"/>
    <w:tmpl w:val="119A9350"/>
    <w:lvl w:ilvl="0" w:tplc="298C2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17"/>
  </w:num>
  <w:num w:numId="12">
    <w:abstractNumId w:val="7"/>
  </w:num>
  <w:num w:numId="13">
    <w:abstractNumId w:val="12"/>
  </w:num>
  <w:num w:numId="14">
    <w:abstractNumId w:val="3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075F"/>
    <w:rsid w:val="000E58E4"/>
    <w:rsid w:val="0012192D"/>
    <w:rsid w:val="001333D2"/>
    <w:rsid w:val="00151926"/>
    <w:rsid w:val="00155050"/>
    <w:rsid w:val="00156166"/>
    <w:rsid w:val="00165628"/>
    <w:rsid w:val="00172394"/>
    <w:rsid w:val="00173A4F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959F9"/>
    <w:rsid w:val="002B38A7"/>
    <w:rsid w:val="002B3CB9"/>
    <w:rsid w:val="002C2A90"/>
    <w:rsid w:val="002D24C2"/>
    <w:rsid w:val="00303A9D"/>
    <w:rsid w:val="00323EB4"/>
    <w:rsid w:val="00326798"/>
    <w:rsid w:val="003273F8"/>
    <w:rsid w:val="00347AD6"/>
    <w:rsid w:val="003626F8"/>
    <w:rsid w:val="00365586"/>
    <w:rsid w:val="00367A0F"/>
    <w:rsid w:val="00376993"/>
    <w:rsid w:val="003831F9"/>
    <w:rsid w:val="003B6163"/>
    <w:rsid w:val="003F1A13"/>
    <w:rsid w:val="004067F4"/>
    <w:rsid w:val="00413947"/>
    <w:rsid w:val="00415279"/>
    <w:rsid w:val="0043518C"/>
    <w:rsid w:val="00444F30"/>
    <w:rsid w:val="0045394B"/>
    <w:rsid w:val="004632EB"/>
    <w:rsid w:val="00471E88"/>
    <w:rsid w:val="004724AF"/>
    <w:rsid w:val="004A069A"/>
    <w:rsid w:val="004A60CD"/>
    <w:rsid w:val="004A69FC"/>
    <w:rsid w:val="004D4284"/>
    <w:rsid w:val="004E63DC"/>
    <w:rsid w:val="004E6792"/>
    <w:rsid w:val="0050486E"/>
    <w:rsid w:val="005148F4"/>
    <w:rsid w:val="005311CF"/>
    <w:rsid w:val="00533A65"/>
    <w:rsid w:val="005571B2"/>
    <w:rsid w:val="005656AD"/>
    <w:rsid w:val="005668CC"/>
    <w:rsid w:val="0058662A"/>
    <w:rsid w:val="00597737"/>
    <w:rsid w:val="005A6B87"/>
    <w:rsid w:val="005A78DE"/>
    <w:rsid w:val="005C661B"/>
    <w:rsid w:val="005D6103"/>
    <w:rsid w:val="00610464"/>
    <w:rsid w:val="00621ED5"/>
    <w:rsid w:val="006470A9"/>
    <w:rsid w:val="00652AEC"/>
    <w:rsid w:val="00656C05"/>
    <w:rsid w:val="00686D4C"/>
    <w:rsid w:val="00693851"/>
    <w:rsid w:val="006B4A7F"/>
    <w:rsid w:val="006E6747"/>
    <w:rsid w:val="007059A5"/>
    <w:rsid w:val="0071222B"/>
    <w:rsid w:val="007131E7"/>
    <w:rsid w:val="00716D05"/>
    <w:rsid w:val="00731EA1"/>
    <w:rsid w:val="00762003"/>
    <w:rsid w:val="00762D8E"/>
    <w:rsid w:val="0079359E"/>
    <w:rsid w:val="007A0017"/>
    <w:rsid w:val="007C17D3"/>
    <w:rsid w:val="007C36C4"/>
    <w:rsid w:val="007C6C33"/>
    <w:rsid w:val="007E730B"/>
    <w:rsid w:val="00802A4C"/>
    <w:rsid w:val="00806F6A"/>
    <w:rsid w:val="00835F06"/>
    <w:rsid w:val="00836BE6"/>
    <w:rsid w:val="008377E1"/>
    <w:rsid w:val="008632A9"/>
    <w:rsid w:val="008722EC"/>
    <w:rsid w:val="008A2FFF"/>
    <w:rsid w:val="008A3F5F"/>
    <w:rsid w:val="008A7E5A"/>
    <w:rsid w:val="008D1573"/>
    <w:rsid w:val="008D5F22"/>
    <w:rsid w:val="008E09EB"/>
    <w:rsid w:val="009008FB"/>
    <w:rsid w:val="00930BA0"/>
    <w:rsid w:val="00947838"/>
    <w:rsid w:val="00995F8D"/>
    <w:rsid w:val="009C15BE"/>
    <w:rsid w:val="009D08D9"/>
    <w:rsid w:val="009D5A30"/>
    <w:rsid w:val="009F6049"/>
    <w:rsid w:val="00A25999"/>
    <w:rsid w:val="00A2652C"/>
    <w:rsid w:val="00A33BB0"/>
    <w:rsid w:val="00A40B07"/>
    <w:rsid w:val="00AA78C8"/>
    <w:rsid w:val="00AB556E"/>
    <w:rsid w:val="00AD535F"/>
    <w:rsid w:val="00AE4C8A"/>
    <w:rsid w:val="00B0368B"/>
    <w:rsid w:val="00B152EC"/>
    <w:rsid w:val="00B16512"/>
    <w:rsid w:val="00B370D6"/>
    <w:rsid w:val="00B65F41"/>
    <w:rsid w:val="00B7474C"/>
    <w:rsid w:val="00B747E0"/>
    <w:rsid w:val="00B9639B"/>
    <w:rsid w:val="00BA1D52"/>
    <w:rsid w:val="00BA7C9C"/>
    <w:rsid w:val="00BB26CF"/>
    <w:rsid w:val="00BD0BD3"/>
    <w:rsid w:val="00BD250D"/>
    <w:rsid w:val="00C0093C"/>
    <w:rsid w:val="00C034FC"/>
    <w:rsid w:val="00C0370C"/>
    <w:rsid w:val="00C709C6"/>
    <w:rsid w:val="00C969E2"/>
    <w:rsid w:val="00CC6BAC"/>
    <w:rsid w:val="00D05DD0"/>
    <w:rsid w:val="00D14155"/>
    <w:rsid w:val="00D17886"/>
    <w:rsid w:val="00D35507"/>
    <w:rsid w:val="00D35F62"/>
    <w:rsid w:val="00D36FB0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281B"/>
    <w:rsid w:val="00E748E6"/>
    <w:rsid w:val="00E74F41"/>
    <w:rsid w:val="00E800F3"/>
    <w:rsid w:val="00E80816"/>
    <w:rsid w:val="00E867EB"/>
    <w:rsid w:val="00E87564"/>
    <w:rsid w:val="00EA3069"/>
    <w:rsid w:val="00EB2FC8"/>
    <w:rsid w:val="00EB4E24"/>
    <w:rsid w:val="00EF0EB7"/>
    <w:rsid w:val="00F04504"/>
    <w:rsid w:val="00F06ADE"/>
    <w:rsid w:val="00F37088"/>
    <w:rsid w:val="00F37CED"/>
    <w:rsid w:val="00F57DF4"/>
    <w:rsid w:val="00F674AD"/>
    <w:rsid w:val="00F753EC"/>
    <w:rsid w:val="00F8441C"/>
    <w:rsid w:val="00FB295D"/>
    <w:rsid w:val="00FB3385"/>
    <w:rsid w:val="00FC01C5"/>
    <w:rsid w:val="00FC4BC3"/>
    <w:rsid w:val="00FE125D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locked/>
    <w:rsid w:val="00173A4F"/>
    <w:pPr>
      <w:spacing w:after="120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73A4F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3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2021-10-18T22:00:00Z</cp:lastPrinted>
  <dcterms:created xsi:type="dcterms:W3CDTF">2021-11-19T17:41:00Z</dcterms:created>
  <dcterms:modified xsi:type="dcterms:W3CDTF">2021-11-19T17:43:00Z</dcterms:modified>
</cp:coreProperties>
</file>