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517" w:type="dxa"/>
        <w:tblLayout w:type="fixed"/>
        <w:tblLook w:val="04A0" w:firstRow="1" w:lastRow="0" w:firstColumn="1" w:lastColumn="0" w:noHBand="0" w:noVBand="1"/>
      </w:tblPr>
      <w:tblGrid>
        <w:gridCol w:w="601"/>
        <w:gridCol w:w="1916"/>
      </w:tblGrid>
      <w:tr w:rsidR="007F7F5F" w:rsidRPr="002E435C" w14:paraId="65E836C4" w14:textId="77777777" w:rsidTr="0076321D">
        <w:trPr>
          <w:trHeight w:val="353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2E435C" w:rsidRDefault="007F7F5F" w:rsidP="002E435C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r w:rsidRPr="002E435C">
              <w:rPr>
                <w:rFonts w:ascii="Museo 100" w:hAnsi="Museo 100"/>
                <w:lang w:val="es-SV"/>
              </w:rPr>
              <w:t>N°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64018914" w:rsidR="007F7F5F" w:rsidRPr="002E435C" w:rsidRDefault="007F7F5F" w:rsidP="002E435C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2E435C">
              <w:rPr>
                <w:rFonts w:ascii="Museo 100" w:eastAsia="Calibri" w:hAnsi="Museo 100"/>
                <w:w w:val="102"/>
                <w:lang w:val="es-SV"/>
              </w:rPr>
              <w:t>UAIP/004</w:t>
            </w:r>
            <w:r w:rsidR="00FF62D0" w:rsidRPr="002E435C">
              <w:rPr>
                <w:rFonts w:ascii="Museo 100" w:eastAsia="Calibri" w:hAnsi="Museo 100"/>
                <w:w w:val="102"/>
                <w:lang w:val="es-SV"/>
              </w:rPr>
              <w:t>1</w:t>
            </w:r>
            <w:r w:rsidRPr="002E435C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2E435C" w:rsidRDefault="00347AD6" w:rsidP="002E435C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51B1C6CE" w:rsidR="00056549" w:rsidRPr="002E435C" w:rsidRDefault="00056549" w:rsidP="002E435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FF62D0" w:rsidRPr="002E435C">
        <w:rPr>
          <w:rFonts w:ascii="Museo 100" w:hAnsi="Museo 100"/>
        </w:rPr>
        <w:t xml:space="preserve">once </w:t>
      </w:r>
      <w:r w:rsidRPr="002E435C">
        <w:rPr>
          <w:rFonts w:ascii="Museo 100" w:hAnsi="Museo 100"/>
        </w:rPr>
        <w:t>horas</w:t>
      </w:r>
      <w:r w:rsidR="00E74F41" w:rsidRPr="002E435C">
        <w:rPr>
          <w:rFonts w:ascii="Museo 100" w:hAnsi="Museo 100"/>
        </w:rPr>
        <w:t xml:space="preserve"> </w:t>
      </w:r>
      <w:r w:rsidR="00FF62D0" w:rsidRPr="002E435C">
        <w:rPr>
          <w:rFonts w:ascii="Museo 100" w:hAnsi="Museo 100"/>
        </w:rPr>
        <w:t xml:space="preserve">treinta y cuatro </w:t>
      </w:r>
      <w:r w:rsidR="009C15BE" w:rsidRPr="002E435C">
        <w:rPr>
          <w:rFonts w:ascii="Museo 100" w:hAnsi="Museo 100"/>
        </w:rPr>
        <w:t xml:space="preserve">minutos </w:t>
      </w:r>
      <w:r w:rsidRPr="002E435C">
        <w:rPr>
          <w:rFonts w:ascii="Museo 100" w:hAnsi="Museo 100"/>
        </w:rPr>
        <w:t xml:space="preserve">del día </w:t>
      </w:r>
      <w:r w:rsidR="00FF62D0" w:rsidRPr="002E435C">
        <w:rPr>
          <w:rFonts w:ascii="Museo 100" w:hAnsi="Museo 100"/>
        </w:rPr>
        <w:t xml:space="preserve">siete </w:t>
      </w:r>
      <w:r w:rsidRPr="002E435C">
        <w:rPr>
          <w:rFonts w:ascii="Museo 100" w:hAnsi="Museo 100"/>
        </w:rPr>
        <w:t xml:space="preserve">de </w:t>
      </w:r>
      <w:r w:rsidR="007F7F5F" w:rsidRPr="002E435C">
        <w:rPr>
          <w:rFonts w:ascii="Museo 100" w:hAnsi="Museo 100"/>
        </w:rPr>
        <w:t xml:space="preserve">septiembre </w:t>
      </w:r>
      <w:r w:rsidRPr="002E435C">
        <w:rPr>
          <w:rFonts w:ascii="Museo 100" w:hAnsi="Museo 100"/>
        </w:rPr>
        <w:t>de dos mil veintiuno.</w:t>
      </w:r>
    </w:p>
    <w:p w14:paraId="521C1C76" w14:textId="77777777" w:rsidR="00056549" w:rsidRPr="002E435C" w:rsidRDefault="00056549" w:rsidP="002E435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7DBA2C67" w14:textId="53E46AE2" w:rsidR="00FF62D0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eastAsia="Times New Roman" w:hAnsi="Museo 100"/>
          <w:color w:val="000000"/>
        </w:rPr>
        <w:t>El presente expediente, inicia con la solicitud presentada vía correo electrónico</w:t>
      </w:r>
      <w:r w:rsidR="00FF62D0" w:rsidRPr="002E435C">
        <w:rPr>
          <w:rFonts w:ascii="Museo 100" w:hAnsi="Museo 100"/>
        </w:rPr>
        <w:t>;</w:t>
      </w:r>
      <w:r w:rsidR="00293CC9">
        <w:rPr>
          <w:rFonts w:ascii="Museo 100" w:hAnsi="Museo 100"/>
        </w:rPr>
        <w:t xml:space="preserve"> por medio del cual </w:t>
      </w:r>
      <w:r w:rsidR="00FF62D0" w:rsidRPr="002E435C">
        <w:rPr>
          <w:rFonts w:ascii="Museo 100" w:hAnsi="Museo 100"/>
        </w:rPr>
        <w:t>solicita</w:t>
      </w:r>
      <w:r w:rsidR="00293CC9">
        <w:rPr>
          <w:rFonts w:ascii="Museo 100" w:hAnsi="Museo 100"/>
        </w:rPr>
        <w:t>n</w:t>
      </w:r>
      <w:r w:rsidR="00FF62D0" w:rsidRPr="002E435C">
        <w:rPr>
          <w:rFonts w:ascii="Museo 100" w:hAnsi="Museo 100"/>
        </w:rPr>
        <w:t xml:space="preserve"> lo siguiente: </w:t>
      </w:r>
    </w:p>
    <w:p w14:paraId="6A466FBD" w14:textId="77777777" w:rsidR="00FF62D0" w:rsidRPr="002E435C" w:rsidRDefault="00FF62D0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B399D79" w14:textId="77777777" w:rsidR="00FF62D0" w:rsidRPr="002E435C" w:rsidRDefault="00FF62D0" w:rsidP="002E435C">
      <w:pPr>
        <w:numPr>
          <w:ilvl w:val="0"/>
          <w:numId w:val="11"/>
        </w:numPr>
        <w:spacing w:after="0"/>
        <w:ind w:left="360"/>
        <w:jc w:val="both"/>
        <w:rPr>
          <w:rFonts w:ascii="Museo 100" w:hAnsi="Museo 100" w:cs="Calibri"/>
          <w:b/>
          <w:bCs/>
        </w:rPr>
      </w:pPr>
      <w:bookmarkStart w:id="0" w:name="_Hlk81920593"/>
      <w:r w:rsidRPr="002E435C">
        <w:rPr>
          <w:rFonts w:ascii="Museo 100" w:hAnsi="Museo 100"/>
          <w:b/>
          <w:bCs/>
        </w:rPr>
        <w:t xml:space="preserve">“”” </w:t>
      </w:r>
      <w:r w:rsidRPr="002E435C">
        <w:rPr>
          <w:rFonts w:ascii="Museo 100" w:hAnsi="Museo 100" w:cs="Calibri"/>
          <w:b/>
          <w:bCs/>
        </w:rPr>
        <w:t>Número de casos que ha conocido el CONNA de niños, niñas y adolescentes hijos de víctimas de feminicidio entre 2016 y 2021. Especificar en cuántos el responsable o cuidador asignado es una mujer y en cuántos un hombre. Si es un familiar, especificar cuál es el parentesco con el niño, niña y adolescente.</w:t>
      </w:r>
    </w:p>
    <w:p w14:paraId="5C5AEF71" w14:textId="77777777" w:rsidR="00FF62D0" w:rsidRPr="002E435C" w:rsidRDefault="00FF62D0" w:rsidP="002E435C">
      <w:pPr>
        <w:numPr>
          <w:ilvl w:val="0"/>
          <w:numId w:val="11"/>
        </w:numPr>
        <w:spacing w:after="0"/>
        <w:ind w:left="360"/>
        <w:jc w:val="both"/>
        <w:rPr>
          <w:rFonts w:ascii="Museo 100" w:hAnsi="Museo 100" w:cs="Calibri"/>
          <w:color w:val="434343"/>
        </w:rPr>
      </w:pPr>
      <w:r w:rsidRPr="002E435C">
        <w:rPr>
          <w:rFonts w:ascii="Museo 100" w:hAnsi="Museo 100" w:cs="Calibri"/>
          <w:b/>
          <w:bCs/>
        </w:rPr>
        <w:t xml:space="preserve">Número de reintegros ejecutados entre 2016 y 2021 (en este último año, los meses de enero, febrero, marzo, abril, mayo, junio) de niños, niñas y adolescentes hijos de víctimas de feminicidio. Además, detallar en cuántos se asignó como responsable a una mujer y en cuántos a un hombre. </w:t>
      </w:r>
      <w:r w:rsidRPr="002E435C">
        <w:rPr>
          <w:rFonts w:ascii="Museo 100" w:hAnsi="Museo 100"/>
          <w:b/>
          <w:bCs/>
        </w:rPr>
        <w:t xml:space="preserve"> “””</w:t>
      </w:r>
    </w:p>
    <w:bookmarkEnd w:id="0"/>
    <w:p w14:paraId="6CE0972C" w14:textId="77777777" w:rsidR="00FF62D0" w:rsidRPr="002E435C" w:rsidRDefault="00FF62D0" w:rsidP="002E435C">
      <w:pPr>
        <w:autoSpaceDE w:val="0"/>
        <w:autoSpaceDN w:val="0"/>
        <w:adjustRightInd w:val="0"/>
        <w:spacing w:after="0"/>
        <w:jc w:val="both"/>
        <w:rPr>
          <w:rFonts w:ascii="Museo 100" w:eastAsia="Times New Roman" w:hAnsi="Museo 100"/>
          <w:color w:val="000000"/>
        </w:rPr>
      </w:pPr>
    </w:p>
    <w:p w14:paraId="269A1E55" w14:textId="77777777" w:rsidR="00056549" w:rsidRPr="002E435C" w:rsidRDefault="00056549" w:rsidP="002E43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2E435C">
        <w:rPr>
          <w:rFonts w:ascii="Museo 100" w:hAnsi="Museo 100"/>
          <w:b/>
        </w:rPr>
        <w:t xml:space="preserve">CONSIDERANDO. </w:t>
      </w:r>
    </w:p>
    <w:p w14:paraId="018A6C2A" w14:textId="77777777" w:rsidR="00056549" w:rsidRPr="002E435C" w:rsidRDefault="00056549" w:rsidP="002E435C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2E435C" w:rsidRDefault="00056549" w:rsidP="002E435C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2E435C">
        <w:rPr>
          <w:rFonts w:ascii="Museo 100" w:hAnsi="Museo 100"/>
          <w:color w:val="000000"/>
        </w:rPr>
        <w:t>Que, el art. 69 de la Ley de Acceso a la Información Pública establece que</w:t>
      </w:r>
      <w:r w:rsidRPr="002E435C">
        <w:rPr>
          <w:rFonts w:ascii="Museo 100" w:hAnsi="Museo 100"/>
          <w:b/>
          <w:color w:val="000000"/>
        </w:rPr>
        <w:t xml:space="preserve"> </w:t>
      </w:r>
      <w:r w:rsidRPr="002E435C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2E435C" w:rsidRDefault="00056549" w:rsidP="002E43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2E435C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2E435C">
        <w:rPr>
          <w:rFonts w:ascii="Museo 100" w:hAnsi="Museo 100"/>
        </w:rPr>
        <w:t>haciendo mención de</w:t>
      </w:r>
      <w:proofErr w:type="gramEnd"/>
      <w:r w:rsidRPr="002E435C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42A17DEB" w14:textId="540E84B3" w:rsidR="00FF62D0" w:rsidRPr="002E435C" w:rsidRDefault="00056549" w:rsidP="002E435C">
      <w:pPr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  <w:color w:val="000000"/>
        </w:rPr>
        <w:t>Conforme lo anteriormente expuesto y con el propósito de dar respuesta</w:t>
      </w:r>
      <w:r w:rsidR="00362E73" w:rsidRPr="002E435C">
        <w:rPr>
          <w:rFonts w:ascii="Museo 100" w:hAnsi="Museo 100"/>
        </w:rPr>
        <w:t>,</w:t>
      </w:r>
      <w:r w:rsidRPr="002E435C">
        <w:rPr>
          <w:rFonts w:ascii="Museo 100" w:hAnsi="Museo 100"/>
        </w:rPr>
        <w:t xml:space="preserve"> se solicitó a</w:t>
      </w:r>
      <w:r w:rsidR="00FF62D0" w:rsidRPr="002E435C">
        <w:rPr>
          <w:rFonts w:ascii="Museo 100" w:hAnsi="Museo 100"/>
        </w:rPr>
        <w:t xml:space="preserve"> Subdirección de Defensa de Derechos Individuales y a la Sección de Desarrollo Software. En fecha seis de los corrientes por medio de correo electrónico se recibió respuesta a solicitud de información por medio del cual informa lo siguiente: </w:t>
      </w:r>
    </w:p>
    <w:p w14:paraId="07864972" w14:textId="14163E90" w:rsidR="00FF62D0" w:rsidRPr="002E435C" w:rsidRDefault="00FF62D0" w:rsidP="002E435C">
      <w:pPr>
        <w:spacing w:after="0"/>
        <w:jc w:val="both"/>
        <w:rPr>
          <w:rFonts w:ascii="Museo 100" w:hAnsi="Museo 100"/>
        </w:rPr>
      </w:pPr>
    </w:p>
    <w:p w14:paraId="346ACEC3" w14:textId="465C5E4F" w:rsidR="00FF62D0" w:rsidRPr="002E435C" w:rsidRDefault="00FF62D0" w:rsidP="002E435C">
      <w:pPr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De parte de la Subdirección de Defensa de Derechos Individuales: </w:t>
      </w:r>
    </w:p>
    <w:p w14:paraId="1A75E691" w14:textId="77777777" w:rsidR="00FF62D0" w:rsidRPr="002E435C" w:rsidRDefault="00FF62D0" w:rsidP="002E435C">
      <w:pPr>
        <w:spacing w:after="0"/>
        <w:jc w:val="both"/>
        <w:rPr>
          <w:rFonts w:ascii="Museo 100" w:eastAsia="Times New Roman" w:hAnsi="Museo 100" w:cs="Calibri"/>
          <w:i/>
          <w:iCs/>
          <w:lang w:val="es-ES"/>
        </w:rPr>
      </w:pPr>
      <w:r w:rsidRPr="002E435C">
        <w:rPr>
          <w:rFonts w:ascii="Museo 100" w:hAnsi="Museo 100"/>
          <w:i/>
          <w:iCs/>
        </w:rPr>
        <w:t>“</w:t>
      </w:r>
      <w:r w:rsidRPr="002E435C">
        <w:rPr>
          <w:rFonts w:ascii="Museo 100" w:eastAsia="Times New Roman" w:hAnsi="Museo 100"/>
          <w:i/>
          <w:iCs/>
          <w:lang w:val="es-ES"/>
        </w:rPr>
        <w:t>Esta Sub-Dirección no cuenta con información estadística que pueda servir de base para responder la interrogante; se sugiere que dicha información sea proporcionada por el departamento de informática, quienes a través de sus dependencias son los responsables de recopilar y sistematizar dicha información.</w:t>
      </w:r>
    </w:p>
    <w:p w14:paraId="44A8A58E" w14:textId="1D6FD986" w:rsidR="00FF62D0" w:rsidRPr="002E435C" w:rsidRDefault="00FF62D0" w:rsidP="002E435C">
      <w:pPr>
        <w:spacing w:after="0"/>
        <w:jc w:val="both"/>
        <w:rPr>
          <w:rFonts w:ascii="Museo 100" w:hAnsi="Museo 100"/>
          <w:i/>
          <w:iCs/>
          <w:lang w:val="es-ES"/>
        </w:rPr>
      </w:pPr>
      <w:r w:rsidRPr="002E435C">
        <w:rPr>
          <w:rFonts w:ascii="Museo 100" w:hAnsi="Museo 100"/>
          <w:i/>
          <w:iCs/>
          <w:lang w:val="es-ES"/>
        </w:rPr>
        <w:t xml:space="preserve">Sin embargo, es importante aclarar que dicha información podría ser obtenida de las revisiones de los procesos realizados en las 16 Juntas de Protección, lo que vendría a constituirse en una actividad más a las que deben ejecutar de acuerdo con sus competencias, lo que llevaría a que la misma pueda ser obtenida en un lapso bastante largo (varios meses), por lo que el tiempo para la entrega de </w:t>
      </w:r>
      <w:proofErr w:type="gramStart"/>
      <w:r w:rsidRPr="002E435C">
        <w:rPr>
          <w:rFonts w:ascii="Museo 100" w:hAnsi="Museo 100"/>
          <w:i/>
          <w:iCs/>
          <w:lang w:val="es-ES"/>
        </w:rPr>
        <w:t>la misma</w:t>
      </w:r>
      <w:proofErr w:type="gramEnd"/>
      <w:r w:rsidRPr="002E435C">
        <w:rPr>
          <w:rFonts w:ascii="Museo 100" w:hAnsi="Museo 100"/>
          <w:i/>
          <w:iCs/>
          <w:lang w:val="es-ES"/>
        </w:rPr>
        <w:t>– si se considera esa opción – deberá dilatar lo suficiente para realizar dicha labor.”</w:t>
      </w:r>
    </w:p>
    <w:p w14:paraId="0130714D" w14:textId="77777777" w:rsidR="00FF62D0" w:rsidRPr="002E435C" w:rsidRDefault="00FF62D0" w:rsidP="002E435C">
      <w:pPr>
        <w:spacing w:after="0"/>
        <w:jc w:val="both"/>
        <w:rPr>
          <w:rFonts w:ascii="Museo 100" w:eastAsia="Times New Roman" w:hAnsi="Museo 100"/>
          <w:lang w:val="es-ES"/>
        </w:rPr>
      </w:pPr>
    </w:p>
    <w:p w14:paraId="53F322AE" w14:textId="71FEB5CE" w:rsidR="00FF62D0" w:rsidRPr="002E435C" w:rsidRDefault="00FF62D0" w:rsidP="002E435C">
      <w:pPr>
        <w:spacing w:after="0"/>
        <w:jc w:val="both"/>
        <w:rPr>
          <w:rFonts w:ascii="Museo 100" w:hAnsi="Museo 100" w:cs="Calibri"/>
          <w:lang w:val="es-ES"/>
        </w:rPr>
      </w:pPr>
      <w:r w:rsidRPr="002E435C">
        <w:rPr>
          <w:rFonts w:ascii="Museo 100" w:eastAsia="Times New Roman" w:hAnsi="Museo 100"/>
          <w:lang w:val="es-ES"/>
        </w:rPr>
        <w:t xml:space="preserve">De parte de la Sección de Desarrollo de Software, menciona </w:t>
      </w:r>
      <w:r w:rsidR="003A5F38" w:rsidRPr="002E435C">
        <w:rPr>
          <w:rFonts w:ascii="Museo 100" w:eastAsia="Times New Roman" w:hAnsi="Museo 100"/>
          <w:i/>
          <w:iCs/>
          <w:lang w:val="es-ES"/>
        </w:rPr>
        <w:t xml:space="preserve">“… </w:t>
      </w:r>
      <w:r w:rsidRPr="002E435C">
        <w:rPr>
          <w:rFonts w:ascii="Museo 100" w:eastAsia="Times New Roman" w:hAnsi="Museo 100"/>
          <w:i/>
          <w:iCs/>
          <w:lang w:val="es-ES"/>
        </w:rPr>
        <w:t xml:space="preserve">que la información </w:t>
      </w:r>
      <w:r w:rsidRPr="002E435C">
        <w:rPr>
          <w:rFonts w:ascii="Museo 100" w:hAnsi="Museo 100"/>
          <w:i/>
          <w:iCs/>
          <w:lang w:val="es-ES"/>
        </w:rPr>
        <w:t>donde solicita datos de NNA donde la madre haya sido víctima de feminicidio, comenta que la información es inexiste.</w:t>
      </w:r>
      <w:r w:rsidR="003A5F38" w:rsidRPr="002E435C">
        <w:rPr>
          <w:rFonts w:ascii="Museo 100" w:hAnsi="Museo 100"/>
          <w:i/>
          <w:iCs/>
          <w:lang w:val="es-ES"/>
        </w:rPr>
        <w:t>”</w:t>
      </w:r>
    </w:p>
    <w:p w14:paraId="6AAEF955" w14:textId="77777777" w:rsidR="003A5F38" w:rsidRPr="002E435C" w:rsidRDefault="003A5F38" w:rsidP="002E435C">
      <w:pPr>
        <w:spacing w:after="0"/>
        <w:jc w:val="both"/>
        <w:rPr>
          <w:rFonts w:ascii="Museo 100" w:hAnsi="Museo 100"/>
          <w:lang w:val="es-ES"/>
        </w:rPr>
      </w:pPr>
    </w:p>
    <w:p w14:paraId="2A364289" w14:textId="3EF6E35C" w:rsidR="00987988" w:rsidRPr="002E435C" w:rsidRDefault="00987988" w:rsidP="002E435C">
      <w:pPr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Cuando se da el caso que la información sea inexistente, el Oficial de Información de conformidad al artículo 73 de la Ley de Acceso a la Información Pública, tomara las medidas pertinentes para localizar la información, lo anterior se trae a cuenta que la suscrita Oficial de Información, constato la búsqueda de la información y se confirma su inexistencia, dado que no existen medidas que puedan adoptarse para facilitar la documentación requerida, por no haber sido esta generada. </w:t>
      </w:r>
    </w:p>
    <w:p w14:paraId="28662022" w14:textId="70569685" w:rsidR="00987988" w:rsidRPr="002E435C" w:rsidRDefault="00987988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 </w:t>
      </w:r>
    </w:p>
    <w:p w14:paraId="0DB1151F" w14:textId="691CCB94" w:rsidR="008252A7" w:rsidRPr="002E435C" w:rsidRDefault="00987988" w:rsidP="002E435C">
      <w:pPr>
        <w:spacing w:after="0"/>
        <w:jc w:val="both"/>
        <w:rPr>
          <w:rFonts w:ascii="Museo 100" w:hAnsi="Museo 100"/>
          <w:lang w:val="es-ES"/>
        </w:rPr>
      </w:pPr>
      <w:r w:rsidRPr="002E435C">
        <w:rPr>
          <w:rFonts w:ascii="Museo 100" w:hAnsi="Museo 100"/>
          <w:lang w:val="es-ES"/>
        </w:rPr>
        <w:t xml:space="preserve">Cabe mencionar que con anterioridad hubo una solicitud similar a la presente y se informo al usuario que la información no se cuenta en la institución, ya que es la </w:t>
      </w:r>
      <w:proofErr w:type="gramStart"/>
      <w:r w:rsidRPr="002E435C">
        <w:rPr>
          <w:rFonts w:ascii="Museo 100" w:hAnsi="Museo 100"/>
          <w:lang w:val="es-ES"/>
        </w:rPr>
        <w:t>Fiscalía General</w:t>
      </w:r>
      <w:proofErr w:type="gramEnd"/>
      <w:r w:rsidRPr="002E435C">
        <w:rPr>
          <w:rFonts w:ascii="Museo 100" w:hAnsi="Museo 100"/>
          <w:lang w:val="es-ES"/>
        </w:rPr>
        <w:t xml:space="preserve"> de la República quien registra hechos penales como feminicidio y homicidios. </w:t>
      </w:r>
    </w:p>
    <w:p w14:paraId="10BAC8DB" w14:textId="77777777" w:rsidR="00987988" w:rsidRPr="002E435C" w:rsidRDefault="00987988" w:rsidP="002E435C">
      <w:pPr>
        <w:spacing w:after="0"/>
        <w:jc w:val="both"/>
        <w:rPr>
          <w:rFonts w:ascii="Museo 100" w:hAnsi="Museo 100"/>
          <w:lang w:val="es-ES"/>
        </w:rPr>
      </w:pPr>
    </w:p>
    <w:p w14:paraId="49F3B72B" w14:textId="13A657F1" w:rsidR="00215764" w:rsidRPr="002E435C" w:rsidRDefault="00215764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</w:rPr>
        <w:t xml:space="preserve">El Art. 68 de la LAIP establece que los interesados tendrán derecho la asistencia para el acceso a la información y al auxilio en la elaboración de las solicitudes, si así lo pide. Cuando una solicitud de información sea dirigida a un ente obligado distinto del competente, éste deberá informar al interesado la entidad a la que debe dirigirse. En ese sentido, lo solicitado no es administrado, ni tampoco generado, ni tampoco está en poder de esta Institución, por </w:t>
      </w:r>
      <w:proofErr w:type="gramStart"/>
      <w:r w:rsidRPr="002E435C">
        <w:rPr>
          <w:rFonts w:ascii="Museo 100" w:hAnsi="Museo 100"/>
        </w:rPr>
        <w:t>ende</w:t>
      </w:r>
      <w:proofErr w:type="gramEnd"/>
      <w:r w:rsidRPr="002E435C">
        <w:rPr>
          <w:rFonts w:ascii="Museo 100" w:hAnsi="Museo 100"/>
        </w:rPr>
        <w:t xml:space="preserve"> debe presentar su petición de información ante la Oficial de Información de la FGR, para que le tramite su solicitud y le resuelvan. </w:t>
      </w:r>
    </w:p>
    <w:p w14:paraId="677898ED" w14:textId="77777777" w:rsidR="00215764" w:rsidRPr="002E435C" w:rsidRDefault="00215764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368AC42" w14:textId="122DFE6A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  <w:b/>
          <w:bCs/>
        </w:rPr>
        <w:t xml:space="preserve">POR TANTO: </w:t>
      </w:r>
      <w:r w:rsidRPr="002E435C">
        <w:rPr>
          <w:rFonts w:ascii="Museo 100" w:hAnsi="Museo 100"/>
        </w:rPr>
        <w:t xml:space="preserve">Con base en las disposiciones legales citadas, los argumentos expuestos y conforme lo establecido en los Artículos 50 literal d), 65, 66, </w:t>
      </w:r>
      <w:r w:rsidR="002E435C" w:rsidRPr="002E435C">
        <w:rPr>
          <w:rFonts w:ascii="Museo 100" w:hAnsi="Museo 100"/>
        </w:rPr>
        <w:t xml:space="preserve">68, </w:t>
      </w:r>
      <w:r w:rsidRPr="002E435C">
        <w:rPr>
          <w:rFonts w:ascii="Museo 100" w:hAnsi="Museo 100"/>
        </w:rPr>
        <w:t>69, 71</w:t>
      </w:r>
      <w:r w:rsidR="002E435C" w:rsidRPr="002E435C">
        <w:rPr>
          <w:rFonts w:ascii="Museo 100" w:hAnsi="Museo 100"/>
        </w:rPr>
        <w:t>,</w:t>
      </w:r>
      <w:r w:rsidRPr="002E435C">
        <w:rPr>
          <w:rFonts w:ascii="Museo 100" w:hAnsi="Museo 100"/>
        </w:rPr>
        <w:t xml:space="preserve"> 72</w:t>
      </w:r>
      <w:r w:rsidR="002E435C" w:rsidRPr="002E435C">
        <w:rPr>
          <w:rFonts w:ascii="Museo 100" w:hAnsi="Museo 100"/>
        </w:rPr>
        <w:t xml:space="preserve"> y 73</w:t>
      </w:r>
      <w:r w:rsidRPr="002E435C">
        <w:rPr>
          <w:rFonts w:ascii="Museo 100" w:hAnsi="Museo 100"/>
        </w:rPr>
        <w:t xml:space="preserve"> de la Ley de Acceso a la Información Pública, Art. 5 y 49 del Reglamento correspondiente, se </w:t>
      </w:r>
      <w:r w:rsidRPr="002E435C">
        <w:rPr>
          <w:rFonts w:ascii="Museo 100" w:hAnsi="Museo 100"/>
          <w:b/>
          <w:bCs/>
        </w:rPr>
        <w:t>RESUELVE</w:t>
      </w:r>
      <w:r w:rsidRPr="002E435C">
        <w:rPr>
          <w:rFonts w:ascii="Museo 100" w:hAnsi="Museo 100"/>
        </w:rPr>
        <w:t xml:space="preserve">: </w:t>
      </w:r>
    </w:p>
    <w:p w14:paraId="31A517A6" w14:textId="77777777" w:rsidR="00056549" w:rsidRPr="002E435C" w:rsidRDefault="00056549" w:rsidP="002E435C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06A92E33" w14:textId="624D2C45" w:rsidR="002E435C" w:rsidRPr="002E435C" w:rsidRDefault="002E435C" w:rsidP="002E435C">
      <w:pPr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  <w:b/>
        </w:rPr>
        <w:t xml:space="preserve">DECLARESE </w:t>
      </w:r>
      <w:r w:rsidRPr="002E435C">
        <w:rPr>
          <w:rFonts w:ascii="Museo 100" w:hAnsi="Museo 100"/>
        </w:rPr>
        <w:t xml:space="preserve">la inexistencia de la información solicitada, por el motivo antes expresado. </w:t>
      </w:r>
    </w:p>
    <w:p w14:paraId="20F62617" w14:textId="73D90C7F" w:rsidR="002E435C" w:rsidRPr="002E435C" w:rsidRDefault="002E435C" w:rsidP="002E435C">
      <w:pPr>
        <w:spacing w:after="0"/>
        <w:jc w:val="both"/>
        <w:rPr>
          <w:rFonts w:ascii="Museo 100" w:hAnsi="Museo 100"/>
        </w:rPr>
      </w:pPr>
    </w:p>
    <w:p w14:paraId="4EE22CE6" w14:textId="77777777" w:rsidR="002E435C" w:rsidRPr="002E435C" w:rsidRDefault="002E435C" w:rsidP="002E435C">
      <w:pPr>
        <w:spacing w:after="0"/>
        <w:jc w:val="both"/>
        <w:rPr>
          <w:rFonts w:ascii="Museo 100" w:hAnsi="Museo 100"/>
        </w:rPr>
      </w:pPr>
      <w:r w:rsidRPr="002E435C">
        <w:rPr>
          <w:rFonts w:ascii="Museo 100" w:hAnsi="Museo 100"/>
          <w:b/>
        </w:rPr>
        <w:t>ORIÉNTESE</w:t>
      </w:r>
      <w:r w:rsidRPr="002E435C">
        <w:rPr>
          <w:rFonts w:ascii="Museo 100" w:hAnsi="Museo 100"/>
        </w:rPr>
        <w:t xml:space="preserve"> al peticionario para ejerza su derecho a solicitar información ante el ente respectivo.</w:t>
      </w:r>
    </w:p>
    <w:p w14:paraId="359E6B3C" w14:textId="77777777" w:rsidR="002E435C" w:rsidRPr="002E435C" w:rsidRDefault="002E435C" w:rsidP="002E435C">
      <w:pPr>
        <w:autoSpaceDE w:val="0"/>
        <w:autoSpaceDN w:val="0"/>
        <w:adjustRightInd w:val="0"/>
        <w:spacing w:after="0"/>
        <w:rPr>
          <w:rFonts w:ascii="Museo 100" w:hAnsi="Museo 100"/>
          <w:b/>
          <w:bCs/>
          <w:color w:val="000000"/>
        </w:rPr>
      </w:pPr>
    </w:p>
    <w:p w14:paraId="76E6C838" w14:textId="587D2558" w:rsidR="00056549" w:rsidRPr="002E435C" w:rsidRDefault="00056549" w:rsidP="002E435C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2E435C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317F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10" w:right="1418" w:bottom="1418" w:left="1418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D3DC" w14:textId="77777777" w:rsidR="00986698" w:rsidRDefault="00986698">
      <w:r>
        <w:separator/>
      </w:r>
    </w:p>
  </w:endnote>
  <w:endnote w:type="continuationSeparator" w:id="0">
    <w:p w14:paraId="119320F7" w14:textId="77777777" w:rsidR="00986698" w:rsidRDefault="0098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8533" w14:textId="77777777" w:rsidR="007A15A2" w:rsidRDefault="007A1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48A4" w14:textId="77777777" w:rsidR="007A15A2" w:rsidRDefault="007A15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5719" w14:textId="77777777" w:rsidR="007A15A2" w:rsidRDefault="007A1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BAEE" w14:textId="77777777" w:rsidR="00986698" w:rsidRDefault="00986698">
      <w:r>
        <w:separator/>
      </w:r>
    </w:p>
  </w:footnote>
  <w:footnote w:type="continuationSeparator" w:id="0">
    <w:p w14:paraId="528297C7" w14:textId="77777777" w:rsidR="00986698" w:rsidRDefault="0098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FB8F" w14:textId="77777777" w:rsidR="007A15A2" w:rsidRDefault="007A1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2E71639A" w:rsidR="00716D05" w:rsidRDefault="007A15A2">
    <w:pPr>
      <w:rPr>
        <w:rFonts w:eastAsia="Arial Unicode MS"/>
        <w:sz w:val="20"/>
        <w:szCs w:val="20"/>
      </w:rPr>
    </w:pPr>
    <w:r w:rsidRPr="007A15A2">
      <w:drawing>
        <wp:inline distT="0" distB="0" distL="0" distR="0" wp14:anchorId="5E258901" wp14:editId="23AEA21A">
          <wp:extent cx="561213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4328" w14:textId="77777777" w:rsidR="007A15A2" w:rsidRDefault="007A1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7447BCD"/>
    <w:multiLevelType w:val="hybridMultilevel"/>
    <w:tmpl w:val="2CECCA82"/>
    <w:lvl w:ilvl="0" w:tplc="A2AE625E">
      <w:start w:val="1"/>
      <w:numFmt w:val="upp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C5408"/>
    <w:multiLevelType w:val="hybridMultilevel"/>
    <w:tmpl w:val="173232FC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90783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15764"/>
    <w:rsid w:val="0025672B"/>
    <w:rsid w:val="002657E6"/>
    <w:rsid w:val="00273B2A"/>
    <w:rsid w:val="002850C0"/>
    <w:rsid w:val="00290B15"/>
    <w:rsid w:val="00293CC9"/>
    <w:rsid w:val="002B2EB5"/>
    <w:rsid w:val="002B38A7"/>
    <w:rsid w:val="002C2A90"/>
    <w:rsid w:val="002E435C"/>
    <w:rsid w:val="00303A9D"/>
    <w:rsid w:val="00317F46"/>
    <w:rsid w:val="00323EB4"/>
    <w:rsid w:val="003273F8"/>
    <w:rsid w:val="00347AD6"/>
    <w:rsid w:val="003626F8"/>
    <w:rsid w:val="00362E73"/>
    <w:rsid w:val="00365586"/>
    <w:rsid w:val="00367A0F"/>
    <w:rsid w:val="00376993"/>
    <w:rsid w:val="003A5F38"/>
    <w:rsid w:val="003C733E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571B2"/>
    <w:rsid w:val="005656AD"/>
    <w:rsid w:val="0058662A"/>
    <w:rsid w:val="00597737"/>
    <w:rsid w:val="005A6B87"/>
    <w:rsid w:val="005A78DE"/>
    <w:rsid w:val="005C661B"/>
    <w:rsid w:val="005F5D42"/>
    <w:rsid w:val="00621ED5"/>
    <w:rsid w:val="00652AEC"/>
    <w:rsid w:val="00656C05"/>
    <w:rsid w:val="00673C65"/>
    <w:rsid w:val="00693851"/>
    <w:rsid w:val="006B4A7F"/>
    <w:rsid w:val="006E6747"/>
    <w:rsid w:val="007059A5"/>
    <w:rsid w:val="0071222B"/>
    <w:rsid w:val="007131E7"/>
    <w:rsid w:val="00716D05"/>
    <w:rsid w:val="0076321D"/>
    <w:rsid w:val="0079359E"/>
    <w:rsid w:val="007A0017"/>
    <w:rsid w:val="007A15A2"/>
    <w:rsid w:val="007C17D3"/>
    <w:rsid w:val="007C6C33"/>
    <w:rsid w:val="007E730B"/>
    <w:rsid w:val="007F7F5F"/>
    <w:rsid w:val="00802A4C"/>
    <w:rsid w:val="00806F6A"/>
    <w:rsid w:val="008252A7"/>
    <w:rsid w:val="00835F06"/>
    <w:rsid w:val="00836BE6"/>
    <w:rsid w:val="008632A9"/>
    <w:rsid w:val="008722EC"/>
    <w:rsid w:val="008A2FFF"/>
    <w:rsid w:val="008A3F5F"/>
    <w:rsid w:val="008A7E5A"/>
    <w:rsid w:val="008D1573"/>
    <w:rsid w:val="008F10D5"/>
    <w:rsid w:val="00947838"/>
    <w:rsid w:val="00986698"/>
    <w:rsid w:val="00987988"/>
    <w:rsid w:val="009C15BE"/>
    <w:rsid w:val="009D08D9"/>
    <w:rsid w:val="009D5A30"/>
    <w:rsid w:val="00A25999"/>
    <w:rsid w:val="00A2652C"/>
    <w:rsid w:val="00A33BB0"/>
    <w:rsid w:val="00A40B07"/>
    <w:rsid w:val="00A62041"/>
    <w:rsid w:val="00AB556E"/>
    <w:rsid w:val="00B16512"/>
    <w:rsid w:val="00B333B1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36B44"/>
    <w:rsid w:val="00C709C6"/>
    <w:rsid w:val="00C969E2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7500A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61D2E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57DF4"/>
    <w:rsid w:val="00F674AD"/>
    <w:rsid w:val="00F753EC"/>
    <w:rsid w:val="00FB3385"/>
    <w:rsid w:val="00FC01C5"/>
    <w:rsid w:val="00FC0B91"/>
    <w:rsid w:val="00FC4BC3"/>
    <w:rsid w:val="00FE125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11</TotalTime>
  <Pages>3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2021-09-07T21:02:00Z</cp:lastPrinted>
  <dcterms:created xsi:type="dcterms:W3CDTF">2021-11-18T21:07:00Z</dcterms:created>
  <dcterms:modified xsi:type="dcterms:W3CDTF">2021-11-18T21:49:00Z</dcterms:modified>
</cp:coreProperties>
</file>