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Spec="right" w:tblpY="-488"/>
        <w:tblW w:w="2517" w:type="dxa"/>
        <w:tblLayout w:type="fixed"/>
        <w:tblLook w:val="04A0" w:firstRow="1" w:lastRow="0" w:firstColumn="1" w:lastColumn="0" w:noHBand="0" w:noVBand="1"/>
      </w:tblPr>
      <w:tblGrid>
        <w:gridCol w:w="601"/>
        <w:gridCol w:w="1916"/>
      </w:tblGrid>
      <w:tr w:rsidR="007F7F5F" w:rsidRPr="00F755C1" w14:paraId="65E836C4" w14:textId="77777777" w:rsidTr="00922E47">
        <w:trPr>
          <w:trHeight w:val="353"/>
        </w:trPr>
        <w:tc>
          <w:tcPr>
            <w:tcW w:w="601" w:type="dxa"/>
            <w:tcBorders>
              <w:top w:val="single" w:sz="8" w:space="0" w:color="auto"/>
              <w:left w:val="single" w:sz="8" w:space="0" w:color="auto"/>
              <w:bottom w:val="single" w:sz="8" w:space="0" w:color="auto"/>
              <w:right w:val="single" w:sz="8" w:space="0" w:color="auto"/>
            </w:tcBorders>
            <w:vAlign w:val="center"/>
          </w:tcPr>
          <w:p w14:paraId="4DBA83B6" w14:textId="77777777" w:rsidR="007F7F5F" w:rsidRPr="00F755C1" w:rsidRDefault="007F7F5F" w:rsidP="00F755C1">
            <w:pPr>
              <w:spacing w:after="0"/>
              <w:jc w:val="center"/>
              <w:rPr>
                <w:rFonts w:ascii="Museo 100" w:hAnsi="Museo 100"/>
                <w:lang w:val="es-SV"/>
              </w:rPr>
            </w:pPr>
            <w:r w:rsidRPr="00F755C1">
              <w:rPr>
                <w:rFonts w:ascii="Museo 100" w:hAnsi="Museo 100"/>
                <w:lang w:val="es-SV"/>
              </w:rPr>
              <w:t>N°</w:t>
            </w:r>
          </w:p>
        </w:tc>
        <w:tc>
          <w:tcPr>
            <w:tcW w:w="1916" w:type="dxa"/>
            <w:tcBorders>
              <w:top w:val="single" w:sz="8" w:space="0" w:color="auto"/>
              <w:left w:val="single" w:sz="8" w:space="0" w:color="auto"/>
              <w:bottom w:val="single" w:sz="8" w:space="0" w:color="auto"/>
              <w:right w:val="single" w:sz="8" w:space="0" w:color="auto"/>
            </w:tcBorders>
            <w:vAlign w:val="center"/>
          </w:tcPr>
          <w:p w14:paraId="075BC02D" w14:textId="62C31B57" w:rsidR="007F7F5F" w:rsidRPr="00F755C1" w:rsidRDefault="007F7F5F" w:rsidP="00F755C1">
            <w:pPr>
              <w:spacing w:after="0"/>
              <w:jc w:val="center"/>
              <w:rPr>
                <w:rFonts w:ascii="Museo 100" w:eastAsia="Calibri" w:hAnsi="Museo 100"/>
                <w:w w:val="102"/>
                <w:lang w:val="es-SV"/>
              </w:rPr>
            </w:pPr>
            <w:r w:rsidRPr="00F755C1">
              <w:rPr>
                <w:rFonts w:ascii="Museo 100" w:eastAsia="Calibri" w:hAnsi="Museo 100"/>
                <w:w w:val="102"/>
                <w:lang w:val="es-SV"/>
              </w:rPr>
              <w:t>UAIP/00</w:t>
            </w:r>
            <w:r w:rsidR="00AB6104" w:rsidRPr="00F755C1">
              <w:rPr>
                <w:rFonts w:ascii="Museo 100" w:eastAsia="Calibri" w:hAnsi="Museo 100"/>
                <w:w w:val="102"/>
                <w:lang w:val="es-SV"/>
              </w:rPr>
              <w:t>38</w:t>
            </w:r>
            <w:r w:rsidRPr="00F755C1">
              <w:rPr>
                <w:rFonts w:ascii="Museo 100" w:eastAsia="Calibri" w:hAnsi="Museo 100"/>
                <w:w w:val="102"/>
                <w:lang w:val="es-SV"/>
              </w:rPr>
              <w:t>/2021</w:t>
            </w:r>
          </w:p>
        </w:tc>
      </w:tr>
    </w:tbl>
    <w:p w14:paraId="0C8C0B56" w14:textId="77777777" w:rsidR="00347AD6" w:rsidRPr="00F755C1" w:rsidRDefault="00347AD6" w:rsidP="00F755C1">
      <w:pPr>
        <w:spacing w:after="0"/>
        <w:ind w:left="441"/>
        <w:jc w:val="both"/>
        <w:rPr>
          <w:rFonts w:ascii="Museo 100" w:eastAsia="Times New Roman" w:hAnsi="Museo 100" w:cs="Times New Roman"/>
          <w:b/>
          <w:spacing w:val="-1"/>
        </w:rPr>
      </w:pPr>
    </w:p>
    <w:p w14:paraId="25E15F92" w14:textId="7493A18B" w:rsidR="00056549" w:rsidRPr="00F755C1" w:rsidRDefault="00056549" w:rsidP="00F755C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r w:rsidRPr="00F755C1">
        <w:rPr>
          <w:rFonts w:ascii="Museo 100" w:hAnsi="Museo 100"/>
        </w:rPr>
        <w:t xml:space="preserve">LA UNIDAD DE ACCESO A LA INFORMACIÓN PÚBLICA DEL CONSEJO NACIONAL DE LA NIÑEZ Y DE LA ADOLESCENCIA (CONNA): San Salvador, a las </w:t>
      </w:r>
      <w:r w:rsidR="00AB6104" w:rsidRPr="00F755C1">
        <w:rPr>
          <w:rFonts w:ascii="Museo 100" w:hAnsi="Museo 100"/>
        </w:rPr>
        <w:t xml:space="preserve">quince </w:t>
      </w:r>
      <w:r w:rsidRPr="00F755C1">
        <w:rPr>
          <w:rFonts w:ascii="Museo 100" w:hAnsi="Museo 100"/>
        </w:rPr>
        <w:t>horas</w:t>
      </w:r>
      <w:r w:rsidR="00E74F41" w:rsidRPr="00F755C1">
        <w:rPr>
          <w:rFonts w:ascii="Museo 100" w:hAnsi="Museo 100"/>
        </w:rPr>
        <w:t xml:space="preserve"> </w:t>
      </w:r>
      <w:r w:rsidR="00AB6104" w:rsidRPr="00F755C1">
        <w:rPr>
          <w:rFonts w:ascii="Museo 100" w:hAnsi="Museo 100"/>
        </w:rPr>
        <w:t xml:space="preserve">cincuenta </w:t>
      </w:r>
      <w:r w:rsidR="009C15BE" w:rsidRPr="00F755C1">
        <w:rPr>
          <w:rFonts w:ascii="Museo 100" w:hAnsi="Museo 100"/>
        </w:rPr>
        <w:t xml:space="preserve">minutos </w:t>
      </w:r>
      <w:r w:rsidRPr="00F755C1">
        <w:rPr>
          <w:rFonts w:ascii="Museo 100" w:hAnsi="Museo 100"/>
        </w:rPr>
        <w:t xml:space="preserve">del día </w:t>
      </w:r>
      <w:r w:rsidR="00FF62D0" w:rsidRPr="00F755C1">
        <w:rPr>
          <w:rFonts w:ascii="Museo 100" w:hAnsi="Museo 100"/>
        </w:rPr>
        <w:t xml:space="preserve">siete </w:t>
      </w:r>
      <w:r w:rsidRPr="00F755C1">
        <w:rPr>
          <w:rFonts w:ascii="Museo 100" w:hAnsi="Museo 100"/>
        </w:rPr>
        <w:t xml:space="preserve">de </w:t>
      </w:r>
      <w:r w:rsidR="007F7F5F" w:rsidRPr="00F755C1">
        <w:rPr>
          <w:rFonts w:ascii="Museo 100" w:hAnsi="Museo 100"/>
        </w:rPr>
        <w:t xml:space="preserve">septiembre </w:t>
      </w:r>
      <w:r w:rsidRPr="00F755C1">
        <w:rPr>
          <w:rFonts w:ascii="Museo 100" w:hAnsi="Museo 100"/>
        </w:rPr>
        <w:t>de dos mil veintiuno.</w:t>
      </w:r>
    </w:p>
    <w:p w14:paraId="521C1C76" w14:textId="77777777" w:rsidR="00056549" w:rsidRPr="00F755C1" w:rsidRDefault="00056549" w:rsidP="00F755C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2A03C8B5" w14:textId="3C395BCD" w:rsidR="00AB6104" w:rsidRPr="00F755C1" w:rsidRDefault="00056549" w:rsidP="00F755C1">
      <w:pPr>
        <w:autoSpaceDE w:val="0"/>
        <w:autoSpaceDN w:val="0"/>
        <w:adjustRightInd w:val="0"/>
        <w:spacing w:after="0"/>
        <w:jc w:val="both"/>
        <w:rPr>
          <w:rFonts w:ascii="Museo 100" w:hAnsi="Museo 100"/>
        </w:rPr>
      </w:pPr>
      <w:r w:rsidRPr="00F755C1">
        <w:rPr>
          <w:rFonts w:ascii="Museo 100" w:eastAsia="Times New Roman" w:hAnsi="Museo 100"/>
          <w:color w:val="000000"/>
        </w:rPr>
        <w:t>El presente expediente, inicia con la solicitud presentada vía correo electrónico, a acceso a la información</w:t>
      </w:r>
      <w:r w:rsidR="00AB6104" w:rsidRPr="00F755C1">
        <w:rPr>
          <w:rFonts w:ascii="Museo 100" w:hAnsi="Museo 100"/>
        </w:rPr>
        <w:t xml:space="preserve">; </w:t>
      </w:r>
      <w:r w:rsidR="002270AB">
        <w:rPr>
          <w:rFonts w:ascii="Museo 100" w:hAnsi="Museo 100"/>
        </w:rPr>
        <w:t xml:space="preserve">y </w:t>
      </w:r>
      <w:r w:rsidR="00AB6104" w:rsidRPr="00F755C1">
        <w:rPr>
          <w:rFonts w:ascii="Museo 100" w:hAnsi="Museo 100"/>
        </w:rPr>
        <w:t>solicita</w:t>
      </w:r>
      <w:r w:rsidR="002270AB">
        <w:rPr>
          <w:rFonts w:ascii="Museo 100" w:hAnsi="Museo 100"/>
        </w:rPr>
        <w:t>n</w:t>
      </w:r>
      <w:r w:rsidR="00AB6104" w:rsidRPr="00F755C1">
        <w:rPr>
          <w:rFonts w:ascii="Museo 100" w:hAnsi="Museo 100"/>
        </w:rPr>
        <w:t xml:space="preserve"> lo siguiente:</w:t>
      </w:r>
    </w:p>
    <w:p w14:paraId="6E3791B5" w14:textId="77777777" w:rsidR="00AB6104" w:rsidRPr="00F755C1" w:rsidRDefault="00AB6104" w:rsidP="00F755C1">
      <w:pPr>
        <w:autoSpaceDE w:val="0"/>
        <w:autoSpaceDN w:val="0"/>
        <w:adjustRightInd w:val="0"/>
        <w:spacing w:after="0"/>
        <w:jc w:val="both"/>
        <w:rPr>
          <w:rFonts w:ascii="Museo 100" w:hAnsi="Museo 100"/>
        </w:rPr>
      </w:pPr>
    </w:p>
    <w:p w14:paraId="64DDB14E" w14:textId="77777777" w:rsidR="00AB6104" w:rsidRPr="00F755C1" w:rsidRDefault="00AB6104" w:rsidP="00F755C1">
      <w:pPr>
        <w:spacing w:after="0"/>
        <w:ind w:left="720"/>
        <w:jc w:val="both"/>
        <w:rPr>
          <w:rFonts w:ascii="Museo 100" w:hAnsi="Museo 100"/>
        </w:rPr>
      </w:pPr>
      <w:bookmarkStart w:id="0" w:name="_Hlk81981344"/>
      <w:r w:rsidRPr="00F755C1">
        <w:rPr>
          <w:rFonts w:ascii="Museo 100" w:hAnsi="Museo 100"/>
        </w:rPr>
        <w:t xml:space="preserve">1. Según datos estadísticos, ¿cuántas personas adolescentes correspondientes al grupo etario de 15 a 17 años edad, con una o varias condiciones de discapacidad, se encuentran bajo la medida de acogimiento de institucional? Indicar la información segregada por centro de acogimiento, año de ingreso al centro de acogimiento, edad, género, tipo de discapacidad, domicilio previo a la medida de protección, tipo de amenaza o vulneración de derechos, autoridad que dictó la medida de protección, año en que se dictó la medida, tiempo por el cual se ha dictado la medida y si existe o no recurso familiar. Además, detallar cuántas medidas de acogimiento institucional siguen vigentes, cuántas han cesado y cuántas están por cesar. </w:t>
      </w:r>
    </w:p>
    <w:p w14:paraId="27E7F48C" w14:textId="77777777" w:rsidR="00AB6104" w:rsidRPr="00F755C1" w:rsidRDefault="00AB6104" w:rsidP="00F755C1">
      <w:pPr>
        <w:spacing w:after="0"/>
        <w:ind w:left="720"/>
        <w:jc w:val="both"/>
        <w:rPr>
          <w:rFonts w:ascii="Museo 100" w:hAnsi="Museo 100"/>
        </w:rPr>
      </w:pPr>
      <w:r w:rsidRPr="00F755C1">
        <w:rPr>
          <w:rFonts w:ascii="Museo 100" w:hAnsi="Museo 100"/>
        </w:rPr>
        <w:t xml:space="preserve">2. Detalle las acciones intrainstitucionales e interinstitucionales que CONNA realiza para reintegrar familiarmente a las personas adolescentes con discapacidad que se encuentran bajo una medida de protección de acogimiento institucional. Indicar el número de personas adolescentes con discapacidad, entre 15 y 17 </w:t>
      </w:r>
      <w:proofErr w:type="gramStart"/>
      <w:r w:rsidRPr="00F755C1">
        <w:rPr>
          <w:rFonts w:ascii="Museo 100" w:hAnsi="Museo 100"/>
        </w:rPr>
        <w:t>años de edad</w:t>
      </w:r>
      <w:proofErr w:type="gramEnd"/>
      <w:r w:rsidRPr="00F755C1">
        <w:rPr>
          <w:rFonts w:ascii="Museo 100" w:hAnsi="Museo 100"/>
        </w:rPr>
        <w:t xml:space="preserve">, que han sido beneficiadas. Indicar el número y nombre de las instituciones con las cuales se coordina y articula a nivel nacional y local. </w:t>
      </w:r>
    </w:p>
    <w:p w14:paraId="089D7854" w14:textId="77777777" w:rsidR="00AB6104" w:rsidRPr="00F755C1" w:rsidRDefault="00AB6104" w:rsidP="00F755C1">
      <w:pPr>
        <w:spacing w:after="0"/>
        <w:ind w:left="720"/>
        <w:jc w:val="both"/>
        <w:rPr>
          <w:rFonts w:ascii="Museo 100" w:hAnsi="Museo 100"/>
        </w:rPr>
      </w:pPr>
      <w:r w:rsidRPr="00F755C1">
        <w:rPr>
          <w:rFonts w:ascii="Museo 100" w:hAnsi="Museo 100"/>
        </w:rPr>
        <w:t xml:space="preserve">3. Según sus registros, detalle los programas, acciones y mecanismos de protección social a nivel nacional, regional y local que son implementados por la Red de Atención Compartida y que están orientados a garantizar que las personas adolescentes con discapacidad, bajo una medida de protección de acogimiento institucional, sean reintegrados a su familia. Respecto a los programas, planes o proyectos indicar: nombre, cobertura, presupuesto asignado, características de la población a la que va dirigida, servicios de atención que se implementan, duración del programa, si cuenta con indicadores de monitoreo y evaluación por resultados, rendición de cuentas y el número de personas adolescentes con discapacidad que han sido beneficiadas. </w:t>
      </w:r>
    </w:p>
    <w:p w14:paraId="1C1DDD59" w14:textId="77777777" w:rsidR="00AB6104" w:rsidRPr="00F755C1" w:rsidRDefault="00AB6104" w:rsidP="00F755C1">
      <w:pPr>
        <w:spacing w:after="0"/>
        <w:ind w:left="720"/>
        <w:jc w:val="both"/>
        <w:rPr>
          <w:rFonts w:ascii="Museo 100" w:hAnsi="Museo 100"/>
        </w:rPr>
      </w:pPr>
      <w:r w:rsidRPr="00F755C1">
        <w:rPr>
          <w:rFonts w:ascii="Museo 100" w:hAnsi="Museo 100"/>
        </w:rPr>
        <w:t xml:space="preserve">4. ¿Cuántos ceses de medidas de protección de acogimiento institucional a favor de personas adolescentes con discapacidad han sido decretados o ratificados por las Juntas de Protección de la Niñez y Adolescencia? Indique qué acciones concretas se toman para no dejar sin protección jurídica y social a las personas adolescentes con discapacidad. </w:t>
      </w:r>
    </w:p>
    <w:p w14:paraId="60553802" w14:textId="77777777" w:rsidR="00AB6104" w:rsidRPr="00F755C1" w:rsidRDefault="00AB6104" w:rsidP="00F755C1">
      <w:pPr>
        <w:spacing w:after="0"/>
        <w:ind w:left="720"/>
        <w:jc w:val="both"/>
        <w:rPr>
          <w:rFonts w:ascii="Museo 100" w:hAnsi="Museo 100"/>
        </w:rPr>
      </w:pPr>
      <w:r w:rsidRPr="00F755C1">
        <w:rPr>
          <w:rFonts w:ascii="Museo 100" w:hAnsi="Museo 100"/>
        </w:rPr>
        <w:t xml:space="preserve">5. ¿Cuántas Acciones de Protección (Art. 226 LEPINA) se han promovido por parte de CONNA para garantizar los derechos colectivos e intereses difusos de las personas adolescentes con discapacidad que se encuentran bajo la medida de acogimiento institucional? Indicar la instancia judicial en la cual fue presentada la acción de protección, motivo por el cual fue presentada, año y decisión judicial. </w:t>
      </w:r>
    </w:p>
    <w:p w14:paraId="6CE0972C" w14:textId="40528DB4" w:rsidR="00FF62D0" w:rsidRPr="00F755C1" w:rsidRDefault="00AB6104" w:rsidP="00F755C1">
      <w:pPr>
        <w:spacing w:after="0"/>
        <w:ind w:left="720"/>
        <w:jc w:val="both"/>
        <w:rPr>
          <w:rFonts w:ascii="Museo 100" w:hAnsi="Museo 100"/>
        </w:rPr>
      </w:pPr>
      <w:r w:rsidRPr="00F755C1">
        <w:rPr>
          <w:rFonts w:ascii="Museo 100" w:hAnsi="Museo 100"/>
        </w:rPr>
        <w:t xml:space="preserve">6. ¿Qué acciones concretas realiza CONNA, como ente rector, para la reintegración familiar y social de las personas adolescentes con discapacidad que están prontas a egresar del Sistema Nacional de </w:t>
      </w:r>
      <w:r w:rsidRPr="00F755C1">
        <w:rPr>
          <w:rFonts w:ascii="Museo 100" w:hAnsi="Museo 100"/>
        </w:rPr>
        <w:lastRenderedPageBreak/>
        <w:t>Protección Integral de la Niñez y Adolescencia? Indicar el número y nombre de las instituciones con las cuales se coordina y articula a nivel nacional y local.</w:t>
      </w:r>
    </w:p>
    <w:bookmarkEnd w:id="0"/>
    <w:p w14:paraId="3A12F839" w14:textId="77777777" w:rsidR="00AB6104" w:rsidRPr="00F755C1" w:rsidRDefault="00AB6104" w:rsidP="00F755C1">
      <w:pPr>
        <w:spacing w:after="0"/>
        <w:ind w:left="720"/>
        <w:jc w:val="both"/>
        <w:rPr>
          <w:rFonts w:ascii="Museo 100" w:hAnsi="Museo 100"/>
        </w:rPr>
      </w:pPr>
    </w:p>
    <w:p w14:paraId="269A1E55" w14:textId="77777777" w:rsidR="00056549" w:rsidRPr="00F755C1" w:rsidRDefault="00056549" w:rsidP="00F755C1">
      <w:pPr>
        <w:pStyle w:val="Prrafodelista"/>
        <w:numPr>
          <w:ilvl w:val="0"/>
          <w:numId w:val="9"/>
        </w:numPr>
        <w:autoSpaceDE w:val="0"/>
        <w:autoSpaceDN w:val="0"/>
        <w:adjustRightInd w:val="0"/>
        <w:spacing w:after="0"/>
        <w:ind w:left="0" w:firstLine="0"/>
        <w:jc w:val="both"/>
        <w:rPr>
          <w:rFonts w:ascii="Museo 100" w:hAnsi="Museo 100"/>
          <w:b/>
        </w:rPr>
      </w:pPr>
      <w:r w:rsidRPr="00F755C1">
        <w:rPr>
          <w:rFonts w:ascii="Museo 100" w:hAnsi="Museo 100"/>
          <w:b/>
        </w:rPr>
        <w:t xml:space="preserve">CONSIDERANDO. </w:t>
      </w:r>
    </w:p>
    <w:p w14:paraId="018A6C2A" w14:textId="77777777" w:rsidR="00056549" w:rsidRPr="00F755C1" w:rsidRDefault="00056549" w:rsidP="00F755C1">
      <w:p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Museo 100" w:hAnsi="Museo 100"/>
        </w:rPr>
      </w:pPr>
    </w:p>
    <w:p w14:paraId="36642D19" w14:textId="77777777" w:rsidR="00056549" w:rsidRPr="00F755C1" w:rsidRDefault="00056549" w:rsidP="00F755C1">
      <w:pPr>
        <w:autoSpaceDE w:val="0"/>
        <w:autoSpaceDN w:val="0"/>
        <w:adjustRightInd w:val="0"/>
        <w:spacing w:after="0"/>
        <w:jc w:val="both"/>
        <w:rPr>
          <w:rFonts w:ascii="Museo 100" w:hAnsi="Museo 100"/>
        </w:rPr>
      </w:pPr>
      <w:r w:rsidRPr="00F755C1">
        <w:rPr>
          <w:rFonts w:ascii="Museo 100" w:hAnsi="Museo 1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14:paraId="3C22E782" w14:textId="77777777" w:rsidR="00056549" w:rsidRPr="00F755C1" w:rsidRDefault="00056549" w:rsidP="00F755C1">
      <w:pPr>
        <w:pStyle w:val="Prrafodelista"/>
        <w:autoSpaceDE w:val="0"/>
        <w:autoSpaceDN w:val="0"/>
        <w:adjustRightInd w:val="0"/>
        <w:spacing w:after="0"/>
        <w:ind w:left="0"/>
        <w:jc w:val="both"/>
        <w:rPr>
          <w:rFonts w:ascii="Museo 100" w:hAnsi="Museo 100"/>
        </w:rPr>
      </w:pPr>
    </w:p>
    <w:p w14:paraId="221839D9" w14:textId="77777777" w:rsidR="00056549" w:rsidRPr="00F755C1" w:rsidRDefault="00056549" w:rsidP="00F755C1">
      <w:pPr>
        <w:autoSpaceDE w:val="0"/>
        <w:autoSpaceDN w:val="0"/>
        <w:adjustRightInd w:val="0"/>
        <w:spacing w:after="0"/>
        <w:jc w:val="both"/>
        <w:rPr>
          <w:rFonts w:ascii="Museo 100" w:hAnsi="Museo 100"/>
          <w:color w:val="000000"/>
        </w:rPr>
      </w:pPr>
      <w:r w:rsidRPr="00F755C1">
        <w:rPr>
          <w:rFonts w:ascii="Museo 100" w:hAnsi="Museo 100"/>
          <w:color w:val="000000"/>
        </w:rPr>
        <w:t>Que, el art. 69 de la Ley de Acceso a la Información Pública establece que</w:t>
      </w:r>
      <w:r w:rsidRPr="00F755C1">
        <w:rPr>
          <w:rFonts w:ascii="Museo 100" w:hAnsi="Museo 100"/>
          <w:b/>
          <w:color w:val="000000"/>
        </w:rPr>
        <w:t xml:space="preserve"> </w:t>
      </w:r>
      <w:r w:rsidRPr="00F755C1">
        <w:rPr>
          <w:rFonts w:ascii="Museo 100" w:hAnsi="Museo 100"/>
          <w:color w:val="000000"/>
        </w:rPr>
        <w:t>el Oficial de Información es el vínculo entre la Institución Pública y el solicitante, por ser quien realiza las gestiones necesarias para facilitar el acceso a la información pública.</w:t>
      </w:r>
    </w:p>
    <w:p w14:paraId="16700896" w14:textId="77777777" w:rsidR="00056549" w:rsidRPr="00F755C1" w:rsidRDefault="00056549" w:rsidP="00F755C1">
      <w:pPr>
        <w:autoSpaceDE w:val="0"/>
        <w:autoSpaceDN w:val="0"/>
        <w:adjustRightInd w:val="0"/>
        <w:spacing w:after="0"/>
        <w:jc w:val="both"/>
        <w:rPr>
          <w:rFonts w:ascii="Museo 100" w:hAnsi="Museo 100"/>
        </w:rPr>
      </w:pPr>
    </w:p>
    <w:p w14:paraId="6306124B" w14:textId="77777777" w:rsidR="00056549" w:rsidRPr="00F755C1" w:rsidRDefault="00056549" w:rsidP="00F755C1">
      <w:pPr>
        <w:pStyle w:val="Prrafodelista"/>
        <w:numPr>
          <w:ilvl w:val="0"/>
          <w:numId w:val="9"/>
        </w:numPr>
        <w:autoSpaceDE w:val="0"/>
        <w:autoSpaceDN w:val="0"/>
        <w:adjustRightInd w:val="0"/>
        <w:spacing w:after="0"/>
        <w:ind w:left="0" w:firstLine="0"/>
        <w:jc w:val="both"/>
        <w:rPr>
          <w:rFonts w:ascii="Museo 100" w:hAnsi="Museo 100"/>
          <w:b/>
        </w:rPr>
      </w:pPr>
      <w:r w:rsidRPr="00F755C1">
        <w:rPr>
          <w:rFonts w:ascii="Museo 100" w:hAnsi="Museo 100"/>
          <w:b/>
        </w:rPr>
        <w:t xml:space="preserve">FUNDAMENTACIÓN. </w:t>
      </w:r>
    </w:p>
    <w:p w14:paraId="7AF8C319" w14:textId="77777777" w:rsidR="00056549" w:rsidRPr="00F755C1" w:rsidRDefault="00056549" w:rsidP="00F755C1">
      <w:pPr>
        <w:autoSpaceDE w:val="0"/>
        <w:autoSpaceDN w:val="0"/>
        <w:adjustRightInd w:val="0"/>
        <w:spacing w:after="0"/>
        <w:jc w:val="both"/>
        <w:rPr>
          <w:rFonts w:ascii="Museo 100" w:hAnsi="Museo 100"/>
        </w:rPr>
      </w:pPr>
    </w:p>
    <w:p w14:paraId="34619FF3" w14:textId="77777777" w:rsidR="00056549" w:rsidRPr="00F755C1" w:rsidRDefault="00056549" w:rsidP="00F755C1">
      <w:pPr>
        <w:autoSpaceDE w:val="0"/>
        <w:autoSpaceDN w:val="0"/>
        <w:adjustRightInd w:val="0"/>
        <w:spacing w:after="0"/>
        <w:jc w:val="both"/>
        <w:rPr>
          <w:rFonts w:ascii="Museo 100" w:hAnsi="Museo 100"/>
        </w:rPr>
      </w:pPr>
      <w:r w:rsidRPr="00F755C1">
        <w:rPr>
          <w:rFonts w:ascii="Museo 100" w:hAnsi="Museo 1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14:paraId="20420F83" w14:textId="77777777" w:rsidR="00056549" w:rsidRPr="00F755C1" w:rsidRDefault="00056549" w:rsidP="00F755C1">
      <w:pPr>
        <w:autoSpaceDE w:val="0"/>
        <w:autoSpaceDN w:val="0"/>
        <w:adjustRightInd w:val="0"/>
        <w:spacing w:after="0"/>
        <w:jc w:val="both"/>
        <w:rPr>
          <w:rFonts w:ascii="Museo 100" w:hAnsi="Museo 100"/>
        </w:rPr>
      </w:pPr>
    </w:p>
    <w:p w14:paraId="2159CD17" w14:textId="77777777" w:rsidR="00056549" w:rsidRPr="00F755C1" w:rsidRDefault="00056549" w:rsidP="00F755C1">
      <w:pPr>
        <w:autoSpaceDE w:val="0"/>
        <w:autoSpaceDN w:val="0"/>
        <w:adjustRightInd w:val="0"/>
        <w:spacing w:after="0"/>
        <w:jc w:val="both"/>
        <w:rPr>
          <w:rFonts w:ascii="Museo 100" w:hAnsi="Museo 100"/>
        </w:rPr>
      </w:pPr>
      <w:r w:rsidRPr="00F755C1">
        <w:rPr>
          <w:rFonts w:ascii="Museo 100" w:hAnsi="Museo 100"/>
        </w:rPr>
        <w:t xml:space="preserve">Que de conformidad a los arts. 65 y 72 de la LAIP, las decisiones de los entes obligados deben entregarse por escrito al solicitante, </w:t>
      </w:r>
      <w:proofErr w:type="gramStart"/>
      <w:r w:rsidRPr="00F755C1">
        <w:rPr>
          <w:rFonts w:ascii="Museo 100" w:hAnsi="Museo 100"/>
        </w:rPr>
        <w:t>haciendo mención de</w:t>
      </w:r>
      <w:proofErr w:type="gramEnd"/>
      <w:r w:rsidRPr="00F755C1">
        <w:rPr>
          <w:rFonts w:ascii="Museo 100" w:hAnsi="Museo 100"/>
        </w:rPr>
        <w:t xml:space="preserve"> una breve fundamentación suficiente y establecer los razonamientos de una decisión sobre el acceso a la información. </w:t>
      </w:r>
    </w:p>
    <w:p w14:paraId="0D1D9D30" w14:textId="77777777" w:rsidR="00056549" w:rsidRPr="00F755C1" w:rsidRDefault="00056549" w:rsidP="00F755C1">
      <w:pPr>
        <w:autoSpaceDE w:val="0"/>
        <w:autoSpaceDN w:val="0"/>
        <w:adjustRightInd w:val="0"/>
        <w:spacing w:after="0"/>
        <w:jc w:val="both"/>
        <w:rPr>
          <w:rFonts w:ascii="Museo 100" w:hAnsi="Museo 100"/>
        </w:rPr>
      </w:pPr>
    </w:p>
    <w:p w14:paraId="073F75F6" w14:textId="7F839EE9" w:rsidR="00AB6104" w:rsidRPr="00F755C1" w:rsidRDefault="00056549" w:rsidP="00F755C1">
      <w:pPr>
        <w:spacing w:after="0"/>
        <w:jc w:val="both"/>
        <w:rPr>
          <w:rFonts w:ascii="Museo 100" w:hAnsi="Museo 100"/>
        </w:rPr>
      </w:pPr>
      <w:r w:rsidRPr="00F755C1">
        <w:rPr>
          <w:rFonts w:ascii="Museo 100" w:hAnsi="Museo 100"/>
          <w:color w:val="000000"/>
        </w:rPr>
        <w:t>Conforme lo anteriormente expuesto y con el propósito de dar respuesta</w:t>
      </w:r>
      <w:r w:rsidR="00362E73" w:rsidRPr="00F755C1">
        <w:rPr>
          <w:rFonts w:ascii="Museo 100" w:hAnsi="Museo 100"/>
        </w:rPr>
        <w:t>,</w:t>
      </w:r>
      <w:r w:rsidRPr="00F755C1">
        <w:rPr>
          <w:rFonts w:ascii="Museo 100" w:hAnsi="Museo 100"/>
        </w:rPr>
        <w:t xml:space="preserve"> se solicitó a</w:t>
      </w:r>
      <w:r w:rsidR="00FF62D0" w:rsidRPr="00F755C1">
        <w:rPr>
          <w:rFonts w:ascii="Museo 100" w:hAnsi="Museo 100"/>
        </w:rPr>
        <w:t xml:space="preserve"> Subdirección de Defensa de Derechos Individuales</w:t>
      </w:r>
      <w:r w:rsidR="00AB6104" w:rsidRPr="00F755C1">
        <w:rPr>
          <w:rFonts w:ascii="Museo 100" w:hAnsi="Museo 100"/>
        </w:rPr>
        <w:t>, Subdirección de Políticas, Subdirección de Promoción y Protección de Derechos Colectivos y Difusos, Subdirección de Registro, Supervisión e Investigación y Sección de Desarrollo Software.</w:t>
      </w:r>
    </w:p>
    <w:p w14:paraId="6217EB6B" w14:textId="77777777" w:rsidR="00AB6104" w:rsidRPr="00F755C1" w:rsidRDefault="00AB6104" w:rsidP="00F755C1">
      <w:pPr>
        <w:spacing w:after="0"/>
        <w:jc w:val="both"/>
        <w:rPr>
          <w:rFonts w:ascii="Museo 100" w:hAnsi="Museo 100"/>
        </w:rPr>
      </w:pPr>
    </w:p>
    <w:p w14:paraId="3F43CD5C" w14:textId="64D17084" w:rsidR="00AB6104" w:rsidRPr="00F755C1" w:rsidRDefault="00AB6104" w:rsidP="00F755C1">
      <w:pPr>
        <w:spacing w:after="0"/>
        <w:jc w:val="both"/>
        <w:rPr>
          <w:rFonts w:ascii="Museo 100" w:hAnsi="Museo 100"/>
        </w:rPr>
      </w:pPr>
      <w:r w:rsidRPr="00F755C1">
        <w:rPr>
          <w:rFonts w:ascii="Museo 100" w:hAnsi="Museo 100"/>
        </w:rPr>
        <w:t>En fecha seis de los corrientes se ha recibido correo electrónico de parte de la Subdirección de Defensa de Derechos Individuales, por medio del cual da respuesta a los requerimientos 2, 4 y 6 y es lo siguiente:</w:t>
      </w:r>
    </w:p>
    <w:p w14:paraId="51D67169" w14:textId="77777777" w:rsidR="00AB6104" w:rsidRPr="00F755C1" w:rsidRDefault="00AB6104" w:rsidP="00F755C1">
      <w:pPr>
        <w:spacing w:after="0"/>
        <w:jc w:val="both"/>
        <w:rPr>
          <w:rFonts w:ascii="Museo 100" w:hAnsi="Museo 100"/>
        </w:rPr>
      </w:pPr>
    </w:p>
    <w:p w14:paraId="35B2BB5F" w14:textId="77777777" w:rsidR="00AB6104" w:rsidRPr="00F755C1" w:rsidRDefault="00AB6104" w:rsidP="00F755C1">
      <w:pPr>
        <w:spacing w:after="0"/>
        <w:ind w:left="720"/>
        <w:jc w:val="both"/>
        <w:rPr>
          <w:rFonts w:ascii="Museo 100" w:hAnsi="Museo 100" w:cs="Calibri"/>
          <w:lang w:val="es-ES"/>
        </w:rPr>
      </w:pPr>
      <w:r w:rsidRPr="00F755C1">
        <w:rPr>
          <w:rFonts w:ascii="Museo 100" w:hAnsi="Museo 100"/>
          <w:lang w:val="es-ES"/>
        </w:rPr>
        <w:t>2. Desde la Sub Dirección de Defensa de Derechos Individuales (SDDI), a través de las Juntas de Protección de la Niñez y de la Adolescencia, se aplican medidas de protección en garantía de las niñas, niños y adolescentes, amenazados y/o vulnerados en sus derechos, incluyendo a niñas, niños y adolescentes con discapacidad; es importante señalar que todas las instituciones que ejecutan medidas relacionadas al acogimiento de emergencia deben cumplir con lo señalado en el artículo 174 LEPINA, brindando todos los servicios en  garantía de sus derechos.</w:t>
      </w:r>
    </w:p>
    <w:p w14:paraId="19DD0363" w14:textId="77777777" w:rsidR="00AB6104" w:rsidRPr="00F755C1" w:rsidRDefault="00AB6104" w:rsidP="00F755C1">
      <w:pPr>
        <w:spacing w:after="0"/>
        <w:ind w:left="720"/>
        <w:jc w:val="both"/>
        <w:rPr>
          <w:rFonts w:ascii="Museo 100" w:hAnsi="Museo 100"/>
          <w:lang w:val="es-ES"/>
        </w:rPr>
      </w:pPr>
      <w:r w:rsidRPr="00F755C1">
        <w:rPr>
          <w:rFonts w:ascii="Museo 100" w:hAnsi="Museo 100"/>
          <w:lang w:val="es-ES"/>
        </w:rPr>
        <w:t>4. Desde esta Sub-Dirección podemos mencionar que las acciones concretas que se toman son las señaladas como competencias de las Juntas de Protección (Artículo 161 LEPINA); es importante aclarar que esta Sub-Dirección no es la responsable del manejo de datos estadísticos, sino que deberá solicitarse dicha información al departamento de Informática, quienes son los responsables del resguardo y análisis de dicha información.</w:t>
      </w:r>
    </w:p>
    <w:p w14:paraId="451573FA" w14:textId="77777777" w:rsidR="00AB6104" w:rsidRPr="00F755C1" w:rsidRDefault="00AB6104" w:rsidP="00F755C1">
      <w:pPr>
        <w:spacing w:after="0"/>
        <w:ind w:left="720"/>
        <w:jc w:val="both"/>
        <w:rPr>
          <w:rFonts w:ascii="Museo 100" w:hAnsi="Museo 100"/>
          <w:lang w:val="es-ES"/>
        </w:rPr>
      </w:pPr>
      <w:r w:rsidRPr="00F755C1">
        <w:rPr>
          <w:rFonts w:ascii="Museo 100" w:hAnsi="Museo 100"/>
          <w:lang w:val="es-ES"/>
        </w:rPr>
        <w:t>6. Desde esta Sub-Dirección, a través de las Juntas de Protección y considerando el ejercicio de sus competencias, se realizan coordinaciones a nivel local con gobiernos locales, algunas instituciones no gubernamentales como Asociación Proyecto RED, Aldeas infantiles SOS El Salvador; así mismo se coordinan acciones con el CONAYPD, ISDEMU, ISNA y otros en menores proporciones.</w:t>
      </w:r>
    </w:p>
    <w:p w14:paraId="604ABCC1" w14:textId="77777777" w:rsidR="00F755C1" w:rsidRPr="00F755C1" w:rsidRDefault="00F755C1" w:rsidP="00F755C1">
      <w:pPr>
        <w:spacing w:after="0"/>
        <w:jc w:val="both"/>
        <w:rPr>
          <w:rFonts w:ascii="Museo 100" w:hAnsi="Museo 100"/>
          <w:lang w:val="es-ES"/>
        </w:rPr>
      </w:pPr>
    </w:p>
    <w:p w14:paraId="630F10C4" w14:textId="1D54FBC0" w:rsidR="00AB6104" w:rsidRPr="00F755C1" w:rsidRDefault="00AB6104" w:rsidP="00F755C1">
      <w:pPr>
        <w:spacing w:after="0"/>
        <w:jc w:val="both"/>
        <w:rPr>
          <w:rFonts w:ascii="Museo 100" w:hAnsi="Museo 100"/>
          <w:lang w:val="es-ES"/>
        </w:rPr>
      </w:pPr>
      <w:r w:rsidRPr="00F755C1">
        <w:rPr>
          <w:rFonts w:ascii="Museo 100" w:hAnsi="Museo 100"/>
          <w:lang w:val="es-ES"/>
        </w:rPr>
        <w:t>En fecha tres de los corrientes</w:t>
      </w:r>
      <w:r w:rsidR="00415565" w:rsidRPr="00F755C1">
        <w:rPr>
          <w:rFonts w:ascii="Museo 100" w:hAnsi="Museo 100"/>
          <w:lang w:val="es-ES"/>
        </w:rPr>
        <w:t>, la Subdirección de Políticas</w:t>
      </w:r>
      <w:r w:rsidRPr="00F755C1">
        <w:rPr>
          <w:rFonts w:ascii="Museo 100" w:hAnsi="Museo 100"/>
          <w:lang w:val="es-ES"/>
        </w:rPr>
        <w:t xml:space="preserve"> da respuesta a </w:t>
      </w:r>
      <w:r w:rsidR="00573FAA" w:rsidRPr="00F755C1">
        <w:rPr>
          <w:rFonts w:ascii="Museo 100" w:hAnsi="Museo 100"/>
          <w:lang w:val="es-ES"/>
        </w:rPr>
        <w:t>los requerimientos 3 y 6,</w:t>
      </w:r>
      <w:r w:rsidR="00415565" w:rsidRPr="00F755C1">
        <w:rPr>
          <w:rFonts w:ascii="Museo 100" w:hAnsi="Museo 100"/>
          <w:lang w:val="es-ES"/>
        </w:rPr>
        <w:t xml:space="preserve"> </w:t>
      </w:r>
      <w:r w:rsidR="00573FAA" w:rsidRPr="00F755C1">
        <w:rPr>
          <w:rFonts w:ascii="Museo 100" w:hAnsi="Museo 100"/>
          <w:lang w:val="es-ES"/>
        </w:rPr>
        <w:t xml:space="preserve">por medio de Memorando numero SDP/069/2021, de fecha 02 de septiembre de 2021, el </w:t>
      </w:r>
      <w:r w:rsidR="00415565" w:rsidRPr="00F755C1">
        <w:rPr>
          <w:rFonts w:ascii="Museo 100" w:hAnsi="Museo 100"/>
          <w:lang w:val="es-ES"/>
        </w:rPr>
        <w:t xml:space="preserve">cual será adjuntado al correo electrónico señalado para recibir notificaciones. </w:t>
      </w:r>
    </w:p>
    <w:p w14:paraId="735D7F27" w14:textId="77777777" w:rsidR="00F755C1" w:rsidRPr="00F755C1" w:rsidRDefault="00F755C1" w:rsidP="00F755C1">
      <w:pPr>
        <w:spacing w:after="0"/>
        <w:jc w:val="both"/>
        <w:rPr>
          <w:rFonts w:ascii="Museo 100" w:hAnsi="Museo 100"/>
        </w:rPr>
      </w:pPr>
    </w:p>
    <w:p w14:paraId="3BA52141" w14:textId="728BAC4A" w:rsidR="00415565" w:rsidRPr="00F755C1" w:rsidRDefault="00415565" w:rsidP="00F755C1">
      <w:pPr>
        <w:spacing w:after="0"/>
        <w:jc w:val="both"/>
        <w:rPr>
          <w:rFonts w:ascii="Museo 100" w:hAnsi="Museo 100"/>
        </w:rPr>
      </w:pPr>
      <w:r w:rsidRPr="00F755C1">
        <w:rPr>
          <w:rFonts w:ascii="Museo 100" w:hAnsi="Museo 100"/>
        </w:rPr>
        <w:t xml:space="preserve">En fecha 31 de agosto del presente año, la Subdirección de Registro, Supervisión e Investigación da respuesta a los requerimientos 1, 2 y 3, por medio de Memorando SRSI/236/2021, de fecha 30 de agosto de 2021, el cual será adjuntado al correo electrónico señalado para recibir notificaciones. </w:t>
      </w:r>
    </w:p>
    <w:p w14:paraId="6D5F29D5" w14:textId="77777777" w:rsidR="00415565" w:rsidRPr="00F755C1" w:rsidRDefault="00415565" w:rsidP="00F755C1">
      <w:pPr>
        <w:spacing w:after="0"/>
        <w:jc w:val="both"/>
        <w:rPr>
          <w:rFonts w:ascii="Museo 100" w:hAnsi="Museo 100"/>
        </w:rPr>
      </w:pPr>
    </w:p>
    <w:p w14:paraId="5FF0390E" w14:textId="2C9DDD32" w:rsidR="00415565" w:rsidRPr="00F755C1" w:rsidRDefault="00415565" w:rsidP="00F755C1">
      <w:pPr>
        <w:spacing w:after="0"/>
        <w:jc w:val="both"/>
        <w:rPr>
          <w:rFonts w:ascii="Museo 100" w:hAnsi="Museo 100"/>
        </w:rPr>
      </w:pPr>
      <w:r w:rsidRPr="00F755C1">
        <w:rPr>
          <w:rFonts w:ascii="Museo 100" w:hAnsi="Museo 100"/>
        </w:rPr>
        <w:t xml:space="preserve">En fecha 30 de agosto de 2021, la Subdirección de Promoción y Protección de Derechos Colectivos y Difusos, da respuesta a los requerimientos 5 y 6, por medio de correo electrónico y es lo siguiente: </w:t>
      </w:r>
    </w:p>
    <w:p w14:paraId="3F3B8488" w14:textId="6958262D" w:rsidR="00415565" w:rsidRPr="00F755C1" w:rsidRDefault="00415565" w:rsidP="00F755C1">
      <w:pPr>
        <w:spacing w:after="0"/>
        <w:jc w:val="both"/>
        <w:rPr>
          <w:rFonts w:ascii="Museo 100" w:hAnsi="Museo 100"/>
        </w:rPr>
      </w:pPr>
    </w:p>
    <w:p w14:paraId="5CF658DC" w14:textId="77777777" w:rsidR="00415565" w:rsidRPr="00F755C1" w:rsidRDefault="00415565" w:rsidP="00F755C1">
      <w:pPr>
        <w:spacing w:after="0"/>
        <w:ind w:left="720"/>
        <w:jc w:val="both"/>
        <w:rPr>
          <w:rFonts w:ascii="Museo 100" w:hAnsi="Museo 100"/>
        </w:rPr>
      </w:pPr>
      <w:r w:rsidRPr="00F755C1">
        <w:rPr>
          <w:rFonts w:ascii="Museo 100" w:hAnsi="Museo 100"/>
        </w:rPr>
        <w:t>5. Cuántas acciones de Protección se han promovido por parte de CONNA para garantizar los derechos colectivos e intereses difusos de las personas adolescentes con discapacidad que se encuentran bajo la medida de acogimiento institucional. Indicar la instancia judicial en la cual fue presentada la acción de protección, motivo por el cual fue presentada, año y decisión judicial.</w:t>
      </w:r>
    </w:p>
    <w:p w14:paraId="71BBC929" w14:textId="77777777" w:rsidR="00415565" w:rsidRPr="00F755C1" w:rsidRDefault="00415565" w:rsidP="00F755C1">
      <w:pPr>
        <w:spacing w:after="0"/>
        <w:ind w:left="720"/>
        <w:jc w:val="both"/>
        <w:rPr>
          <w:rFonts w:ascii="Museo 100" w:hAnsi="Museo 100"/>
        </w:rPr>
      </w:pPr>
      <w:r w:rsidRPr="00F755C1">
        <w:rPr>
          <w:rFonts w:ascii="Museo 100" w:hAnsi="Museo 100"/>
        </w:rPr>
        <w:t>R/ El CONNA desde su creación nunca ha promovido una acción de protección para garantizar los derechos colectivos e intereses difusos de las personas adolescentes con discapacidad, ya que, al haberse tenido conocimiento de algún caso, se han realizado diversas acciones no judiciales para la garantía y restitución de derechos.</w:t>
      </w:r>
    </w:p>
    <w:p w14:paraId="4C21108C" w14:textId="77777777" w:rsidR="00415565" w:rsidRPr="00F755C1" w:rsidRDefault="00415565" w:rsidP="00F755C1">
      <w:pPr>
        <w:spacing w:after="0"/>
        <w:ind w:left="720"/>
        <w:jc w:val="both"/>
        <w:rPr>
          <w:rFonts w:ascii="Museo 100" w:hAnsi="Museo 100"/>
        </w:rPr>
      </w:pPr>
      <w:r w:rsidRPr="00F755C1">
        <w:rPr>
          <w:rFonts w:ascii="Museo 100" w:hAnsi="Museo 100"/>
        </w:rPr>
        <w:t>6. Que acciones concretas realiza CONNA, como ente rector, para la reintegración familiar y social de las personas adolescentes con discapacidad que están prontas a egresar del Sistema Nacional de Protección Integral. Indicar el número y nombre de las instituciones con las cuales se coordina y articula a nivel nacional y local.</w:t>
      </w:r>
    </w:p>
    <w:p w14:paraId="2B849F01" w14:textId="7719EEF2" w:rsidR="00415565" w:rsidRPr="00F755C1" w:rsidRDefault="00415565" w:rsidP="00F755C1">
      <w:pPr>
        <w:spacing w:after="0"/>
        <w:ind w:left="720"/>
        <w:jc w:val="both"/>
        <w:rPr>
          <w:rFonts w:ascii="Museo 100" w:hAnsi="Museo 100"/>
        </w:rPr>
      </w:pPr>
      <w:r w:rsidRPr="00F755C1">
        <w:rPr>
          <w:rFonts w:ascii="Museo 100" w:hAnsi="Museo 100"/>
        </w:rPr>
        <w:t>R/Son las Juntas de Protección (16 a nivel nacional) quienes realizan un proceso de protección ante una vulneración a derechos de adolescentes con discapacidad, se ordena una investigación sicosocial para determinar las condiciones de la familia y el respeto de sus derechos, siendo la excepción en cumplimiento al interés superior dictar la medida de acogimiento por lo que se procura que el adolescente con discapacidad continúe dentro de su grupo familiar, brindando el debido seguimiento y se incluye a los padres o responsables en programas que fortalezcan sus capacidades de cuido.</w:t>
      </w:r>
    </w:p>
    <w:p w14:paraId="19D4C288" w14:textId="70D68C24" w:rsidR="00415565" w:rsidRPr="00F755C1" w:rsidRDefault="00415565" w:rsidP="00F755C1">
      <w:pPr>
        <w:spacing w:after="0"/>
        <w:ind w:left="720"/>
        <w:jc w:val="both"/>
        <w:rPr>
          <w:rFonts w:ascii="Museo 100" w:hAnsi="Museo 100"/>
        </w:rPr>
      </w:pPr>
      <w:r w:rsidRPr="00F755C1">
        <w:rPr>
          <w:rFonts w:ascii="Museo 100" w:hAnsi="Museo 100"/>
        </w:rPr>
        <w:t>Se coordina con 2 instituciones en estos casos, el CONAIPD y el ISRI.</w:t>
      </w:r>
    </w:p>
    <w:p w14:paraId="71CB3FA1" w14:textId="77777777" w:rsidR="00F755C1" w:rsidRPr="00F755C1" w:rsidRDefault="00F755C1" w:rsidP="00F755C1">
      <w:pPr>
        <w:spacing w:after="0"/>
        <w:ind w:left="720"/>
        <w:jc w:val="both"/>
        <w:rPr>
          <w:rFonts w:ascii="Museo 100" w:hAnsi="Museo 100"/>
        </w:rPr>
      </w:pPr>
    </w:p>
    <w:p w14:paraId="311DA9AB" w14:textId="256285C9" w:rsidR="00920153" w:rsidRPr="00F755C1" w:rsidRDefault="00FF62D0" w:rsidP="00F755C1">
      <w:pPr>
        <w:spacing w:after="0"/>
        <w:jc w:val="both"/>
        <w:rPr>
          <w:rFonts w:ascii="Museo 100" w:hAnsi="Museo 100"/>
        </w:rPr>
      </w:pPr>
      <w:r w:rsidRPr="00F755C1">
        <w:rPr>
          <w:rFonts w:ascii="Museo 100" w:eastAsia="Times New Roman" w:hAnsi="Museo 100"/>
          <w:lang w:val="es-ES"/>
        </w:rPr>
        <w:t xml:space="preserve">De parte de la Sección de Desarrollo de Software, </w:t>
      </w:r>
      <w:r w:rsidR="00415565" w:rsidRPr="00F755C1">
        <w:rPr>
          <w:rFonts w:ascii="Museo 100" w:eastAsia="Times New Roman" w:hAnsi="Museo 100"/>
          <w:lang w:val="es-ES"/>
        </w:rPr>
        <w:t xml:space="preserve">se recibió correo electrónico </w:t>
      </w:r>
      <w:r w:rsidR="00920153" w:rsidRPr="00F755C1">
        <w:rPr>
          <w:rFonts w:ascii="Museo 100" w:hAnsi="Museo 100"/>
        </w:rPr>
        <w:t xml:space="preserve">por medio del cual da respuesta al requerimiento 1 adjuntando al mismo un cuadro en Excel, el cual será adjuntado al correo electrónico señalado para recibir notificaciones. </w:t>
      </w:r>
    </w:p>
    <w:p w14:paraId="7EB2EC3C" w14:textId="77777777" w:rsidR="00920153" w:rsidRPr="00F755C1" w:rsidRDefault="00920153" w:rsidP="00F755C1">
      <w:pPr>
        <w:spacing w:after="0"/>
        <w:jc w:val="both"/>
        <w:rPr>
          <w:rFonts w:ascii="Museo 100" w:eastAsia="Times New Roman" w:hAnsi="Museo 100"/>
          <w:lang w:val="es-ES"/>
        </w:rPr>
      </w:pPr>
    </w:p>
    <w:p w14:paraId="1368AC42" w14:textId="683E5158" w:rsidR="00056549" w:rsidRPr="00F755C1" w:rsidRDefault="00056549" w:rsidP="00F755C1">
      <w:pPr>
        <w:autoSpaceDE w:val="0"/>
        <w:autoSpaceDN w:val="0"/>
        <w:adjustRightInd w:val="0"/>
        <w:spacing w:after="0"/>
        <w:jc w:val="both"/>
        <w:rPr>
          <w:rFonts w:ascii="Museo 100" w:hAnsi="Museo 100"/>
        </w:rPr>
      </w:pPr>
      <w:r w:rsidRPr="00F755C1">
        <w:rPr>
          <w:rFonts w:ascii="Museo 100" w:hAnsi="Museo 100"/>
          <w:b/>
          <w:bCs/>
        </w:rPr>
        <w:t xml:space="preserve">POR TANTO: </w:t>
      </w:r>
      <w:r w:rsidRPr="00F755C1">
        <w:rPr>
          <w:rFonts w:ascii="Museo 100" w:hAnsi="Museo 100"/>
        </w:rPr>
        <w:t>Con base en las disposiciones legales citadas, los argumentos expuestos y conforme lo establecido en los Artículos 50 literal d), 65, 66, 69, 71</w:t>
      </w:r>
      <w:r w:rsidR="00920153" w:rsidRPr="00F755C1">
        <w:rPr>
          <w:rFonts w:ascii="Museo 100" w:hAnsi="Museo 100"/>
        </w:rPr>
        <w:t xml:space="preserve"> y</w:t>
      </w:r>
      <w:r w:rsidRPr="00F755C1">
        <w:rPr>
          <w:rFonts w:ascii="Museo 100" w:hAnsi="Museo 100"/>
        </w:rPr>
        <w:t xml:space="preserve"> 72 de la Ley de Acceso a la Información Pública, Art. 5 y 49 del Reglamento correspondiente, se </w:t>
      </w:r>
      <w:r w:rsidRPr="00F755C1">
        <w:rPr>
          <w:rFonts w:ascii="Museo 100" w:hAnsi="Museo 100"/>
          <w:b/>
          <w:bCs/>
        </w:rPr>
        <w:t>RESUELVE</w:t>
      </w:r>
      <w:r w:rsidRPr="00F755C1">
        <w:rPr>
          <w:rFonts w:ascii="Museo 100" w:hAnsi="Museo 100"/>
        </w:rPr>
        <w:t xml:space="preserve">: </w:t>
      </w:r>
    </w:p>
    <w:p w14:paraId="31A517A6" w14:textId="77777777" w:rsidR="00056549" w:rsidRPr="00F755C1" w:rsidRDefault="00056549" w:rsidP="00F755C1">
      <w:pPr>
        <w:autoSpaceDE w:val="0"/>
        <w:autoSpaceDN w:val="0"/>
        <w:adjustRightInd w:val="0"/>
        <w:spacing w:after="0"/>
        <w:jc w:val="both"/>
        <w:rPr>
          <w:rFonts w:ascii="Museo 100" w:hAnsi="Museo 100"/>
          <w:b/>
          <w:bCs/>
        </w:rPr>
      </w:pPr>
    </w:p>
    <w:p w14:paraId="359E6B3C" w14:textId="7C1E5AFD" w:rsidR="002E435C" w:rsidRPr="00F755C1" w:rsidRDefault="00920153" w:rsidP="00F755C1">
      <w:pPr>
        <w:autoSpaceDE w:val="0"/>
        <w:autoSpaceDN w:val="0"/>
        <w:adjustRightInd w:val="0"/>
        <w:spacing w:after="0"/>
        <w:rPr>
          <w:rFonts w:ascii="Museo 100" w:hAnsi="Museo 100"/>
        </w:rPr>
      </w:pPr>
      <w:r w:rsidRPr="00F755C1">
        <w:rPr>
          <w:rFonts w:ascii="Museo 100" w:hAnsi="Museo 100"/>
          <w:b/>
          <w:bCs/>
        </w:rPr>
        <w:t xml:space="preserve">ENTRÉGUESE </w:t>
      </w:r>
      <w:r w:rsidRPr="00F755C1">
        <w:rPr>
          <w:rFonts w:ascii="Museo 100" w:hAnsi="Museo 100"/>
        </w:rPr>
        <w:t>la información solicitada.</w:t>
      </w:r>
    </w:p>
    <w:p w14:paraId="62D763D9" w14:textId="77777777" w:rsidR="00920153" w:rsidRPr="00F755C1" w:rsidRDefault="00920153" w:rsidP="00F755C1">
      <w:pPr>
        <w:autoSpaceDE w:val="0"/>
        <w:autoSpaceDN w:val="0"/>
        <w:adjustRightInd w:val="0"/>
        <w:spacing w:after="0"/>
        <w:rPr>
          <w:rFonts w:ascii="Museo 100" w:hAnsi="Museo 100"/>
          <w:b/>
          <w:bCs/>
          <w:color w:val="000000"/>
        </w:rPr>
      </w:pPr>
    </w:p>
    <w:p w14:paraId="76E6C838" w14:textId="7BE36493" w:rsidR="00056549" w:rsidRPr="00F755C1" w:rsidRDefault="00056549" w:rsidP="00F755C1">
      <w:pPr>
        <w:autoSpaceDE w:val="0"/>
        <w:autoSpaceDN w:val="0"/>
        <w:adjustRightInd w:val="0"/>
        <w:spacing w:after="0"/>
        <w:rPr>
          <w:rFonts w:ascii="Museo 100" w:hAnsi="Museo 100"/>
          <w:color w:val="000000"/>
        </w:rPr>
      </w:pPr>
      <w:r w:rsidRPr="00F755C1">
        <w:rPr>
          <w:rFonts w:ascii="Museo 100" w:hAnsi="Museo 100"/>
          <w:b/>
          <w:bCs/>
          <w:color w:val="000000"/>
        </w:rPr>
        <w:t xml:space="preserve">NOTIFÍQUESE. </w:t>
      </w:r>
    </w:p>
    <w:p w14:paraId="43E8CF3A" w14:textId="6839C9AE" w:rsidR="00B65F41" w:rsidRPr="00F755C1" w:rsidRDefault="00B65F41" w:rsidP="00F755C1">
      <w:pPr>
        <w:spacing w:after="0"/>
        <w:ind w:left="720"/>
        <w:jc w:val="center"/>
        <w:rPr>
          <w:rFonts w:ascii="Museo 100" w:hAnsi="Museo 100"/>
          <w:noProof/>
        </w:rPr>
      </w:pPr>
    </w:p>
    <w:p w14:paraId="7F4E9DF2" w14:textId="73A9921C" w:rsidR="00D05DD0" w:rsidRPr="00F755C1" w:rsidRDefault="00D05DD0" w:rsidP="00F755C1">
      <w:pPr>
        <w:spacing w:after="0"/>
        <w:ind w:left="720"/>
        <w:jc w:val="center"/>
        <w:rPr>
          <w:rFonts w:ascii="Museo 100" w:hAnsi="Museo 100"/>
          <w:noProof/>
        </w:rPr>
      </w:pPr>
    </w:p>
    <w:p w14:paraId="2D9EC78E" w14:textId="77777777" w:rsidR="00D05DD0" w:rsidRPr="00F755C1" w:rsidRDefault="00D05DD0" w:rsidP="00F755C1">
      <w:pPr>
        <w:spacing w:after="0"/>
        <w:ind w:left="720"/>
        <w:jc w:val="center"/>
        <w:rPr>
          <w:rFonts w:ascii="Museo 100" w:hAnsi="Museo 100"/>
          <w:noProof/>
        </w:rPr>
      </w:pPr>
    </w:p>
    <w:p w14:paraId="09F5EF2C" w14:textId="77777777" w:rsidR="00D05DD0" w:rsidRPr="00F755C1" w:rsidRDefault="00D05DD0" w:rsidP="00F755C1">
      <w:pPr>
        <w:spacing w:after="0"/>
        <w:ind w:left="720"/>
        <w:jc w:val="center"/>
        <w:rPr>
          <w:rFonts w:ascii="Museo 100" w:hAnsi="Museo 100"/>
          <w:noProof/>
        </w:rPr>
      </w:pPr>
    </w:p>
    <w:p w14:paraId="1BC352FB" w14:textId="3F5A6588" w:rsidR="00D05DD0" w:rsidRPr="00F755C1" w:rsidRDefault="00D05DD0" w:rsidP="00F755C1">
      <w:pPr>
        <w:spacing w:after="0"/>
        <w:ind w:left="720"/>
        <w:jc w:val="center"/>
        <w:rPr>
          <w:rFonts w:ascii="Museo 100" w:hAnsi="Museo 100"/>
          <w:noProof/>
        </w:rPr>
      </w:pPr>
      <w:r w:rsidRPr="00F755C1">
        <w:rPr>
          <w:rFonts w:ascii="Museo 100" w:hAnsi="Museo 100"/>
          <w:noProof/>
        </w:rPr>
        <w:t>Laura Lisett Centeno Zavaleta</w:t>
      </w:r>
    </w:p>
    <w:p w14:paraId="0ECD88AF" w14:textId="24A5C7D7" w:rsidR="00D05DD0" w:rsidRPr="00F755C1" w:rsidRDefault="00D05DD0" w:rsidP="00F755C1">
      <w:pPr>
        <w:spacing w:after="0"/>
        <w:ind w:left="720"/>
        <w:jc w:val="center"/>
        <w:rPr>
          <w:rFonts w:ascii="Museo 100" w:hAnsi="Museo 100"/>
          <w:noProof/>
        </w:rPr>
      </w:pPr>
      <w:r w:rsidRPr="00F755C1">
        <w:rPr>
          <w:rFonts w:ascii="Museo 100" w:hAnsi="Museo 100"/>
          <w:noProof/>
        </w:rPr>
        <w:t>Oficial de Información</w:t>
      </w:r>
    </w:p>
    <w:p w14:paraId="06F03D7A" w14:textId="24D9F457" w:rsidR="00D05DD0" w:rsidRPr="00F755C1" w:rsidRDefault="00D05DD0" w:rsidP="00F755C1">
      <w:pPr>
        <w:spacing w:after="0"/>
        <w:ind w:left="720"/>
        <w:jc w:val="center"/>
        <w:rPr>
          <w:rFonts w:ascii="Museo 100" w:hAnsi="Museo 100"/>
          <w:noProof/>
        </w:rPr>
      </w:pPr>
      <w:r w:rsidRPr="00F755C1">
        <w:rPr>
          <w:rFonts w:ascii="Museo 100" w:hAnsi="Museo 100"/>
          <w:noProof/>
        </w:rPr>
        <w:t>CONNA</w:t>
      </w:r>
    </w:p>
    <w:sectPr w:rsidR="00D05DD0" w:rsidRPr="00F755C1" w:rsidSect="00317F46">
      <w:headerReference w:type="even" r:id="rId8"/>
      <w:headerReference w:type="default" r:id="rId9"/>
      <w:footerReference w:type="even" r:id="rId10"/>
      <w:footerReference w:type="default" r:id="rId11"/>
      <w:headerReference w:type="first" r:id="rId12"/>
      <w:footerReference w:type="first" r:id="rId13"/>
      <w:pgSz w:w="12240" w:h="15840" w:code="1"/>
      <w:pgMar w:top="2410" w:right="1418" w:bottom="1418" w:left="1418"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4ABEB" w14:textId="77777777" w:rsidR="00753DF4" w:rsidRDefault="00753DF4">
      <w:r>
        <w:separator/>
      </w:r>
    </w:p>
  </w:endnote>
  <w:endnote w:type="continuationSeparator" w:id="0">
    <w:p w14:paraId="7A797115" w14:textId="77777777" w:rsidR="00753DF4" w:rsidRDefault="0075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useo 10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0BE7" w14:textId="77777777" w:rsidR="0088508D" w:rsidRDefault="0088508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7DC0" w14:textId="77777777" w:rsidR="0088508D" w:rsidRDefault="0088508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2013E" w14:textId="77777777" w:rsidR="0088508D" w:rsidRDefault="008850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5D03" w14:textId="77777777" w:rsidR="00753DF4" w:rsidRDefault="00753DF4">
      <w:r>
        <w:separator/>
      </w:r>
    </w:p>
  </w:footnote>
  <w:footnote w:type="continuationSeparator" w:id="0">
    <w:p w14:paraId="6E0C5A79" w14:textId="77777777" w:rsidR="00753DF4" w:rsidRDefault="0075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EE9A" w14:textId="77777777" w:rsidR="0088508D" w:rsidRDefault="0088508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9571" w14:textId="1FFC9C50" w:rsidR="00716D05" w:rsidRDefault="0088508D">
    <w:pPr>
      <w:rPr>
        <w:rFonts w:eastAsia="Arial Unicode MS"/>
        <w:sz w:val="20"/>
        <w:szCs w:val="20"/>
      </w:rPr>
    </w:pPr>
    <w:r w:rsidRPr="0088508D">
      <w:drawing>
        <wp:inline distT="0" distB="0" distL="0" distR="0" wp14:anchorId="11B88986" wp14:editId="374A0423">
          <wp:extent cx="5610225" cy="542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542925"/>
                  </a:xfrm>
                  <a:prstGeom prst="rect">
                    <a:avLst/>
                  </a:prstGeom>
                  <a:noFill/>
                  <a:ln>
                    <a:noFill/>
                  </a:ln>
                </pic:spPr>
              </pic:pic>
            </a:graphicData>
          </a:graphic>
        </wp:inline>
      </w:drawing>
    </w:r>
    <w:r w:rsidR="00EB4E24">
      <w:rPr>
        <w:rFonts w:eastAsia="Arial Unicode MS"/>
        <w:noProof/>
        <w:sz w:val="20"/>
        <w:szCs w:val="20"/>
        <w:lang w:eastAsia="es-SV"/>
      </w:rPr>
      <w:drawing>
        <wp:anchor distT="0" distB="0" distL="114300" distR="114300" simplePos="0" relativeHeight="251660288" behindDoc="1" locked="0" layoutInCell="1" allowOverlap="1" wp14:anchorId="74F60049" wp14:editId="1C75E1AA">
          <wp:simplePos x="0" y="0"/>
          <wp:positionH relativeFrom="page">
            <wp:align>right</wp:align>
          </wp:positionH>
          <wp:positionV relativeFrom="paragraph">
            <wp:posOffset>-457200</wp:posOffset>
          </wp:positionV>
          <wp:extent cx="7781925" cy="100682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NA editable LOGO USO-09-09.png"/>
                  <pic:cNvPicPr/>
                </pic:nvPicPr>
                <pic:blipFill>
                  <a:blip r:embed="rId2">
                    <a:extLst>
                      <a:ext uri="{28A0092B-C50C-407E-A947-70E740481C1C}">
                        <a14:useLocalDpi xmlns:a14="http://schemas.microsoft.com/office/drawing/2010/main" val="0"/>
                      </a:ext>
                    </a:extLst>
                  </a:blip>
                  <a:stretch>
                    <a:fillRect/>
                  </a:stretch>
                </pic:blipFill>
                <pic:spPr>
                  <a:xfrm>
                    <a:off x="0" y="0"/>
                    <a:ext cx="7781925" cy="100682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C448" w14:textId="77777777" w:rsidR="0088508D" w:rsidRDefault="008850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upperLetter"/>
      <w:suff w:val="space"/>
      <w:lvlText w:val="%1)"/>
      <w:lvlJc w:val="left"/>
    </w:lvl>
  </w:abstractNum>
  <w:abstractNum w:abstractNumId="1" w15:restartNumberingAfterBreak="0">
    <w:nsid w:val="07447BCD"/>
    <w:multiLevelType w:val="hybridMultilevel"/>
    <w:tmpl w:val="2CECCA82"/>
    <w:lvl w:ilvl="0" w:tplc="A2AE625E">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97B629D"/>
    <w:multiLevelType w:val="hybridMultilevel"/>
    <w:tmpl w:val="145C4C20"/>
    <w:lvl w:ilvl="0" w:tplc="B4A4AD9E">
      <w:numFmt w:val="bullet"/>
      <w:lvlText w:val=""/>
      <w:lvlJc w:val="left"/>
      <w:pPr>
        <w:ind w:left="720" w:hanging="360"/>
      </w:pPr>
      <w:rPr>
        <w:rFonts w:ascii="Symbol" w:eastAsia="Arial"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32D4AED"/>
    <w:multiLevelType w:val="hybridMultilevel"/>
    <w:tmpl w:val="6AC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A5382"/>
    <w:multiLevelType w:val="hybridMultilevel"/>
    <w:tmpl w:val="94EA7EC0"/>
    <w:lvl w:ilvl="0" w:tplc="40508E24">
      <w:start w:val="1"/>
      <w:numFmt w:val="decimal"/>
      <w:lvlText w:val="%1."/>
      <w:lvlJc w:val="left"/>
      <w:pPr>
        <w:ind w:left="720" w:hanging="360"/>
      </w:pPr>
      <w:rPr>
        <w:rFonts w:asciiTheme="minorHAnsi" w:eastAsia="Arial" w:hAnsiTheme="minorHAnsi" w:cstheme="minorHAnsi"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D3F165F"/>
    <w:multiLevelType w:val="hybridMultilevel"/>
    <w:tmpl w:val="C8E6B96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A6262E"/>
    <w:multiLevelType w:val="hybridMultilevel"/>
    <w:tmpl w:val="5B543306"/>
    <w:lvl w:ilvl="0" w:tplc="B5B8DB0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4E5E80"/>
    <w:multiLevelType w:val="hybridMultilevel"/>
    <w:tmpl w:val="3828D0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96474D9"/>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A1C5408"/>
    <w:multiLevelType w:val="hybridMultilevel"/>
    <w:tmpl w:val="173232FC"/>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37F3E70"/>
    <w:multiLevelType w:val="hybridMultilevel"/>
    <w:tmpl w:val="FE6C0DB8"/>
    <w:lvl w:ilvl="0" w:tplc="CFE03F9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DF52EBE"/>
    <w:multiLevelType w:val="hybridMultilevel"/>
    <w:tmpl w:val="776628E8"/>
    <w:lvl w:ilvl="0" w:tplc="CE4A7FD2">
      <w:start w:val="1"/>
      <w:numFmt w:val="decimal"/>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9"/>
  </w:num>
  <w:num w:numId="3">
    <w:abstractNumId w:val="11"/>
  </w:num>
  <w:num w:numId="4">
    <w:abstractNumId w:val="6"/>
  </w:num>
  <w:num w:numId="5">
    <w:abstractNumId w:val="7"/>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3"/>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C8"/>
    <w:rsid w:val="000511C4"/>
    <w:rsid w:val="00056549"/>
    <w:rsid w:val="000A7955"/>
    <w:rsid w:val="000B253E"/>
    <w:rsid w:val="000B4935"/>
    <w:rsid w:val="000B7E41"/>
    <w:rsid w:val="000C0970"/>
    <w:rsid w:val="000C77F1"/>
    <w:rsid w:val="000D5DA3"/>
    <w:rsid w:val="000D6B90"/>
    <w:rsid w:val="000E58E4"/>
    <w:rsid w:val="0012192D"/>
    <w:rsid w:val="001333D2"/>
    <w:rsid w:val="00151926"/>
    <w:rsid w:val="00156166"/>
    <w:rsid w:val="00165628"/>
    <w:rsid w:val="00176F48"/>
    <w:rsid w:val="001A55EF"/>
    <w:rsid w:val="001A5B6B"/>
    <w:rsid w:val="001C2D3B"/>
    <w:rsid w:val="001D6FB8"/>
    <w:rsid w:val="00200702"/>
    <w:rsid w:val="00215764"/>
    <w:rsid w:val="002270AB"/>
    <w:rsid w:val="00244F49"/>
    <w:rsid w:val="0025672B"/>
    <w:rsid w:val="002657E6"/>
    <w:rsid w:val="00273B2A"/>
    <w:rsid w:val="002850C0"/>
    <w:rsid w:val="00290B15"/>
    <w:rsid w:val="002B2EB5"/>
    <w:rsid w:val="002B38A7"/>
    <w:rsid w:val="002C2A90"/>
    <w:rsid w:val="002E435C"/>
    <w:rsid w:val="002F3255"/>
    <w:rsid w:val="00303A9D"/>
    <w:rsid w:val="00317F46"/>
    <w:rsid w:val="00323EB4"/>
    <w:rsid w:val="003273F8"/>
    <w:rsid w:val="00347AD6"/>
    <w:rsid w:val="003626F8"/>
    <w:rsid w:val="00362E73"/>
    <w:rsid w:val="00365586"/>
    <w:rsid w:val="00367A0F"/>
    <w:rsid w:val="00376993"/>
    <w:rsid w:val="003A5F38"/>
    <w:rsid w:val="003C733E"/>
    <w:rsid w:val="003F1A13"/>
    <w:rsid w:val="004067F4"/>
    <w:rsid w:val="00413947"/>
    <w:rsid w:val="00415279"/>
    <w:rsid w:val="00415565"/>
    <w:rsid w:val="0043518C"/>
    <w:rsid w:val="0045394B"/>
    <w:rsid w:val="004632EB"/>
    <w:rsid w:val="00471E88"/>
    <w:rsid w:val="004724AF"/>
    <w:rsid w:val="004A069A"/>
    <w:rsid w:val="004A60CD"/>
    <w:rsid w:val="004A69FC"/>
    <w:rsid w:val="004E63DC"/>
    <w:rsid w:val="004E6792"/>
    <w:rsid w:val="0050486E"/>
    <w:rsid w:val="005148F4"/>
    <w:rsid w:val="005571B2"/>
    <w:rsid w:val="005656AD"/>
    <w:rsid w:val="00573FAA"/>
    <w:rsid w:val="0058662A"/>
    <w:rsid w:val="00597737"/>
    <w:rsid w:val="005A6B87"/>
    <w:rsid w:val="005A78DE"/>
    <w:rsid w:val="005C661B"/>
    <w:rsid w:val="00621ED5"/>
    <w:rsid w:val="00652AEC"/>
    <w:rsid w:val="00656C05"/>
    <w:rsid w:val="00673C65"/>
    <w:rsid w:val="00693851"/>
    <w:rsid w:val="006B4A7F"/>
    <w:rsid w:val="006E6747"/>
    <w:rsid w:val="006F7663"/>
    <w:rsid w:val="007059A5"/>
    <w:rsid w:val="0071222B"/>
    <w:rsid w:val="007131E7"/>
    <w:rsid w:val="00716D05"/>
    <w:rsid w:val="00753DF4"/>
    <w:rsid w:val="0079359E"/>
    <w:rsid w:val="007A0017"/>
    <w:rsid w:val="007C17D3"/>
    <w:rsid w:val="007C6C33"/>
    <w:rsid w:val="007E730B"/>
    <w:rsid w:val="007F7F5F"/>
    <w:rsid w:val="00802A4C"/>
    <w:rsid w:val="00806F6A"/>
    <w:rsid w:val="008252A7"/>
    <w:rsid w:val="00835F06"/>
    <w:rsid w:val="00836BE6"/>
    <w:rsid w:val="008632A9"/>
    <w:rsid w:val="008722EC"/>
    <w:rsid w:val="0088508D"/>
    <w:rsid w:val="008A2FFF"/>
    <w:rsid w:val="008A3F5F"/>
    <w:rsid w:val="008A7E5A"/>
    <w:rsid w:val="008D1573"/>
    <w:rsid w:val="008F10D5"/>
    <w:rsid w:val="00920153"/>
    <w:rsid w:val="00922E47"/>
    <w:rsid w:val="00947838"/>
    <w:rsid w:val="00987988"/>
    <w:rsid w:val="009C15BE"/>
    <w:rsid w:val="009D08D9"/>
    <w:rsid w:val="009D5A30"/>
    <w:rsid w:val="00A25999"/>
    <w:rsid w:val="00A2652C"/>
    <w:rsid w:val="00A33BB0"/>
    <w:rsid w:val="00A40B07"/>
    <w:rsid w:val="00A62041"/>
    <w:rsid w:val="00AB556E"/>
    <w:rsid w:val="00AB6104"/>
    <w:rsid w:val="00B060C7"/>
    <w:rsid w:val="00B16512"/>
    <w:rsid w:val="00B333B1"/>
    <w:rsid w:val="00B370D6"/>
    <w:rsid w:val="00B65F41"/>
    <w:rsid w:val="00B7474C"/>
    <w:rsid w:val="00B9639B"/>
    <w:rsid w:val="00BA1D52"/>
    <w:rsid w:val="00BA7C9C"/>
    <w:rsid w:val="00BB26CF"/>
    <w:rsid w:val="00BD0BD3"/>
    <w:rsid w:val="00C0370C"/>
    <w:rsid w:val="00C36B44"/>
    <w:rsid w:val="00C709C6"/>
    <w:rsid w:val="00C969E2"/>
    <w:rsid w:val="00CC6BAC"/>
    <w:rsid w:val="00D05DD0"/>
    <w:rsid w:val="00D17886"/>
    <w:rsid w:val="00D35F62"/>
    <w:rsid w:val="00D37AB2"/>
    <w:rsid w:val="00D4044F"/>
    <w:rsid w:val="00D45966"/>
    <w:rsid w:val="00D464C1"/>
    <w:rsid w:val="00D6496F"/>
    <w:rsid w:val="00D71A8B"/>
    <w:rsid w:val="00D846EB"/>
    <w:rsid w:val="00D96128"/>
    <w:rsid w:val="00DA541C"/>
    <w:rsid w:val="00DB0847"/>
    <w:rsid w:val="00DC3CB2"/>
    <w:rsid w:val="00DC42AB"/>
    <w:rsid w:val="00DE09AB"/>
    <w:rsid w:val="00E04744"/>
    <w:rsid w:val="00E1045F"/>
    <w:rsid w:val="00E11352"/>
    <w:rsid w:val="00E37995"/>
    <w:rsid w:val="00E61D2E"/>
    <w:rsid w:val="00E748E6"/>
    <w:rsid w:val="00E74F41"/>
    <w:rsid w:val="00E80816"/>
    <w:rsid w:val="00E867EB"/>
    <w:rsid w:val="00E87564"/>
    <w:rsid w:val="00EA3069"/>
    <w:rsid w:val="00EB2FC8"/>
    <w:rsid w:val="00EB4E24"/>
    <w:rsid w:val="00EE78A6"/>
    <w:rsid w:val="00F04504"/>
    <w:rsid w:val="00F06ADE"/>
    <w:rsid w:val="00F250B4"/>
    <w:rsid w:val="00F37088"/>
    <w:rsid w:val="00F57DF4"/>
    <w:rsid w:val="00F674AD"/>
    <w:rsid w:val="00F753EC"/>
    <w:rsid w:val="00F755C1"/>
    <w:rsid w:val="00FB3385"/>
    <w:rsid w:val="00FC01C5"/>
    <w:rsid w:val="00FC0B91"/>
    <w:rsid w:val="00FC4BC3"/>
    <w:rsid w:val="00FE125D"/>
    <w:rsid w:val="00FF62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black">
      <v:fill color="black"/>
      <v:stroke weight="2pt" miterlimit="4"/>
      <v:textbox style="mso-column-margin:3pt;mso-fit-shape-to-text:t" inset="4pt,4pt,4pt,4pt"/>
    </o:shapedefaults>
    <o:shapelayout v:ext="edit">
      <o:idmap v:ext="edit" data="2"/>
    </o:shapelayout>
  </w:shapeDefaults>
  <w:doNotEmbedSmartTags/>
  <w:decimalSymbol w:val="."/>
  <w:listSeparator w:val=";"/>
  <w14:docId w14:val="62EABED8"/>
  <w15:chartTrackingRefBased/>
  <w15:docId w15:val="{40F1AE7F-2C75-4AA9-B033-39825533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0B"/>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spacing w:after="0" w:line="240" w:lineRule="auto"/>
    </w:pPr>
    <w:rPr>
      <w:rFonts w:ascii="Times New Roman" w:eastAsia="Times New Roman" w:hAnsi="Times New Roman" w:cs="Times New Roman"/>
      <w:sz w:val="24"/>
      <w:szCs w:val="24"/>
      <w:lang w:val="en-US"/>
    </w:r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pPr>
      <w:spacing w:after="0" w:line="240" w:lineRule="auto"/>
    </w:pPr>
    <w:rPr>
      <w:rFonts w:ascii="Times New Roman" w:eastAsia="Times New Roman" w:hAnsi="Times New Roman" w:cs="Times New Roman"/>
      <w:sz w:val="18"/>
      <w:szCs w:val="18"/>
      <w:lang w:val="en-US"/>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link w:val="PrrafodelistaCar"/>
    <w:uiPriority w:val="1"/>
    <w:qFormat/>
    <w:rsid w:val="00415279"/>
    <w:pPr>
      <w:ind w:left="720"/>
      <w:contextualSpacing/>
    </w:pPr>
  </w:style>
  <w:style w:type="table" w:styleId="Tabladecuadrcula3">
    <w:name w:val="Grid Table 3"/>
    <w:basedOn w:val="Tablanormal"/>
    <w:uiPriority w:val="48"/>
    <w:rsid w:val="001C2D3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rrafodelistaCar">
    <w:name w:val="Párrafo de lista Car"/>
    <w:basedOn w:val="Fuentedeprrafopredeter"/>
    <w:link w:val="Prrafodelista"/>
    <w:uiPriority w:val="1"/>
    <w:locked/>
    <w:rsid w:val="00B65F41"/>
    <w:rPr>
      <w:rFonts w:asciiTheme="minorHAnsi" w:eastAsiaTheme="minorHAnsi" w:hAnsiTheme="minorHAnsi" w:cstheme="minorBidi"/>
      <w:sz w:val="22"/>
      <w:szCs w:val="22"/>
      <w:lang w:eastAsia="en-US"/>
    </w:rPr>
  </w:style>
  <w:style w:type="table" w:styleId="Tablaconcuadrcula">
    <w:name w:val="Table Grid"/>
    <w:basedOn w:val="Tablanormal"/>
    <w:uiPriority w:val="39"/>
    <w:locked/>
    <w:rsid w:val="00056549"/>
    <w:rPr>
      <w:rFonts w:ascii="Arial" w:eastAsia="Arial" w:hAnsi="Arial" w:cs="Arial"/>
      <w:lang w:val="en-US"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2653">
      <w:bodyDiv w:val="1"/>
      <w:marLeft w:val="0"/>
      <w:marRight w:val="0"/>
      <w:marTop w:val="0"/>
      <w:marBottom w:val="0"/>
      <w:divBdr>
        <w:top w:val="none" w:sz="0" w:space="0" w:color="auto"/>
        <w:left w:val="none" w:sz="0" w:space="0" w:color="auto"/>
        <w:bottom w:val="none" w:sz="0" w:space="0" w:color="auto"/>
        <w:right w:val="none" w:sz="0" w:space="0" w:color="auto"/>
      </w:divBdr>
    </w:div>
    <w:div w:id="631448101">
      <w:bodyDiv w:val="1"/>
      <w:marLeft w:val="0"/>
      <w:marRight w:val="0"/>
      <w:marTop w:val="0"/>
      <w:marBottom w:val="0"/>
      <w:divBdr>
        <w:top w:val="none" w:sz="0" w:space="0" w:color="auto"/>
        <w:left w:val="none" w:sz="0" w:space="0" w:color="auto"/>
        <w:bottom w:val="none" w:sz="0" w:space="0" w:color="auto"/>
        <w:right w:val="none" w:sz="0" w:space="0" w:color="auto"/>
      </w:divBdr>
    </w:div>
    <w:div w:id="694234675">
      <w:bodyDiv w:val="1"/>
      <w:marLeft w:val="0"/>
      <w:marRight w:val="0"/>
      <w:marTop w:val="0"/>
      <w:marBottom w:val="0"/>
      <w:divBdr>
        <w:top w:val="none" w:sz="0" w:space="0" w:color="auto"/>
        <w:left w:val="none" w:sz="0" w:space="0" w:color="auto"/>
        <w:bottom w:val="none" w:sz="0" w:space="0" w:color="auto"/>
        <w:right w:val="none" w:sz="0" w:space="0" w:color="auto"/>
      </w:divBdr>
    </w:div>
    <w:div w:id="1153907724">
      <w:bodyDiv w:val="1"/>
      <w:marLeft w:val="0"/>
      <w:marRight w:val="0"/>
      <w:marTop w:val="0"/>
      <w:marBottom w:val="0"/>
      <w:divBdr>
        <w:top w:val="none" w:sz="0" w:space="0" w:color="auto"/>
        <w:left w:val="none" w:sz="0" w:space="0" w:color="auto"/>
        <w:bottom w:val="none" w:sz="0" w:space="0" w:color="auto"/>
        <w:right w:val="none" w:sz="0" w:space="0" w:color="auto"/>
      </w:divBdr>
    </w:div>
    <w:div w:id="1639647227">
      <w:bodyDiv w:val="1"/>
      <w:marLeft w:val="0"/>
      <w:marRight w:val="0"/>
      <w:marTop w:val="0"/>
      <w:marBottom w:val="0"/>
      <w:divBdr>
        <w:top w:val="none" w:sz="0" w:space="0" w:color="auto"/>
        <w:left w:val="none" w:sz="0" w:space="0" w:color="auto"/>
        <w:bottom w:val="none" w:sz="0" w:space="0" w:color="auto"/>
        <w:right w:val="none" w:sz="0" w:space="0" w:color="auto"/>
      </w:divBdr>
    </w:div>
    <w:div w:id="179610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granados\AppData\Local\Microsoft\Windows\INetCache\Content.Outlook\E9I0J9HJ\FORMATO%20DE%20MEMORANDUM%202020%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FBBF-C778-477F-92A0-CA932CE2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DE MEMORANDUM 2020 (1)</Template>
  <TotalTime>2</TotalTime>
  <Pages>4</Pages>
  <Words>1548</Words>
  <Characters>8515</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Hilda Granados Martinez</dc:creator>
  <cp:keywords/>
  <cp:lastModifiedBy>Laura Lisett Centeno Zavaleta</cp:lastModifiedBy>
  <cp:revision>5</cp:revision>
  <cp:lastPrinted>2021-09-08T14:11:00Z</cp:lastPrinted>
  <dcterms:created xsi:type="dcterms:W3CDTF">2021-11-18T20:54:00Z</dcterms:created>
  <dcterms:modified xsi:type="dcterms:W3CDTF">2021-11-18T21:48:00Z</dcterms:modified>
</cp:coreProperties>
</file>