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477E95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2B231DB4" w:rsidR="007D14EF" w:rsidRPr="00C12C0A" w:rsidRDefault="00816764" w:rsidP="006C1CF2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</w:t>
            </w:r>
            <w:r w:rsidR="006C1CF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015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632C6D57" w:rsidR="005A57A7" w:rsidRPr="0056103E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56103E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6C1CF2" w:rsidRPr="0056103E">
        <w:rPr>
          <w:rFonts w:eastAsiaTheme="minorHAnsi"/>
          <w:sz w:val="22"/>
          <w:szCs w:val="22"/>
          <w:lang w:val="es-SV" w:eastAsia="en-US"/>
        </w:rPr>
        <w:t xml:space="preserve">ocho </w:t>
      </w:r>
      <w:r w:rsidRPr="0056103E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6C1CF2" w:rsidRPr="0056103E">
        <w:rPr>
          <w:rFonts w:eastAsiaTheme="minorHAnsi"/>
          <w:sz w:val="22"/>
          <w:szCs w:val="22"/>
          <w:lang w:val="es-SV" w:eastAsia="en-US"/>
        </w:rPr>
        <w:t xml:space="preserve">quince minutos </w:t>
      </w:r>
      <w:r w:rsidRPr="0056103E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6C1CF2" w:rsidRPr="0056103E">
        <w:rPr>
          <w:rFonts w:eastAsiaTheme="minorHAnsi"/>
          <w:sz w:val="22"/>
          <w:szCs w:val="22"/>
          <w:lang w:val="es-SV" w:eastAsia="en-US"/>
        </w:rPr>
        <w:t xml:space="preserve">trece </w:t>
      </w:r>
      <w:r w:rsidR="00076C38" w:rsidRPr="0056103E">
        <w:rPr>
          <w:rFonts w:eastAsiaTheme="minorHAnsi"/>
          <w:sz w:val="22"/>
          <w:szCs w:val="22"/>
          <w:lang w:val="es-SV" w:eastAsia="en-US"/>
        </w:rPr>
        <w:t xml:space="preserve">de </w:t>
      </w:r>
      <w:r w:rsidR="006C1CF2" w:rsidRPr="0056103E">
        <w:rPr>
          <w:rFonts w:eastAsiaTheme="minorHAnsi"/>
          <w:sz w:val="22"/>
          <w:szCs w:val="22"/>
          <w:lang w:val="es-SV" w:eastAsia="en-US"/>
        </w:rPr>
        <w:t xml:space="preserve">mayo </w:t>
      </w:r>
      <w:r w:rsidR="00076C38" w:rsidRPr="0056103E">
        <w:rPr>
          <w:rFonts w:eastAsiaTheme="minorHAnsi"/>
          <w:sz w:val="22"/>
          <w:szCs w:val="22"/>
          <w:lang w:val="es-SV" w:eastAsia="en-US"/>
        </w:rPr>
        <w:t>de dos mil veintiuno</w:t>
      </w:r>
      <w:r w:rsidRPr="0056103E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56103E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E02F33F" w14:textId="4344D1A5" w:rsidR="0056103E" w:rsidRPr="0056103E" w:rsidRDefault="00714FFA" w:rsidP="0056103E">
      <w:pPr>
        <w:jc w:val="both"/>
        <w:rPr>
          <w:sz w:val="22"/>
          <w:szCs w:val="22"/>
          <w:lang w:val="es-SV"/>
        </w:rPr>
      </w:pPr>
      <w:r w:rsidRPr="0056103E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56103E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6C1CF2" w:rsidRPr="0056103E">
        <w:rPr>
          <w:rFonts w:eastAsia="Times New Roman"/>
          <w:color w:val="000000"/>
          <w:sz w:val="22"/>
          <w:szCs w:val="22"/>
          <w:lang w:val="es-SV"/>
        </w:rPr>
        <w:t>tres de mayo del presente año,</w:t>
      </w:r>
      <w:r w:rsidRPr="0056103E">
        <w:rPr>
          <w:rFonts w:eastAsia="Times New Roman"/>
          <w:color w:val="000000"/>
          <w:sz w:val="22"/>
          <w:szCs w:val="22"/>
          <w:lang w:val="es-SV"/>
        </w:rPr>
        <w:t xml:space="preserve"> a acceso a la información</w:t>
      </w:r>
      <w:r w:rsidR="0056103E" w:rsidRPr="0056103E">
        <w:rPr>
          <w:rFonts w:eastAsia="Times New Roman"/>
          <w:color w:val="000000"/>
          <w:sz w:val="22"/>
          <w:szCs w:val="22"/>
          <w:lang w:val="es-SV"/>
        </w:rPr>
        <w:t xml:space="preserve"> de forma presencial</w:t>
      </w:r>
      <w:r w:rsidR="0056103E" w:rsidRPr="0056103E">
        <w:rPr>
          <w:sz w:val="22"/>
          <w:szCs w:val="22"/>
          <w:lang w:val="es-SV"/>
        </w:rPr>
        <w:t xml:space="preserve">; en la que pide se le conceda la siguiente información: </w:t>
      </w:r>
    </w:p>
    <w:p w14:paraId="0F569752" w14:textId="6B30F712" w:rsidR="0056103E" w:rsidRPr="0056103E" w:rsidRDefault="0056103E" w:rsidP="0056103E">
      <w:pPr>
        <w:jc w:val="both"/>
        <w:rPr>
          <w:b/>
          <w:sz w:val="22"/>
          <w:szCs w:val="22"/>
          <w:lang w:val="es-SV"/>
        </w:rPr>
      </w:pPr>
      <w:r w:rsidRPr="0056103E">
        <w:rPr>
          <w:b/>
          <w:sz w:val="22"/>
          <w:szCs w:val="22"/>
          <w:lang w:val="es-SV"/>
        </w:rPr>
        <w:t>“””DATOS ESTADISTICOS SOBRE ALI</w:t>
      </w:r>
      <w:r w:rsidR="00985062">
        <w:rPr>
          <w:b/>
          <w:sz w:val="22"/>
          <w:szCs w:val="22"/>
          <w:lang w:val="es-SV"/>
        </w:rPr>
        <w:t>E</w:t>
      </w:r>
      <w:r w:rsidRPr="0056103E">
        <w:rPr>
          <w:b/>
          <w:sz w:val="22"/>
          <w:szCs w:val="22"/>
          <w:lang w:val="es-SV"/>
        </w:rPr>
        <w:t>NACION PARENTAL o SINDROME DE ALI</w:t>
      </w:r>
      <w:r w:rsidR="00985062">
        <w:rPr>
          <w:b/>
          <w:sz w:val="22"/>
          <w:szCs w:val="22"/>
          <w:lang w:val="es-SV"/>
        </w:rPr>
        <w:t>E</w:t>
      </w:r>
      <w:r w:rsidRPr="0056103E">
        <w:rPr>
          <w:b/>
          <w:sz w:val="22"/>
          <w:szCs w:val="22"/>
          <w:lang w:val="es-SV"/>
        </w:rPr>
        <w:t>NACIÓN PARENTAL EN NIÑEZ Y ADOLESCENCIA DURANTE LOS AÑO 2018 A 2021.”””</w:t>
      </w:r>
    </w:p>
    <w:p w14:paraId="7DE14911" w14:textId="77777777" w:rsidR="005A57A7" w:rsidRPr="0056103E" w:rsidRDefault="005A57A7" w:rsidP="00477E9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56103E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477E9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477E9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477E95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3A718DD2" w14:textId="77777777" w:rsidR="00A16FA7" w:rsidRDefault="00B57C39" w:rsidP="00A16FA7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C12C0A">
        <w:rPr>
          <w:color w:val="000000"/>
          <w:sz w:val="22"/>
          <w:szCs w:val="22"/>
          <w:lang w:val="es-SV" w:eastAsia="en-US"/>
        </w:rPr>
        <w:t>requerido</w:t>
      </w:r>
      <w:r w:rsidR="00C51D05" w:rsidRPr="00C12C0A">
        <w:rPr>
          <w:color w:val="000000"/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en fecha </w:t>
      </w:r>
      <w:r w:rsidR="00F231DB">
        <w:rPr>
          <w:sz w:val="22"/>
          <w:szCs w:val="22"/>
          <w:lang w:val="es-SV"/>
        </w:rPr>
        <w:t xml:space="preserve">tres </w:t>
      </w:r>
      <w:r w:rsidR="00CB6C3E">
        <w:rPr>
          <w:sz w:val="22"/>
          <w:szCs w:val="22"/>
          <w:lang w:val="es-SV"/>
        </w:rPr>
        <w:t>de los corrientes</w:t>
      </w:r>
      <w:r w:rsidR="004E4403" w:rsidRPr="00C12C0A">
        <w:rPr>
          <w:sz w:val="22"/>
          <w:szCs w:val="22"/>
          <w:lang w:val="es-SV"/>
        </w:rPr>
        <w:t>, se solicitó a</w:t>
      </w:r>
      <w:r w:rsidR="00A16FA7">
        <w:rPr>
          <w:sz w:val="22"/>
          <w:szCs w:val="22"/>
          <w:lang w:val="es-SV"/>
        </w:rPr>
        <w:t xml:space="preserve"> Subdirección de Defensa de Derechos Individuales y a la </w:t>
      </w:r>
      <w:r w:rsidR="00A16FA7" w:rsidRPr="009F6829">
        <w:rPr>
          <w:sz w:val="22"/>
          <w:szCs w:val="22"/>
          <w:lang w:val="es-SV"/>
        </w:rPr>
        <w:t>Sección de Desarrollo de Software</w:t>
      </w:r>
      <w:r w:rsidR="00A16FA7">
        <w:rPr>
          <w:sz w:val="22"/>
          <w:szCs w:val="22"/>
          <w:lang w:val="es-SV"/>
        </w:rPr>
        <w:t xml:space="preserve">, para que recopilara la información, verificara su clasificación y comunicara la forma en que se encuentra disponible la misma. </w:t>
      </w:r>
    </w:p>
    <w:p w14:paraId="69195604" w14:textId="1F3E7740" w:rsidR="00CB6C3E" w:rsidRDefault="00CB6C3E" w:rsidP="00477E9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2F21B952" w14:textId="77777777" w:rsidR="00EC27BF" w:rsidRDefault="00A16FA7" w:rsidP="00477E95">
      <w:pPr>
        <w:spacing w:after="0" w:line="24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El día </w:t>
      </w:r>
      <w:r w:rsidR="00BC5B94">
        <w:rPr>
          <w:sz w:val="22"/>
          <w:szCs w:val="22"/>
          <w:lang w:val="es-SV"/>
        </w:rPr>
        <w:t>seis del presente mes y año, se recibió correo electrónico de parte de la Sección de Desarrollo de Software, en el que informa “”que no es posible generar la información requerida”””</w:t>
      </w:r>
      <w:r w:rsidR="00EC27BF">
        <w:rPr>
          <w:sz w:val="22"/>
          <w:szCs w:val="22"/>
          <w:lang w:val="es-SV"/>
        </w:rPr>
        <w:t xml:space="preserve">. De parte de la Subdirección de Defensa de Derechos Individuales el día doce del presente mes </w:t>
      </w:r>
      <w:r w:rsidR="00EC27BF">
        <w:rPr>
          <w:sz w:val="22"/>
          <w:szCs w:val="22"/>
          <w:lang w:val="es-SV"/>
        </w:rPr>
        <w:lastRenderedPageBreak/>
        <w:t xml:space="preserve">y año, se recibo Memorando número SDDI/301/2021, de fecha 12 de mayo de 2021, por medio del cual informa lo siguiente: </w:t>
      </w:r>
    </w:p>
    <w:p w14:paraId="368761BB" w14:textId="6BD5ACDD" w:rsidR="00A16FA7" w:rsidRPr="00EC27BF" w:rsidRDefault="00EC27BF" w:rsidP="00EC27BF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sz w:val="22"/>
          <w:szCs w:val="22"/>
          <w:lang w:val="es-SV"/>
        </w:rPr>
      </w:pPr>
      <w:r w:rsidRPr="00EC27BF">
        <w:rPr>
          <w:sz w:val="22"/>
          <w:szCs w:val="22"/>
          <w:lang w:val="es-SV"/>
        </w:rPr>
        <w:t xml:space="preserve">Que el consejo cuenta con sistema de Ingreso de Denuncias (SID) en donde se recoge la información referente a todos los casos de avisos y/o denuncias que son puestos en conocimientos de las Juntas de Protección; </w:t>
      </w:r>
    </w:p>
    <w:p w14:paraId="19C4C9FA" w14:textId="5FBEA85D" w:rsidR="00EC27BF" w:rsidRDefault="00EC27BF" w:rsidP="0098506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Por medio del SID se registra la presunta amenaza y/o vulneración a los derechos de niñas, niños y adolescentes, para lo cual se consigna el derecho vulnerado, considerando el catálogo de derechos existente en la Ley de Protección Integral de la Niñez y Adolescencia (LEPINA), en el cual la </w:t>
      </w:r>
      <w:r w:rsidR="00985062" w:rsidRPr="00985062">
        <w:rPr>
          <w:b/>
          <w:i/>
          <w:sz w:val="22"/>
          <w:szCs w:val="22"/>
          <w:lang w:val="es-SV"/>
        </w:rPr>
        <w:t>Alienación parental</w:t>
      </w:r>
      <w:r w:rsidRPr="00985062">
        <w:rPr>
          <w:b/>
          <w:i/>
          <w:sz w:val="22"/>
          <w:szCs w:val="22"/>
          <w:lang w:val="es-SV"/>
        </w:rPr>
        <w:t xml:space="preserve"> o Síndrome de </w:t>
      </w:r>
      <w:r w:rsidR="00985062" w:rsidRPr="00985062">
        <w:rPr>
          <w:b/>
          <w:i/>
          <w:sz w:val="22"/>
          <w:szCs w:val="22"/>
          <w:lang w:val="es-SV"/>
        </w:rPr>
        <w:t>Alienación</w:t>
      </w:r>
      <w:r w:rsidRPr="00985062">
        <w:rPr>
          <w:b/>
          <w:i/>
          <w:sz w:val="22"/>
          <w:szCs w:val="22"/>
          <w:lang w:val="es-SV"/>
        </w:rPr>
        <w:t xml:space="preserve"> Parental</w:t>
      </w:r>
      <w:r>
        <w:rPr>
          <w:sz w:val="22"/>
          <w:szCs w:val="22"/>
          <w:lang w:val="es-SV"/>
        </w:rPr>
        <w:t xml:space="preserve">, no figura como tal; </w:t>
      </w:r>
    </w:p>
    <w:p w14:paraId="483931B0" w14:textId="4E62B6CB" w:rsidR="00EC27BF" w:rsidRPr="00EC27BF" w:rsidRDefault="00985062" w:rsidP="00EC27BF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Que se está realizando adecuación al Sistema antes relacionado para que sea posible recolectar datos conexos a las presuntas amenazas y/o vulneraciones; por lo que la Subdirección no cuenta con la información solicitada.  </w:t>
      </w:r>
    </w:p>
    <w:p w14:paraId="74ED07D5" w14:textId="77777777" w:rsidR="00BC5B94" w:rsidRDefault="00BC5B94" w:rsidP="00477E9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5FEE372" w14:textId="5772AEC2" w:rsidR="003F12F7" w:rsidRPr="000D31C9" w:rsidRDefault="003F12F7" w:rsidP="00477E95">
      <w:pPr>
        <w:spacing w:after="0" w:line="240" w:lineRule="auto"/>
        <w:jc w:val="both"/>
        <w:rPr>
          <w:sz w:val="22"/>
          <w:szCs w:val="22"/>
          <w:lang w:val="es-SV"/>
        </w:rPr>
      </w:pPr>
      <w:r w:rsidRPr="000F23A6">
        <w:rPr>
          <w:color w:val="000000"/>
          <w:sz w:val="22"/>
          <w:szCs w:val="22"/>
          <w:lang w:val="es-SV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0F23A6">
        <w:rPr>
          <w:rFonts w:eastAsia="Calibri"/>
          <w:sz w:val="22"/>
          <w:szCs w:val="22"/>
          <w:lang w:val="es-ES"/>
        </w:rPr>
        <w:t xml:space="preserve">Lo anterior se trae a cuenta que </w:t>
      </w:r>
      <w:r w:rsidR="00985062" w:rsidRPr="00985062">
        <w:rPr>
          <w:sz w:val="22"/>
          <w:szCs w:val="22"/>
          <w:lang w:val="es-SV"/>
        </w:rPr>
        <w:t>Alienación parental o Síndrome de Alienación Parental</w:t>
      </w:r>
      <w:r w:rsidR="00985062">
        <w:rPr>
          <w:sz w:val="22"/>
          <w:szCs w:val="22"/>
          <w:lang w:val="es-SV"/>
        </w:rPr>
        <w:t xml:space="preserve">, no se encuentra </w:t>
      </w:r>
      <w:r w:rsidR="000D31C9">
        <w:rPr>
          <w:sz w:val="22"/>
          <w:szCs w:val="22"/>
          <w:lang w:val="es-SV"/>
        </w:rPr>
        <w:t xml:space="preserve">regulado </w:t>
      </w:r>
      <w:r w:rsidR="00985062">
        <w:rPr>
          <w:sz w:val="22"/>
          <w:szCs w:val="22"/>
          <w:lang w:val="es-SV"/>
        </w:rPr>
        <w:t>en la LEPINA</w:t>
      </w:r>
      <w:r w:rsidR="000D31C9">
        <w:rPr>
          <w:sz w:val="22"/>
          <w:szCs w:val="22"/>
          <w:lang w:val="es-SV"/>
        </w:rPr>
        <w:t xml:space="preserve">, por lo </w:t>
      </w:r>
      <w:r w:rsidRPr="000F23A6">
        <w:rPr>
          <w:color w:val="000000"/>
          <w:sz w:val="22"/>
          <w:szCs w:val="22"/>
          <w:lang w:val="es-SV"/>
        </w:rPr>
        <w:t xml:space="preserve">que se deja constancia que en el presente caso y al momento de </w:t>
      </w:r>
      <w:r w:rsidR="00EC6D7A" w:rsidRPr="000F23A6">
        <w:rPr>
          <w:color w:val="000000"/>
          <w:sz w:val="22"/>
          <w:szCs w:val="22"/>
          <w:lang w:val="es-SV"/>
        </w:rPr>
        <w:t>este requerimiento</w:t>
      </w:r>
      <w:r w:rsidRPr="000F23A6">
        <w:rPr>
          <w:color w:val="000000"/>
          <w:sz w:val="22"/>
          <w:szCs w:val="22"/>
          <w:lang w:val="es-SV"/>
        </w:rPr>
        <w:t xml:space="preserve">, no existen medidas que puedan adoptarse para facilitar la documentación requerida, por no haber sido esta generada. </w:t>
      </w:r>
    </w:p>
    <w:p w14:paraId="47F0F1F7" w14:textId="77777777" w:rsidR="004E4403" w:rsidRPr="00C12C0A" w:rsidRDefault="004E4403" w:rsidP="00477E9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5F7574E5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t xml:space="preserve">POR TANTO: </w:t>
      </w:r>
      <w:r w:rsidRPr="00C12C0A">
        <w:rPr>
          <w:sz w:val="22"/>
          <w:szCs w:val="22"/>
          <w:lang w:val="es-SV"/>
        </w:rPr>
        <w:t>Con base en las disposiciones legales citadas, los argumentos expuestos y conforme lo establecido en los Artículos 50 literal d), 65, 66, 69, 71</w:t>
      </w:r>
      <w:r w:rsidR="000D31C9">
        <w:rPr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72</w:t>
      </w:r>
      <w:r w:rsidR="000D31C9">
        <w:rPr>
          <w:sz w:val="22"/>
          <w:szCs w:val="22"/>
          <w:lang w:val="es-SV"/>
        </w:rPr>
        <w:t xml:space="preserve"> y 73</w:t>
      </w:r>
      <w:r w:rsidRPr="00C12C0A">
        <w:rPr>
          <w:sz w:val="22"/>
          <w:szCs w:val="22"/>
          <w:lang w:val="es-SV"/>
        </w:rPr>
        <w:t xml:space="preserve">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1643F3F5" w14:textId="291E6D27" w:rsidR="00B12C9C" w:rsidRPr="00BC472F" w:rsidRDefault="00B12C9C" w:rsidP="000D31C9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b/>
          <w:sz w:val="22"/>
          <w:szCs w:val="22"/>
          <w:lang w:val="es-SV"/>
        </w:rPr>
        <w:t xml:space="preserve">DECLARESE </w:t>
      </w:r>
      <w:r w:rsidRPr="00BC472F">
        <w:rPr>
          <w:sz w:val="22"/>
          <w:szCs w:val="22"/>
          <w:lang w:val="es-SV"/>
        </w:rPr>
        <w:t xml:space="preserve">la inexistencia de la información </w:t>
      </w:r>
      <w:r w:rsidRPr="003F12F7">
        <w:rPr>
          <w:color w:val="000000"/>
          <w:sz w:val="22"/>
          <w:szCs w:val="22"/>
          <w:lang w:val="es-SV"/>
        </w:rPr>
        <w:t>de</w:t>
      </w:r>
      <w:r w:rsidR="000D31C9">
        <w:rPr>
          <w:color w:val="000000"/>
          <w:sz w:val="22"/>
          <w:szCs w:val="22"/>
          <w:lang w:val="es-SV"/>
        </w:rPr>
        <w:t xml:space="preserve"> “”D</w:t>
      </w:r>
      <w:r w:rsidR="000D31C9" w:rsidRPr="000D31C9">
        <w:rPr>
          <w:sz w:val="22"/>
          <w:szCs w:val="22"/>
          <w:lang w:val="es-SV"/>
        </w:rPr>
        <w:t>atos estadísticos sobre alienación parental o síndrome de alienación parental en niñez y adolescencia durante los año 2018 a 2021</w:t>
      </w:r>
      <w:r w:rsidR="000D31C9">
        <w:rPr>
          <w:sz w:val="22"/>
          <w:szCs w:val="22"/>
          <w:lang w:val="es-SV"/>
        </w:rPr>
        <w:t>””</w:t>
      </w:r>
      <w:r w:rsidRPr="00BC472F">
        <w:rPr>
          <w:sz w:val="22"/>
          <w:szCs w:val="22"/>
          <w:lang w:val="es-SV"/>
        </w:rPr>
        <w:t xml:space="preserve">, por el motivo antes expresado. </w:t>
      </w:r>
    </w:p>
    <w:p w14:paraId="5C650BDB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477E95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6FBFE77" w14:textId="77777777" w:rsidR="00133E8F" w:rsidRDefault="00133E8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C5E088D" w14:textId="77777777" w:rsidR="00133E8F" w:rsidRPr="00C12C0A" w:rsidRDefault="00133E8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477E9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69C6" w14:textId="77777777" w:rsidR="00A43D43" w:rsidRDefault="00A43D43">
      <w:pPr>
        <w:spacing w:after="0" w:line="240" w:lineRule="auto"/>
      </w:pPr>
      <w:r>
        <w:separator/>
      </w:r>
    </w:p>
  </w:endnote>
  <w:endnote w:type="continuationSeparator" w:id="0">
    <w:p w14:paraId="1E76C13E" w14:textId="77777777" w:rsidR="00A43D43" w:rsidRDefault="00A4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32A2" w14:textId="77777777" w:rsidR="00A43D43" w:rsidRDefault="00A43D43">
      <w:pPr>
        <w:spacing w:after="0" w:line="240" w:lineRule="auto"/>
      </w:pPr>
      <w:r>
        <w:separator/>
      </w:r>
    </w:p>
  </w:footnote>
  <w:footnote w:type="continuationSeparator" w:id="0">
    <w:p w14:paraId="534C5C49" w14:textId="77777777" w:rsidR="00A43D43" w:rsidRDefault="00A4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1C5FEA" w:rsidRPr="001C60C9" w14:paraId="004C16D6" w14:textId="77777777" w:rsidTr="00EB438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45379496" w14:textId="77777777" w:rsidR="001C5FEA" w:rsidRDefault="001C5FEA" w:rsidP="001C5FEA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B412093" w:rsidR="00C12C0A" w:rsidRPr="00AD6CD4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B51FC31">
          <wp:simplePos x="0" y="0"/>
          <wp:positionH relativeFrom="page">
            <wp:align>left</wp:align>
          </wp:positionH>
          <wp:positionV relativeFrom="paragraph">
            <wp:posOffset>-990600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205" w14:textId="77777777" w:rsidR="00C12C0A" w:rsidRDefault="00A43D4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A74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2BA0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6534E"/>
    <w:multiLevelType w:val="hybridMultilevel"/>
    <w:tmpl w:val="883870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19FA"/>
    <w:multiLevelType w:val="hybridMultilevel"/>
    <w:tmpl w:val="DCB00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40D90"/>
    <w:multiLevelType w:val="hybridMultilevel"/>
    <w:tmpl w:val="202CBDFE"/>
    <w:lvl w:ilvl="0" w:tplc="AAFE6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3"/>
  </w:num>
  <w:num w:numId="5">
    <w:abstractNumId w:val="20"/>
  </w:num>
  <w:num w:numId="6">
    <w:abstractNumId w:val="33"/>
  </w:num>
  <w:num w:numId="7">
    <w:abstractNumId w:val="18"/>
  </w:num>
  <w:num w:numId="8">
    <w:abstractNumId w:val="21"/>
  </w:num>
  <w:num w:numId="9">
    <w:abstractNumId w:val="22"/>
  </w:num>
  <w:num w:numId="10">
    <w:abstractNumId w:val="14"/>
  </w:num>
  <w:num w:numId="11">
    <w:abstractNumId w:val="10"/>
  </w:num>
  <w:num w:numId="12">
    <w:abstractNumId w:val="5"/>
  </w:num>
  <w:num w:numId="13">
    <w:abstractNumId w:val="29"/>
  </w:num>
  <w:num w:numId="14">
    <w:abstractNumId w:val="0"/>
  </w:num>
  <w:num w:numId="15">
    <w:abstractNumId w:val="16"/>
  </w:num>
  <w:num w:numId="16">
    <w:abstractNumId w:val="9"/>
  </w:num>
  <w:num w:numId="17">
    <w:abstractNumId w:val="24"/>
  </w:num>
  <w:num w:numId="18">
    <w:abstractNumId w:val="32"/>
  </w:num>
  <w:num w:numId="19">
    <w:abstractNumId w:val="30"/>
  </w:num>
  <w:num w:numId="20">
    <w:abstractNumId w:val="13"/>
  </w:num>
  <w:num w:numId="21">
    <w:abstractNumId w:val="31"/>
  </w:num>
  <w:num w:numId="22">
    <w:abstractNumId w:val="26"/>
  </w:num>
  <w:num w:numId="23">
    <w:abstractNumId w:val="6"/>
  </w:num>
  <w:num w:numId="24">
    <w:abstractNumId w:val="2"/>
  </w:num>
  <w:num w:numId="25">
    <w:abstractNumId w:val="27"/>
  </w:num>
  <w:num w:numId="26">
    <w:abstractNumId w:val="7"/>
  </w:num>
  <w:num w:numId="27">
    <w:abstractNumId w:val="28"/>
  </w:num>
  <w:num w:numId="28">
    <w:abstractNumId w:va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5"/>
  </w:num>
  <w:num w:numId="32">
    <w:abstractNumId w:val="17"/>
  </w:num>
  <w:num w:numId="33">
    <w:abstractNumId w:val="11"/>
  </w:num>
  <w:num w:numId="34">
    <w:abstractNumId w:val="25"/>
  </w:num>
  <w:num w:numId="35">
    <w:abstractNumId w:val="1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3041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31C9"/>
    <w:rsid w:val="000D6108"/>
    <w:rsid w:val="000E426C"/>
    <w:rsid w:val="000F23A6"/>
    <w:rsid w:val="00101A2E"/>
    <w:rsid w:val="00106C6D"/>
    <w:rsid w:val="00113E4A"/>
    <w:rsid w:val="00113EC9"/>
    <w:rsid w:val="0012272C"/>
    <w:rsid w:val="00133E8F"/>
    <w:rsid w:val="00144C82"/>
    <w:rsid w:val="00150F78"/>
    <w:rsid w:val="00163B85"/>
    <w:rsid w:val="0016643D"/>
    <w:rsid w:val="0017300F"/>
    <w:rsid w:val="00173C36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C5FEA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442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3F12F7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35B06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77E95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37627"/>
    <w:rsid w:val="00540EA2"/>
    <w:rsid w:val="00550474"/>
    <w:rsid w:val="0055060E"/>
    <w:rsid w:val="00551BE8"/>
    <w:rsid w:val="00554CB8"/>
    <w:rsid w:val="00556D3A"/>
    <w:rsid w:val="0056103E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1CF2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A5B73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43FB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34F3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85062"/>
    <w:rsid w:val="00995370"/>
    <w:rsid w:val="00997BC3"/>
    <w:rsid w:val="009A26EC"/>
    <w:rsid w:val="009A2B25"/>
    <w:rsid w:val="009A4D0F"/>
    <w:rsid w:val="009B1497"/>
    <w:rsid w:val="009B2C81"/>
    <w:rsid w:val="009B300D"/>
    <w:rsid w:val="009B587A"/>
    <w:rsid w:val="009D1253"/>
    <w:rsid w:val="009D55C9"/>
    <w:rsid w:val="009E0B49"/>
    <w:rsid w:val="009E6401"/>
    <w:rsid w:val="009F00A1"/>
    <w:rsid w:val="00A02A35"/>
    <w:rsid w:val="00A112A0"/>
    <w:rsid w:val="00A16FA7"/>
    <w:rsid w:val="00A2006E"/>
    <w:rsid w:val="00A2401F"/>
    <w:rsid w:val="00A241DD"/>
    <w:rsid w:val="00A2628C"/>
    <w:rsid w:val="00A37FA7"/>
    <w:rsid w:val="00A43390"/>
    <w:rsid w:val="00A43D43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D6CD4"/>
    <w:rsid w:val="00AE3E7D"/>
    <w:rsid w:val="00AE42E9"/>
    <w:rsid w:val="00AE50C9"/>
    <w:rsid w:val="00AF200D"/>
    <w:rsid w:val="00AF6FB7"/>
    <w:rsid w:val="00AF78E8"/>
    <w:rsid w:val="00B003A8"/>
    <w:rsid w:val="00B12C9C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5B9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39E7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7A8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2886"/>
    <w:rsid w:val="00E2290D"/>
    <w:rsid w:val="00E23932"/>
    <w:rsid w:val="00E346CB"/>
    <w:rsid w:val="00E41299"/>
    <w:rsid w:val="00E42A90"/>
    <w:rsid w:val="00E43492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C27BF"/>
    <w:rsid w:val="00EC6D7A"/>
    <w:rsid w:val="00ED262F"/>
    <w:rsid w:val="00ED3B49"/>
    <w:rsid w:val="00ED69FE"/>
    <w:rsid w:val="00EE023C"/>
    <w:rsid w:val="00EE147D"/>
    <w:rsid w:val="00EE1AD8"/>
    <w:rsid w:val="00EE33A1"/>
    <w:rsid w:val="00EF1F60"/>
    <w:rsid w:val="00F12621"/>
    <w:rsid w:val="00F16587"/>
    <w:rsid w:val="00F17C44"/>
    <w:rsid w:val="00F213FB"/>
    <w:rsid w:val="00F22BAE"/>
    <w:rsid w:val="00F231DB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99BF8F-8298-4341-8291-75FC3D8E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2021-03-10T20:09:00Z</cp:lastPrinted>
  <dcterms:created xsi:type="dcterms:W3CDTF">2021-07-29T15:30:00Z</dcterms:created>
  <dcterms:modified xsi:type="dcterms:W3CDTF">2021-07-29T15:33:00Z</dcterms:modified>
</cp:coreProperties>
</file>