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960A42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960A42" w:rsidRDefault="001A79AF" w:rsidP="001A79A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53374B3B" w:rsidR="001A79AF" w:rsidRPr="00960A42" w:rsidRDefault="001A79AF" w:rsidP="00AB3A33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B3A33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41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  <w:bookmarkStart w:id="0" w:name="_GoBack"/>
        <w:bookmarkEnd w:id="0"/>
      </w:tr>
    </w:tbl>
    <w:p w14:paraId="601D4158" w14:textId="77777777" w:rsidR="0090732E" w:rsidRDefault="0090732E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Times New Roman"/>
          <w:sz w:val="22"/>
          <w:szCs w:val="22"/>
          <w:lang w:val="es-SV" w:eastAsia="en-US"/>
        </w:rPr>
      </w:pPr>
    </w:p>
    <w:p w14:paraId="3F7200DF" w14:textId="66BC07C9" w:rsidR="00602163" w:rsidRPr="00F16587" w:rsidRDefault="00CD6229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Times New Roman"/>
          <w:sz w:val="22"/>
          <w:szCs w:val="22"/>
          <w:lang w:val="es-SV" w:eastAsia="en-US"/>
        </w:rPr>
      </w:pPr>
      <w:r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>(CONNA)</w:t>
      </w:r>
      <w:r w:rsidR="00602163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>: San Salvador, a las</w:t>
      </w:r>
      <w:r w:rsidR="001A08F3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 </w:t>
      </w:r>
      <w:r w:rsidR="00AB3A33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>quince</w:t>
      </w:r>
      <w:r w:rsidR="007254F4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 </w:t>
      </w:r>
      <w:r w:rsidR="00F31400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horas </w:t>
      </w:r>
      <w:r w:rsidR="007254F4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treinta </w:t>
      </w:r>
      <w:r w:rsidR="00106C6D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minutos </w:t>
      </w:r>
      <w:r w:rsidR="00F31400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del día </w:t>
      </w:r>
      <w:r w:rsidR="00AB3A33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>quince</w:t>
      </w:r>
      <w:r w:rsidR="007254F4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 </w:t>
      </w:r>
      <w:r w:rsidR="00F31400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de </w:t>
      </w:r>
      <w:r w:rsidR="00AB3A33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>octubre</w:t>
      </w:r>
      <w:r w:rsidR="00416C4E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 </w:t>
      </w:r>
      <w:r w:rsidR="00AB3A33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de </w:t>
      </w:r>
      <w:r w:rsidR="00F31400" w:rsidRPr="00F16587">
        <w:rPr>
          <w:rFonts w:ascii="Arial Narrow" w:eastAsiaTheme="minorHAnsi" w:hAnsi="Arial Narrow" w:cs="Times New Roman"/>
          <w:sz w:val="22"/>
          <w:szCs w:val="22"/>
          <w:lang w:val="es-SV" w:eastAsia="en-US"/>
        </w:rPr>
        <w:t xml:space="preserve">dos mil veinte. </w:t>
      </w:r>
    </w:p>
    <w:p w14:paraId="1D2BBC1D" w14:textId="77777777" w:rsidR="00492DA0" w:rsidRPr="00F16587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Times New Roman"/>
          <w:sz w:val="22"/>
          <w:szCs w:val="22"/>
          <w:lang w:val="es-SV" w:eastAsia="en-US"/>
        </w:rPr>
      </w:pPr>
    </w:p>
    <w:p w14:paraId="2144699B" w14:textId="7E84493B" w:rsidR="00FE3B54" w:rsidRPr="00F16587" w:rsidRDefault="00492DA0" w:rsidP="007254F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/>
          <w:sz w:val="22"/>
          <w:szCs w:val="22"/>
          <w:lang w:val="es-SV" w:eastAsia="en-US"/>
        </w:rPr>
      </w:pPr>
      <w:r w:rsidRPr="00F16587">
        <w:rPr>
          <w:rFonts w:ascii="Arial Narrow" w:eastAsiaTheme="minorHAnsi" w:hAnsi="Arial Narrow"/>
          <w:sz w:val="22"/>
          <w:szCs w:val="22"/>
          <w:lang w:val="es-SV" w:eastAsia="en-US"/>
        </w:rPr>
        <w:t xml:space="preserve">El día </w:t>
      </w:r>
      <w:r w:rsidR="00AB3A33" w:rsidRPr="00F16587">
        <w:rPr>
          <w:rFonts w:ascii="Arial Narrow" w:eastAsiaTheme="minorHAnsi" w:hAnsi="Arial Narrow"/>
          <w:sz w:val="22"/>
          <w:szCs w:val="22"/>
          <w:lang w:val="es-SV" w:eastAsia="en-US"/>
        </w:rPr>
        <w:t>02</w:t>
      </w:r>
      <w:r w:rsidR="00106C6D" w:rsidRPr="00F16587">
        <w:rPr>
          <w:rFonts w:ascii="Arial Narrow" w:eastAsiaTheme="minorHAnsi" w:hAnsi="Arial Narrow"/>
          <w:sz w:val="22"/>
          <w:szCs w:val="22"/>
          <w:lang w:val="es-SV" w:eastAsia="en-US"/>
        </w:rPr>
        <w:t xml:space="preserve"> </w:t>
      </w:r>
      <w:r w:rsidR="004134DC" w:rsidRPr="00F16587">
        <w:rPr>
          <w:rFonts w:ascii="Arial Narrow" w:eastAsiaTheme="minorHAnsi" w:hAnsi="Arial Narrow"/>
          <w:sz w:val="22"/>
          <w:szCs w:val="22"/>
          <w:lang w:val="es-SV" w:eastAsia="en-US"/>
        </w:rPr>
        <w:t>de</w:t>
      </w:r>
      <w:r w:rsidR="00106C6D" w:rsidRPr="00F16587">
        <w:rPr>
          <w:rFonts w:ascii="Arial Narrow" w:eastAsiaTheme="minorHAnsi" w:hAnsi="Arial Narrow"/>
          <w:sz w:val="22"/>
          <w:szCs w:val="22"/>
          <w:lang w:val="es-SV" w:eastAsia="en-US"/>
        </w:rPr>
        <w:t>l presente mes y año</w:t>
      </w:r>
      <w:r w:rsidRPr="00F16587">
        <w:rPr>
          <w:rFonts w:ascii="Arial Narrow" w:eastAsiaTheme="minorHAnsi" w:hAnsi="Arial Narrow"/>
          <w:sz w:val="22"/>
          <w:szCs w:val="22"/>
          <w:lang w:val="es-SV" w:eastAsia="en-US"/>
        </w:rPr>
        <w:t>, se recibió electrónicamente solicitud de información</w:t>
      </w:r>
      <w:r w:rsidR="00116D72">
        <w:rPr>
          <w:rFonts w:ascii="Arial Narrow" w:eastAsiaTheme="minorHAnsi" w:hAnsi="Arial Narrow"/>
          <w:sz w:val="22"/>
          <w:szCs w:val="22"/>
          <w:lang w:val="es-SV" w:eastAsia="en-US"/>
        </w:rPr>
        <w:t xml:space="preserve">, </w:t>
      </w:r>
      <w:r w:rsidR="00FE3B54" w:rsidRPr="00F16587">
        <w:rPr>
          <w:rFonts w:ascii="Arial Narrow" w:eastAsiaTheme="minorHAnsi" w:hAnsi="Arial Narrow"/>
          <w:sz w:val="22"/>
          <w:szCs w:val="22"/>
          <w:lang w:val="es-SV" w:eastAsia="en-US"/>
        </w:rPr>
        <w:t xml:space="preserve">que en lo medular requiere lo siguiente: </w:t>
      </w:r>
    </w:p>
    <w:p w14:paraId="0A653DCF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67085C7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“””1. Número de niñas y adolescentes mujeres atendidas </w:t>
      </w:r>
      <w:r w:rsidRPr="00F16587">
        <w:rPr>
          <w:rFonts w:ascii="Arial Narrow" w:hAnsi="Arial Narrow"/>
          <w:b/>
          <w:bCs/>
          <w:sz w:val="22"/>
          <w:szCs w:val="22"/>
        </w:rPr>
        <w:t xml:space="preserve">en las Juntas de Protección </w:t>
      </w:r>
      <w:r w:rsidRPr="00F16587">
        <w:rPr>
          <w:rFonts w:ascii="Arial Narrow" w:hAnsi="Arial Narrow"/>
          <w:sz w:val="22"/>
          <w:szCs w:val="22"/>
        </w:rPr>
        <w:t xml:space="preserve">durante el </w:t>
      </w:r>
      <w:r w:rsidRPr="00F16587">
        <w:rPr>
          <w:rFonts w:ascii="Arial Narrow" w:hAnsi="Arial Narrow"/>
          <w:b/>
          <w:bCs/>
          <w:sz w:val="22"/>
          <w:szCs w:val="22"/>
        </w:rPr>
        <w:t xml:space="preserve">año 2019 </w:t>
      </w:r>
      <w:r w:rsidRPr="00F16587">
        <w:rPr>
          <w:rFonts w:ascii="Arial Narrow" w:hAnsi="Arial Narrow"/>
          <w:sz w:val="22"/>
          <w:szCs w:val="22"/>
        </w:rPr>
        <w:t xml:space="preserve">(especificar dato por mes), así como los meses de enero, febrero, marzo, abril, mayo, junio, julio, agosto, septiembre del </w:t>
      </w:r>
      <w:r w:rsidRPr="00F16587">
        <w:rPr>
          <w:rFonts w:ascii="Arial Narrow" w:hAnsi="Arial Narrow"/>
          <w:b/>
          <w:bCs/>
          <w:sz w:val="22"/>
          <w:szCs w:val="22"/>
        </w:rPr>
        <w:t xml:space="preserve">corriente año 2020 </w:t>
      </w:r>
      <w:r w:rsidRPr="00F16587">
        <w:rPr>
          <w:rFonts w:ascii="Arial Narrow" w:hAnsi="Arial Narrow"/>
          <w:sz w:val="22"/>
          <w:szCs w:val="22"/>
        </w:rPr>
        <w:t xml:space="preserve">(especificar dato por mes). Datos desagregados por: </w:t>
      </w:r>
    </w:p>
    <w:p w14:paraId="38F7864B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a) Derechos Vulnerados </w:t>
      </w:r>
    </w:p>
    <w:p w14:paraId="0AE7C4F0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b) Junta de Protección que lleva el caso. </w:t>
      </w:r>
    </w:p>
    <w:p w14:paraId="787AEEEB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c) Modalidad del servicio brindado (virtual -telefónico, vía WhatsApp- o presencial) </w:t>
      </w:r>
    </w:p>
    <w:p w14:paraId="1F2CB55E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d) Rangos de edades (de 0 a 11 años, de 12 a 17 años); </w:t>
      </w:r>
    </w:p>
    <w:p w14:paraId="1136A4B4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e) Vínculo o parentesco con persona vulneradora de derechos. </w:t>
      </w:r>
    </w:p>
    <w:p w14:paraId="785940CA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f) Zona de procedencia de la niña o adolescente mujer (zona urbana y rural) </w:t>
      </w:r>
    </w:p>
    <w:p w14:paraId="13177674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g) Municipio y departamento de ocurrencia del hecho. </w:t>
      </w:r>
    </w:p>
    <w:p w14:paraId="0627F75E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6497F9B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2. Audiencias realizadas en casos de vulneraciones a derechos de niñas y adolescentes mujeres durante el </w:t>
      </w:r>
      <w:r w:rsidRPr="00F16587">
        <w:rPr>
          <w:rFonts w:ascii="Arial Narrow" w:hAnsi="Arial Narrow"/>
          <w:b/>
          <w:bCs/>
          <w:sz w:val="22"/>
          <w:szCs w:val="22"/>
        </w:rPr>
        <w:t xml:space="preserve">año 2019 </w:t>
      </w:r>
      <w:r w:rsidRPr="00F16587">
        <w:rPr>
          <w:rFonts w:ascii="Arial Narrow" w:hAnsi="Arial Narrow"/>
          <w:sz w:val="22"/>
          <w:szCs w:val="22"/>
        </w:rPr>
        <w:t xml:space="preserve">(especificar dato por mes), así como los meses de enero, febrero, marzo, abril, mayo, junio, julio, agosto, septiembre del </w:t>
      </w:r>
      <w:r w:rsidRPr="00F16587">
        <w:rPr>
          <w:rFonts w:ascii="Arial Narrow" w:hAnsi="Arial Narrow"/>
          <w:b/>
          <w:bCs/>
          <w:sz w:val="22"/>
          <w:szCs w:val="22"/>
        </w:rPr>
        <w:t xml:space="preserve">corriente año 2020 </w:t>
      </w:r>
      <w:r w:rsidRPr="00F16587">
        <w:rPr>
          <w:rFonts w:ascii="Arial Narrow" w:hAnsi="Arial Narrow"/>
          <w:sz w:val="22"/>
          <w:szCs w:val="22"/>
        </w:rPr>
        <w:t xml:space="preserve">(especificar dato por mes). Datos desagregados por: </w:t>
      </w:r>
    </w:p>
    <w:p w14:paraId="036A17D4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a) Derechos vulnerados </w:t>
      </w:r>
    </w:p>
    <w:p w14:paraId="1820D524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b) Junta de Protección que lleva el caso. </w:t>
      </w:r>
    </w:p>
    <w:p w14:paraId="3E9D979A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c) Rangos de edades (de 0 a 11 años, de 12 a 17 años); </w:t>
      </w:r>
    </w:p>
    <w:p w14:paraId="3ECDBA66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d) Vínculo o parentesco con persona vulneradora de derechos. </w:t>
      </w:r>
    </w:p>
    <w:p w14:paraId="7574B185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e) Zona de procedencia de la niña o adolescente mujer (zona urbana y rural) </w:t>
      </w:r>
    </w:p>
    <w:p w14:paraId="18CB2CB0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f) Municipio y departamento de ocurrencia del hecho. </w:t>
      </w:r>
    </w:p>
    <w:p w14:paraId="457E08AB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F1F72D3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3. Medidas de protección dictadas en casos de vulneraciones a derechos de niñas y adolescentes mujeres durante el año </w:t>
      </w:r>
      <w:r w:rsidRPr="00F16587">
        <w:rPr>
          <w:rFonts w:ascii="Arial Narrow" w:hAnsi="Arial Narrow"/>
          <w:b/>
          <w:bCs/>
          <w:sz w:val="22"/>
          <w:szCs w:val="22"/>
        </w:rPr>
        <w:t xml:space="preserve">2019 </w:t>
      </w:r>
      <w:r w:rsidRPr="00F16587">
        <w:rPr>
          <w:rFonts w:ascii="Arial Narrow" w:hAnsi="Arial Narrow"/>
          <w:sz w:val="22"/>
          <w:szCs w:val="22"/>
        </w:rPr>
        <w:t xml:space="preserve">(especificar dato por mes), así como los meses de enero, febrero, marzo, abril, mayo, junio, julio, agosto, septiembre </w:t>
      </w:r>
      <w:r w:rsidRPr="00F16587">
        <w:rPr>
          <w:rFonts w:ascii="Arial Narrow" w:hAnsi="Arial Narrow"/>
          <w:b/>
          <w:bCs/>
          <w:sz w:val="22"/>
          <w:szCs w:val="22"/>
        </w:rPr>
        <w:t xml:space="preserve">corriente año 2020 </w:t>
      </w:r>
      <w:r w:rsidRPr="00F16587">
        <w:rPr>
          <w:rFonts w:ascii="Arial Narrow" w:hAnsi="Arial Narrow"/>
          <w:sz w:val="22"/>
          <w:szCs w:val="22"/>
        </w:rPr>
        <w:t xml:space="preserve">(especificar dato por mes). Datos desagregados por: </w:t>
      </w:r>
    </w:p>
    <w:p w14:paraId="4484AEF1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a) Derechos Vulnerados </w:t>
      </w:r>
    </w:p>
    <w:p w14:paraId="3138266C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b) Junta de Protección que lleva el caso. </w:t>
      </w:r>
    </w:p>
    <w:p w14:paraId="5226D307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c) Rangos de edades (de 0 a 11 años, de 12 a 17 años); </w:t>
      </w:r>
    </w:p>
    <w:p w14:paraId="367A8C8F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d) Vínculo o parentesco con persona vulneradora de derechos. </w:t>
      </w:r>
    </w:p>
    <w:p w14:paraId="166F1BB3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e) Zona de procedencia de la niña o adolescente mujer (zona urbana y rural) </w:t>
      </w:r>
    </w:p>
    <w:p w14:paraId="3F865C06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 xml:space="preserve">f) Municipio y departamento de ocurrencia del hecho. </w:t>
      </w:r>
    </w:p>
    <w:p w14:paraId="20851C49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D9AE8A6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>4. Lineamientos, protocolos, planes, estrategias u otros instrumentos análogos elaborados e implementados para asegurar la atención y el acceso a la justicia para las mujeres en el marco del COVID19. (</w:t>
      </w:r>
      <w:proofErr w:type="gramStart"/>
      <w:r w:rsidRPr="00F16587">
        <w:rPr>
          <w:rFonts w:ascii="Arial Narrow" w:hAnsi="Arial Narrow"/>
          <w:sz w:val="22"/>
          <w:szCs w:val="22"/>
        </w:rPr>
        <w:t>adjuntar</w:t>
      </w:r>
      <w:proofErr w:type="gramEnd"/>
      <w:r w:rsidRPr="00F16587">
        <w:rPr>
          <w:rFonts w:ascii="Arial Narrow" w:hAnsi="Arial Narrow"/>
          <w:sz w:val="22"/>
          <w:szCs w:val="22"/>
        </w:rPr>
        <w:t xml:space="preserve">) </w:t>
      </w:r>
    </w:p>
    <w:p w14:paraId="52B0351E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0117FEC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2251" w:tblpY="-25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1560"/>
      </w:tblGrid>
      <w:tr w:rsidR="00AB3A33" w:rsidRPr="00F16587" w14:paraId="5A167AF7" w14:textId="77777777" w:rsidTr="00E11FFF">
        <w:tc>
          <w:tcPr>
            <w:tcW w:w="3114" w:type="dxa"/>
          </w:tcPr>
          <w:p w14:paraId="4CF2964A" w14:textId="77777777" w:rsidR="00AB3A33" w:rsidRPr="00F16587" w:rsidRDefault="00AB3A33" w:rsidP="00E11FF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6587">
              <w:rPr>
                <w:rFonts w:ascii="Arial Narrow" w:hAnsi="Arial Narrow"/>
                <w:sz w:val="22"/>
                <w:szCs w:val="22"/>
              </w:rPr>
              <w:t>Nombre del instrumento</w:t>
            </w:r>
          </w:p>
        </w:tc>
        <w:tc>
          <w:tcPr>
            <w:tcW w:w="2551" w:type="dxa"/>
          </w:tcPr>
          <w:p w14:paraId="117C7F49" w14:textId="77777777" w:rsidR="00AB3A33" w:rsidRPr="00F16587" w:rsidRDefault="00AB3A33" w:rsidP="00E11FF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6587">
              <w:rPr>
                <w:rFonts w:ascii="Arial Narrow" w:hAnsi="Arial Narrow"/>
                <w:sz w:val="22"/>
                <w:szCs w:val="22"/>
              </w:rPr>
              <w:t>Fecha de emisión</w:t>
            </w:r>
          </w:p>
        </w:tc>
        <w:tc>
          <w:tcPr>
            <w:tcW w:w="1560" w:type="dxa"/>
          </w:tcPr>
          <w:p w14:paraId="702BC44C" w14:textId="77777777" w:rsidR="00AB3A33" w:rsidRPr="00F16587" w:rsidRDefault="00AB3A33" w:rsidP="00E11FF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6587">
              <w:rPr>
                <w:rFonts w:ascii="Arial Narrow" w:hAnsi="Arial Narrow"/>
                <w:sz w:val="22"/>
                <w:szCs w:val="22"/>
              </w:rPr>
              <w:t>Objetivo</w:t>
            </w:r>
          </w:p>
        </w:tc>
      </w:tr>
      <w:tr w:rsidR="00AB3A33" w:rsidRPr="00F16587" w14:paraId="348FAADB" w14:textId="77777777" w:rsidTr="00E11FFF">
        <w:tc>
          <w:tcPr>
            <w:tcW w:w="3114" w:type="dxa"/>
          </w:tcPr>
          <w:p w14:paraId="2B782A2D" w14:textId="77777777" w:rsidR="00AB3A33" w:rsidRPr="00F16587" w:rsidRDefault="00AB3A33" w:rsidP="00E11FF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F6CF06" w14:textId="77777777" w:rsidR="00AB3A33" w:rsidRPr="00F16587" w:rsidRDefault="00AB3A33" w:rsidP="00E11FF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70E862" w14:textId="77777777" w:rsidR="00AB3A33" w:rsidRPr="00F16587" w:rsidRDefault="00AB3A33" w:rsidP="00E11FF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69A5054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90865E7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23A4263" w14:textId="77777777" w:rsidR="00AB3A33" w:rsidRPr="00F16587" w:rsidRDefault="00AB3A33" w:rsidP="00AB3A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16587">
        <w:rPr>
          <w:rFonts w:ascii="Arial Narrow" w:hAnsi="Arial Narrow"/>
          <w:sz w:val="22"/>
          <w:szCs w:val="22"/>
        </w:rPr>
        <w:t>5. Horarios de atención y prestación de servicios y periodos que comprendió, en el contexto del COVID19.</w:t>
      </w:r>
      <w:r w:rsidRPr="00F16587">
        <w:rPr>
          <w:rFonts w:ascii="Arial Narrow" w:hAnsi="Arial Narrow" w:cs="Candara"/>
          <w:sz w:val="22"/>
          <w:szCs w:val="22"/>
        </w:rPr>
        <w:t>”””</w:t>
      </w:r>
    </w:p>
    <w:p w14:paraId="4956D7CC" w14:textId="77777777" w:rsidR="00106C6D" w:rsidRPr="00F16587" w:rsidRDefault="00106C6D" w:rsidP="00106C6D">
      <w:pPr>
        <w:pStyle w:val="Prrafodelista"/>
        <w:spacing w:after="0" w:line="240" w:lineRule="atLeast"/>
        <w:ind w:left="1080"/>
        <w:jc w:val="both"/>
        <w:rPr>
          <w:rFonts w:ascii="Arial Narrow" w:hAnsi="Arial Narrow"/>
          <w:sz w:val="22"/>
          <w:szCs w:val="22"/>
          <w:lang w:val="es-SV"/>
        </w:rPr>
      </w:pPr>
    </w:p>
    <w:p w14:paraId="4E0A2AEB" w14:textId="43D6C9EC" w:rsidR="007443A8" w:rsidRPr="00F16587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theme="minorHAnsi"/>
          <w:b/>
          <w:sz w:val="22"/>
          <w:szCs w:val="22"/>
          <w:lang w:val="es-SV"/>
        </w:rPr>
      </w:pPr>
      <w:r w:rsidRPr="00F16587">
        <w:rPr>
          <w:rFonts w:ascii="Arial Narrow" w:hAnsi="Arial Narrow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F16587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/>
          <w:sz w:val="22"/>
          <w:szCs w:val="22"/>
          <w:lang w:val="es-SV" w:eastAsia="en-US"/>
        </w:rPr>
      </w:pPr>
    </w:p>
    <w:p w14:paraId="3057B0F2" w14:textId="77777777" w:rsidR="007443A8" w:rsidRPr="00F16587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  <w:r w:rsidRPr="00F16587">
        <w:rPr>
          <w:rFonts w:ascii="Arial Narrow" w:hAnsi="Arial Narrow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F16587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lang w:val="es-SV"/>
        </w:rPr>
      </w:pPr>
    </w:p>
    <w:p w14:paraId="14F188B5" w14:textId="2F2BFE3F" w:rsidR="007443A8" w:rsidRPr="00F16587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2"/>
          <w:szCs w:val="22"/>
          <w:lang w:val="es-SV"/>
        </w:rPr>
      </w:pPr>
      <w:r w:rsidRPr="00F16587">
        <w:rPr>
          <w:rFonts w:ascii="Arial Narrow" w:hAnsi="Arial Narrow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F16587">
        <w:rPr>
          <w:rFonts w:ascii="Arial Narrow" w:hAnsi="Arial Narrow" w:cs="Calibri"/>
          <w:b/>
          <w:color w:val="000000"/>
          <w:sz w:val="22"/>
          <w:szCs w:val="22"/>
          <w:lang w:val="es-SV"/>
        </w:rPr>
        <w:t xml:space="preserve"> </w:t>
      </w:r>
      <w:r w:rsidRPr="00F16587">
        <w:rPr>
          <w:rFonts w:ascii="Arial Narrow" w:hAnsi="Arial Narrow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F16587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</w:p>
    <w:p w14:paraId="76B4E63C" w14:textId="2D73ED39" w:rsidR="007443A8" w:rsidRPr="00F16587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/>
          <w:b/>
          <w:sz w:val="22"/>
          <w:szCs w:val="22"/>
          <w:lang w:val="es-SV"/>
        </w:rPr>
      </w:pPr>
      <w:r w:rsidRPr="00F16587">
        <w:rPr>
          <w:rFonts w:ascii="Arial Narrow" w:hAnsi="Arial Narrow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F16587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</w:p>
    <w:p w14:paraId="23170FB3" w14:textId="72688F3E" w:rsidR="00753FD4" w:rsidRPr="00F16587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  <w:r w:rsidRPr="00F16587">
        <w:rPr>
          <w:rFonts w:ascii="Arial Narrow" w:hAnsi="Arial Narrow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F16587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</w:p>
    <w:p w14:paraId="1DFD33F7" w14:textId="77777777" w:rsidR="00753FD4" w:rsidRPr="00F16587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  <w:r w:rsidRPr="00F16587">
        <w:rPr>
          <w:rFonts w:ascii="Arial Narrow" w:hAnsi="Arial Narrow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F16587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</w:p>
    <w:p w14:paraId="3FB635AF" w14:textId="33FA65C7" w:rsidR="00945753" w:rsidRPr="00F16587" w:rsidRDefault="00F12621" w:rsidP="008F739D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  <w:lang w:val="es-SV" w:eastAsia="en-US"/>
        </w:rPr>
      </w:pPr>
      <w:r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C</w:t>
      </w:r>
      <w:r w:rsidR="008605EF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F16587">
        <w:rPr>
          <w:rFonts w:ascii="Arial Narrow" w:hAnsi="Arial Narrow" w:cs="Candara"/>
          <w:color w:val="000000"/>
          <w:sz w:val="22"/>
          <w:szCs w:val="22"/>
          <w:lang w:val="es-SV"/>
        </w:rPr>
        <w:t>,</w:t>
      </w:r>
      <w:r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 </w:t>
      </w:r>
      <w:r w:rsidR="008605EF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se requirió </w:t>
      </w:r>
      <w:r w:rsidR="00CE60BF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a </w:t>
      </w:r>
      <w:r w:rsidR="008F4E91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la unidad administrativa </w:t>
      </w:r>
      <w:r w:rsidR="00483D18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siendo </w:t>
      </w:r>
      <w:r w:rsidR="0094575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que de parte de la Subdirección de </w:t>
      </w:r>
      <w:r w:rsidR="00AB3A3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la Subdirección de Defensa de Derechos Individuales</w:t>
      </w:r>
      <w:r w:rsidR="0094575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, se ha recibido Memorando número </w:t>
      </w:r>
      <w:r w:rsidR="00AB3A3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SDDI/705/2020 Y </w:t>
      </w:r>
      <w:r w:rsidR="008F739D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SDDI/717/2020 de fechas 08 y 13 de octubre de 2020, respectivamente</w:t>
      </w:r>
      <w:r w:rsidR="0094575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, por medio de</w:t>
      </w:r>
      <w:r w:rsidR="008F739D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 </w:t>
      </w:r>
      <w:r w:rsidR="0094575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l</w:t>
      </w:r>
      <w:r w:rsidR="008F739D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os</w:t>
      </w:r>
      <w:r w:rsidR="0094575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 cual</w:t>
      </w:r>
      <w:r w:rsidR="008F739D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es</w:t>
      </w:r>
      <w:r w:rsidR="0094575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 da respuesta</w:t>
      </w:r>
      <w:r w:rsidR="00D44145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 a la solicitud y l</w:t>
      </w:r>
      <w:r w:rsidR="008F739D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os</w:t>
      </w:r>
      <w:r w:rsidR="00D44145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 mismo</w:t>
      </w:r>
      <w:r w:rsidR="008F739D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>s</w:t>
      </w:r>
      <w:r w:rsidR="00D44145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 se </w:t>
      </w:r>
      <w:r w:rsidR="00945753" w:rsidRPr="00F16587">
        <w:rPr>
          <w:rFonts w:ascii="Arial Narrow" w:hAnsi="Arial Narrow"/>
          <w:color w:val="000000"/>
          <w:sz w:val="22"/>
          <w:szCs w:val="22"/>
          <w:lang w:val="es-SV" w:eastAsia="en-US"/>
        </w:rPr>
        <w:t xml:space="preserve">adjunta al presente.  </w:t>
      </w:r>
    </w:p>
    <w:p w14:paraId="7352A858" w14:textId="23A17D96" w:rsidR="00FF2ED2" w:rsidRPr="00F16587" w:rsidRDefault="00FF2ED2" w:rsidP="00FF2ED2">
      <w:pPr>
        <w:spacing w:after="0" w:line="240" w:lineRule="auto"/>
        <w:jc w:val="center"/>
        <w:rPr>
          <w:rFonts w:ascii="Arial Narrow" w:hAnsi="Arial Narrow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F16587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val="es-SV"/>
        </w:rPr>
      </w:pPr>
      <w:r w:rsidRPr="00F16587">
        <w:rPr>
          <w:rFonts w:ascii="Arial Narrow" w:hAnsi="Arial Narrow"/>
          <w:b/>
          <w:bCs/>
          <w:sz w:val="22"/>
          <w:szCs w:val="22"/>
          <w:lang w:val="es-SV"/>
        </w:rPr>
        <w:t xml:space="preserve">POR TANTO: </w:t>
      </w:r>
      <w:r w:rsidRPr="00F16587">
        <w:rPr>
          <w:rFonts w:ascii="Arial Narrow" w:hAnsi="Arial Narrow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F16587">
        <w:rPr>
          <w:rFonts w:ascii="Arial Narrow" w:hAnsi="Arial Narrow"/>
          <w:sz w:val="22"/>
          <w:szCs w:val="22"/>
          <w:lang w:val="es-SV"/>
        </w:rPr>
        <w:t>teral d</w:t>
      </w:r>
      <w:r w:rsidRPr="00F16587">
        <w:rPr>
          <w:rFonts w:ascii="Arial Narrow" w:hAnsi="Arial Narrow"/>
          <w:sz w:val="22"/>
          <w:szCs w:val="22"/>
          <w:lang w:val="es-SV"/>
        </w:rPr>
        <w:t xml:space="preserve">), 65, 66, </w:t>
      </w:r>
      <w:r w:rsidR="008F4659" w:rsidRPr="00F16587">
        <w:rPr>
          <w:rFonts w:ascii="Arial Narrow" w:hAnsi="Arial Narrow"/>
          <w:sz w:val="22"/>
          <w:szCs w:val="22"/>
          <w:lang w:val="es-SV"/>
        </w:rPr>
        <w:t>69</w:t>
      </w:r>
      <w:r w:rsidR="00190891" w:rsidRPr="00F16587">
        <w:rPr>
          <w:rFonts w:ascii="Arial Narrow" w:hAnsi="Arial Narrow"/>
          <w:sz w:val="22"/>
          <w:szCs w:val="22"/>
          <w:lang w:val="es-SV"/>
        </w:rPr>
        <w:t>,</w:t>
      </w:r>
      <w:r w:rsidR="00B736E8" w:rsidRPr="00F16587">
        <w:rPr>
          <w:rFonts w:ascii="Arial Narrow" w:hAnsi="Arial Narrow"/>
          <w:sz w:val="22"/>
          <w:szCs w:val="22"/>
          <w:lang w:val="es-SV"/>
        </w:rPr>
        <w:t xml:space="preserve"> </w:t>
      </w:r>
      <w:r w:rsidR="00190891" w:rsidRPr="00F16587">
        <w:rPr>
          <w:rFonts w:ascii="Arial Narrow" w:hAnsi="Arial Narrow"/>
          <w:sz w:val="22"/>
          <w:szCs w:val="22"/>
          <w:lang w:val="es-SV"/>
        </w:rPr>
        <w:t>7</w:t>
      </w:r>
      <w:r w:rsidRPr="00F16587">
        <w:rPr>
          <w:rFonts w:ascii="Arial Narrow" w:hAnsi="Arial Narrow"/>
          <w:sz w:val="22"/>
          <w:szCs w:val="22"/>
          <w:lang w:val="es-SV"/>
        </w:rPr>
        <w:t>1</w:t>
      </w:r>
      <w:r w:rsidR="009D1253" w:rsidRPr="00F16587">
        <w:rPr>
          <w:rFonts w:ascii="Arial Narrow" w:hAnsi="Arial Narrow"/>
          <w:sz w:val="22"/>
          <w:szCs w:val="22"/>
          <w:lang w:val="es-SV"/>
        </w:rPr>
        <w:t xml:space="preserve"> </w:t>
      </w:r>
      <w:r w:rsidR="00190891" w:rsidRPr="00F16587">
        <w:rPr>
          <w:rFonts w:ascii="Arial Narrow" w:hAnsi="Arial Narrow"/>
          <w:sz w:val="22"/>
          <w:szCs w:val="22"/>
          <w:lang w:val="es-SV"/>
        </w:rPr>
        <w:t xml:space="preserve">y 72 </w:t>
      </w:r>
      <w:r w:rsidRPr="00F16587">
        <w:rPr>
          <w:rFonts w:ascii="Arial Narrow" w:hAnsi="Arial Narrow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16587">
        <w:rPr>
          <w:rFonts w:ascii="Arial Narrow" w:hAnsi="Arial Narrow"/>
          <w:sz w:val="22"/>
          <w:szCs w:val="22"/>
          <w:lang w:val="es-SV"/>
        </w:rPr>
        <w:t xml:space="preserve">, </w:t>
      </w:r>
      <w:r w:rsidRPr="00F16587">
        <w:rPr>
          <w:rFonts w:ascii="Arial Narrow" w:hAnsi="Arial Narrow"/>
          <w:sz w:val="22"/>
          <w:szCs w:val="22"/>
          <w:lang w:val="es-SV"/>
        </w:rPr>
        <w:t xml:space="preserve">se </w:t>
      </w:r>
      <w:r w:rsidRPr="00F16587">
        <w:rPr>
          <w:rFonts w:ascii="Arial Narrow" w:hAnsi="Arial Narrow"/>
          <w:b/>
          <w:bCs/>
          <w:sz w:val="22"/>
          <w:szCs w:val="22"/>
          <w:lang w:val="es-SV"/>
        </w:rPr>
        <w:t>RESUELVE</w:t>
      </w:r>
      <w:r w:rsidRPr="00F16587">
        <w:rPr>
          <w:rFonts w:ascii="Arial Narrow" w:hAnsi="Arial Narrow"/>
          <w:sz w:val="22"/>
          <w:szCs w:val="22"/>
          <w:lang w:val="es-SV"/>
        </w:rPr>
        <w:t xml:space="preserve">: </w:t>
      </w:r>
    </w:p>
    <w:p w14:paraId="6F550187" w14:textId="77777777" w:rsidR="009D1253" w:rsidRPr="00F16587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F16587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color w:val="000000"/>
          <w:sz w:val="22"/>
          <w:szCs w:val="22"/>
          <w:lang w:val="es-SV"/>
        </w:rPr>
      </w:pPr>
      <w:r w:rsidRPr="00F16587">
        <w:rPr>
          <w:rFonts w:ascii="Arial Narrow" w:hAnsi="Arial Narrow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16587">
        <w:rPr>
          <w:rFonts w:ascii="Arial Narrow" w:hAnsi="Arial Narrow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F16587" w:rsidRDefault="00842B97" w:rsidP="009B587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F16587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color w:val="000000"/>
          <w:sz w:val="22"/>
          <w:szCs w:val="22"/>
          <w:lang w:val="es-SV"/>
        </w:rPr>
      </w:pPr>
      <w:r w:rsidRPr="00F16587">
        <w:rPr>
          <w:rFonts w:ascii="Arial Narrow" w:hAnsi="Arial Narrow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F16587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sz w:val="22"/>
          <w:szCs w:val="22"/>
          <w:lang w:val="es-SV" w:eastAsia="en-US"/>
        </w:rPr>
      </w:pPr>
    </w:p>
    <w:p w14:paraId="79EB98EC" w14:textId="77777777" w:rsidR="008F4659" w:rsidRPr="00F16587" w:rsidRDefault="008F4659" w:rsidP="009B587A">
      <w:pPr>
        <w:pStyle w:val="Default"/>
        <w:rPr>
          <w:rFonts w:ascii="Arial Narrow" w:hAnsi="Arial Narrow"/>
          <w:sz w:val="22"/>
          <w:szCs w:val="22"/>
        </w:rPr>
      </w:pPr>
    </w:p>
    <w:p w14:paraId="7C48AE2C" w14:textId="77777777" w:rsidR="008F4659" w:rsidRPr="00F16587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sz w:val="22"/>
          <w:szCs w:val="22"/>
          <w:lang w:val="es-SV" w:eastAsia="en-US"/>
        </w:rPr>
      </w:pPr>
    </w:p>
    <w:p w14:paraId="583AE9AE" w14:textId="77777777" w:rsidR="00753FD4" w:rsidRPr="00F16587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sz w:val="22"/>
          <w:szCs w:val="22"/>
          <w:lang w:val="es-SV" w:eastAsia="en-US"/>
        </w:rPr>
      </w:pPr>
      <w:r w:rsidRPr="00F16587">
        <w:rPr>
          <w:rFonts w:ascii="Arial Narrow" w:eastAsiaTheme="minorHAnsi" w:hAnsi="Arial Narrow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F16587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sz w:val="22"/>
          <w:szCs w:val="22"/>
          <w:lang w:val="es-SV" w:eastAsia="en-US"/>
        </w:rPr>
      </w:pPr>
      <w:r w:rsidRPr="00F16587">
        <w:rPr>
          <w:rFonts w:ascii="Arial Narrow" w:eastAsiaTheme="minorHAnsi" w:hAnsi="Arial Narrow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F16587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sz w:val="22"/>
          <w:szCs w:val="22"/>
          <w:lang w:val="es-SV" w:eastAsia="en-US"/>
        </w:rPr>
      </w:pPr>
      <w:r w:rsidRPr="00F16587">
        <w:rPr>
          <w:rFonts w:ascii="Arial Narrow" w:eastAsiaTheme="minorHAnsi" w:hAnsi="Arial Narrow"/>
          <w:sz w:val="22"/>
          <w:szCs w:val="22"/>
          <w:lang w:val="es-SV" w:eastAsia="en-US"/>
        </w:rPr>
        <w:t>CONNA.</w:t>
      </w:r>
    </w:p>
    <w:sectPr w:rsidR="00A112A0" w:rsidRPr="00F16587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FE250" w14:textId="77777777" w:rsidR="008A67F4" w:rsidRDefault="008A67F4">
      <w:pPr>
        <w:spacing w:after="0" w:line="240" w:lineRule="auto"/>
      </w:pPr>
      <w:r>
        <w:separator/>
      </w:r>
    </w:p>
  </w:endnote>
  <w:endnote w:type="continuationSeparator" w:id="0">
    <w:p w14:paraId="52BB54DF" w14:textId="77777777" w:rsidR="008A67F4" w:rsidRDefault="008A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7D750" w14:textId="77777777" w:rsidR="008A67F4" w:rsidRDefault="008A67F4">
      <w:pPr>
        <w:spacing w:after="0" w:line="240" w:lineRule="auto"/>
      </w:pPr>
      <w:r>
        <w:separator/>
      </w:r>
    </w:p>
  </w:footnote>
  <w:footnote w:type="continuationSeparator" w:id="0">
    <w:p w14:paraId="1C868351" w14:textId="77777777" w:rsidR="008A67F4" w:rsidRDefault="008A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90732E" w:rsidRPr="0090732E" w14:paraId="611B8D73" w14:textId="77777777" w:rsidTr="00143E2A">
      <w:tc>
        <w:tcPr>
          <w:tcW w:w="2972" w:type="dxa"/>
        </w:tcPr>
        <w:p w14:paraId="501F7014" w14:textId="77777777" w:rsidR="0090732E" w:rsidRPr="00B424BA" w:rsidRDefault="0090732E" w:rsidP="0090732E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5F38D47A" w14:textId="36C51FBB" w:rsidR="004346CA" w:rsidRPr="0090732E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1E80157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11680F3D" w:rsidR="004346CA" w:rsidRPr="0090732E" w:rsidRDefault="0090732E" w:rsidP="0090732E">
    <w:pPr>
      <w:tabs>
        <w:tab w:val="left" w:pos="915"/>
      </w:tabs>
      <w:rPr>
        <w:lang w:val="es-SV"/>
      </w:rPr>
    </w:pPr>
    <w:r>
      <w:rPr>
        <w:lang w:val="es-SV"/>
      </w:rPr>
      <w:tab/>
    </w:r>
  </w:p>
  <w:p w14:paraId="05E19BCC" w14:textId="77777777" w:rsidR="004346CA" w:rsidRPr="0090732E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A67F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16D72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A79AF"/>
    <w:rsid w:val="001B01F6"/>
    <w:rsid w:val="001B064D"/>
    <w:rsid w:val="001B2B02"/>
    <w:rsid w:val="001B31D3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A67F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0732E"/>
    <w:rsid w:val="00911897"/>
    <w:rsid w:val="00920650"/>
    <w:rsid w:val="00927E9B"/>
    <w:rsid w:val="00934A86"/>
    <w:rsid w:val="00945753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A5825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25B5C6-28D1-4F86-8944-923F0C03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2020-10-15T22:00:00Z</cp:lastPrinted>
  <dcterms:created xsi:type="dcterms:W3CDTF">2020-11-04T17:52:00Z</dcterms:created>
  <dcterms:modified xsi:type="dcterms:W3CDTF">2020-11-04T17:54:00Z</dcterms:modified>
</cp:coreProperties>
</file>