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2" w:rightFromText="142" w:vertAnchor="text" w:horzAnchor="page" w:tblpX="8206" w:tblpY="49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682B93" w14:paraId="458FE460" w14:textId="77777777" w:rsidTr="00682B93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5EE02" w14:textId="77777777" w:rsidR="00682B93" w:rsidRPr="00554CB8" w:rsidRDefault="00682B93" w:rsidP="00682B93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89598" w14:textId="66517F36" w:rsidR="00682B93" w:rsidRDefault="002F73D4" w:rsidP="00907F5B">
            <w:pPr>
              <w:jc w:val="center"/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</w:pPr>
            <w:r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00</w:t>
            </w:r>
            <w:r w:rsidR="00907F5B"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4</w:t>
            </w:r>
            <w:r w:rsidR="00682B93" w:rsidRPr="00554CB8"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/2020</w:t>
            </w:r>
          </w:p>
        </w:tc>
      </w:tr>
    </w:tbl>
    <w:p w14:paraId="21D6E043" w14:textId="77777777" w:rsidR="00682B93" w:rsidRPr="00682B93" w:rsidRDefault="00FE2E7D" w:rsidP="00682B93">
      <w:pPr>
        <w:widowControl w:val="0"/>
        <w:tabs>
          <w:tab w:val="center" w:pos="7999"/>
          <w:tab w:val="left" w:pos="8550"/>
          <w:tab w:val="left" w:pos="9030"/>
        </w:tabs>
        <w:spacing w:after="0" w:line="930" w:lineRule="exact"/>
        <w:ind w:right="103"/>
        <w:jc w:val="center"/>
        <w:outlineLvl w:val="0"/>
        <w:rPr>
          <w:rFonts w:ascii="Cocon" w:eastAsia="Trebuchet MS" w:hAnsi="Cocon" w:cstheme="minorBidi"/>
          <w:b/>
          <w:bCs/>
          <w:color w:val="023E87"/>
          <w:sz w:val="14"/>
          <w:szCs w:val="24"/>
          <w:lang w:val="es-SV" w:eastAsia="en-US"/>
        </w:rPr>
      </w:pPr>
      <w:r w:rsidRPr="00682B93">
        <w:rPr>
          <w:rFonts w:ascii="Cocon" w:eastAsia="Trebuchet MS" w:hAnsi="Cocon" w:cstheme="minorBidi"/>
          <w:b/>
          <w:bCs/>
          <w:color w:val="000000" w:themeColor="text1"/>
          <w:sz w:val="32"/>
          <w:szCs w:val="36"/>
          <w:lang w:val="es-SV" w:eastAsia="en-US"/>
        </w:rPr>
        <w:t>Resolución de Solicitud de Información</w:t>
      </w:r>
    </w:p>
    <w:p w14:paraId="131AFB7D" w14:textId="77777777" w:rsidR="00682B93" w:rsidRDefault="00682B93" w:rsidP="00FE2E7D">
      <w:pPr>
        <w:spacing w:after="0" w:line="240" w:lineRule="auto"/>
        <w:jc w:val="both"/>
        <w:rPr>
          <w:rFonts w:ascii="Trebuchet MS" w:eastAsia="Trebuchet MS" w:hAnsi="Trebuchet MS" w:cstheme="minorBidi"/>
          <w:b/>
          <w:bCs/>
          <w:color w:val="023E87"/>
          <w:sz w:val="16"/>
          <w:szCs w:val="24"/>
          <w:lang w:val="es-SV" w:eastAsia="en-US"/>
        </w:rPr>
      </w:pPr>
    </w:p>
    <w:p w14:paraId="439CF71A" w14:textId="06E18DC4" w:rsidR="00FE2E7D" w:rsidRDefault="00FE2E7D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El Consejo Nacional de la Niñez y de la Adolescencia, luego de haber recibido y admitido la solicitud de </w:t>
      </w:r>
      <w:bookmarkStart w:id="0" w:name="_GoBack"/>
      <w:bookmarkEnd w:id="0"/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información </w:t>
      </w:r>
      <w:r w:rsidR="0031064A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No. </w:t>
      </w:r>
      <w:r w:rsidR="002F73D4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00</w:t>
      </w:r>
      <w:r w:rsidR="00907F5B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4</w:t>
      </w:r>
      <w:r w:rsidR="00682B93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-2020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, presentada ante la Unidad de Acceso a la Información Pública de esta dependencia el </w:t>
      </w:r>
      <w:r w:rsidR="001C72D3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3 de febrero</w:t>
      </w:r>
      <w:r w:rsidR="00682B93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de 2020</w:t>
      </w:r>
      <w:r w:rsidRPr="00FE2E7D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</w:t>
      </w:r>
      <w:r w:rsidRPr="00FE2E7D">
        <w:rPr>
          <w:rFonts w:ascii="Calibri" w:eastAsia="Calibri" w:hAnsi="Calibri" w:cs="Times New Roman"/>
          <w:sz w:val="22"/>
          <w:szCs w:val="21"/>
          <w:lang w:val="es-SV" w:eastAsia="en-US"/>
        </w:rPr>
        <w:t>por</w:t>
      </w:r>
      <w:r w:rsidR="00050BB9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050BB9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050BB9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050BB9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Pr="00FE2E7D">
        <w:rPr>
          <w:rFonts w:ascii="Calibri" w:eastAsia="Calibri" w:hAnsi="Calibri" w:cs="Times New Roman"/>
          <w:b/>
          <w:sz w:val="22"/>
          <w:szCs w:val="21"/>
          <w:lang w:val="es-SV" w:eastAsia="en-US"/>
        </w:rPr>
        <w:t xml:space="preserve">, 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>mediante la cual solicita lo siguiente:</w:t>
      </w:r>
    </w:p>
    <w:p w14:paraId="7A251B7D" w14:textId="77777777" w:rsidR="00970243" w:rsidRDefault="00970243" w:rsidP="001C72D3">
      <w:p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</w:pPr>
    </w:p>
    <w:p w14:paraId="0CB44B07" w14:textId="699D8980" w:rsidR="001C72D3" w:rsidRPr="001C72D3" w:rsidRDefault="001C72D3" w:rsidP="001C72D3">
      <w:p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  <w:t>I</w:t>
      </w:r>
      <w:r w:rsidRPr="001C72D3"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  <w:t xml:space="preserve">nformación sobre medidas administrativas dictadas por las Juntas de Protección, específicamente acogimiento de emergencia institucional y familiar, según detalle: </w:t>
      </w:r>
    </w:p>
    <w:p w14:paraId="7BAF126C" w14:textId="77777777" w:rsidR="001C72D3" w:rsidRPr="001C72D3" w:rsidRDefault="001C72D3" w:rsidP="001C72D3">
      <w:p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</w:pPr>
    </w:p>
    <w:tbl>
      <w:tblPr>
        <w:tblStyle w:val="Tabladecuadrcula1clara"/>
        <w:tblW w:w="0" w:type="auto"/>
        <w:tblInd w:w="423" w:type="dxa"/>
        <w:tblLook w:val="04A0" w:firstRow="1" w:lastRow="0" w:firstColumn="1" w:lastColumn="0" w:noHBand="0" w:noVBand="1"/>
      </w:tblPr>
      <w:tblGrid>
        <w:gridCol w:w="3258"/>
        <w:gridCol w:w="2835"/>
        <w:gridCol w:w="2401"/>
      </w:tblGrid>
      <w:tr w:rsidR="001C72D3" w:rsidRPr="001C72D3" w14:paraId="00EDD33F" w14:textId="77777777" w:rsidTr="007D29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  <w:hideMark/>
          </w:tcPr>
          <w:p w14:paraId="0662B2FF" w14:textId="77777777" w:rsidR="001C72D3" w:rsidRPr="001C72D3" w:rsidRDefault="001C72D3" w:rsidP="001C72D3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Cs w:val="22"/>
                <w:lang w:val="es-SV"/>
              </w:rPr>
            </w:pPr>
            <w:r w:rsidRPr="001C72D3">
              <w:rPr>
                <w:rFonts w:ascii="Calibri" w:hAnsi="Calibri" w:cs="Calibri"/>
                <w:color w:val="000000"/>
                <w:szCs w:val="22"/>
                <w:lang w:val="es-SV"/>
              </w:rPr>
              <w:t>Tipo de medida administrativa</w:t>
            </w:r>
          </w:p>
        </w:tc>
        <w:tc>
          <w:tcPr>
            <w:tcW w:w="2835" w:type="dxa"/>
            <w:vAlign w:val="center"/>
            <w:hideMark/>
          </w:tcPr>
          <w:p w14:paraId="13799A8F" w14:textId="77777777" w:rsidR="001C72D3" w:rsidRPr="001C72D3" w:rsidRDefault="001C72D3" w:rsidP="001C72D3">
            <w:pPr>
              <w:shd w:val="clear" w:color="auto" w:fill="FFFFFF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val="es-SV"/>
              </w:rPr>
            </w:pPr>
            <w:r w:rsidRPr="001C72D3">
              <w:rPr>
                <w:rFonts w:ascii="Calibri" w:hAnsi="Calibri" w:cs="Calibri"/>
                <w:color w:val="000000"/>
                <w:szCs w:val="22"/>
                <w:lang w:val="es-SV"/>
              </w:rPr>
              <w:t>Acogimiento de emergencia institucional</w:t>
            </w:r>
          </w:p>
        </w:tc>
        <w:tc>
          <w:tcPr>
            <w:tcW w:w="2401" w:type="dxa"/>
            <w:vAlign w:val="center"/>
            <w:hideMark/>
          </w:tcPr>
          <w:p w14:paraId="3B2B2316" w14:textId="77777777" w:rsidR="001C72D3" w:rsidRPr="001C72D3" w:rsidRDefault="001C72D3" w:rsidP="001C72D3">
            <w:pPr>
              <w:shd w:val="clear" w:color="auto" w:fill="FFFFFF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val="es-SV"/>
              </w:rPr>
            </w:pPr>
            <w:r w:rsidRPr="001C72D3">
              <w:rPr>
                <w:rFonts w:ascii="Calibri" w:hAnsi="Calibri" w:cs="Calibri"/>
                <w:color w:val="000000"/>
                <w:szCs w:val="22"/>
                <w:lang w:val="es-SV"/>
              </w:rPr>
              <w:t>Acogimiento de emergencia familiar</w:t>
            </w:r>
          </w:p>
        </w:tc>
      </w:tr>
      <w:tr w:rsidR="001C72D3" w:rsidRPr="001C72D3" w14:paraId="44CB68A6" w14:textId="77777777" w:rsidTr="007D293D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Merge w:val="restart"/>
            <w:vAlign w:val="center"/>
            <w:hideMark/>
          </w:tcPr>
          <w:p w14:paraId="3ECDB99B" w14:textId="77777777" w:rsidR="001C72D3" w:rsidRPr="001C72D3" w:rsidRDefault="001C72D3" w:rsidP="001C72D3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Cs w:val="22"/>
                <w:lang w:val="es-SV"/>
              </w:rPr>
            </w:pPr>
            <w:r w:rsidRPr="001C72D3">
              <w:rPr>
                <w:rFonts w:ascii="Calibri" w:hAnsi="Calibri" w:cs="Calibri"/>
                <w:color w:val="000000"/>
                <w:szCs w:val="22"/>
                <w:lang w:val="es-SV"/>
              </w:rPr>
              <w:t>Especificada por género</w:t>
            </w:r>
          </w:p>
        </w:tc>
        <w:tc>
          <w:tcPr>
            <w:tcW w:w="2835" w:type="dxa"/>
            <w:vAlign w:val="center"/>
            <w:hideMark/>
          </w:tcPr>
          <w:p w14:paraId="75563F1B" w14:textId="77777777" w:rsidR="001C72D3" w:rsidRPr="001C72D3" w:rsidRDefault="001C72D3" w:rsidP="001C72D3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</w:pPr>
            <w:r w:rsidRPr="001C72D3"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  <w:t xml:space="preserve">Masculino </w:t>
            </w:r>
          </w:p>
        </w:tc>
        <w:tc>
          <w:tcPr>
            <w:tcW w:w="2401" w:type="dxa"/>
            <w:vAlign w:val="center"/>
            <w:hideMark/>
          </w:tcPr>
          <w:p w14:paraId="08BFE546" w14:textId="77777777" w:rsidR="001C72D3" w:rsidRPr="001C72D3" w:rsidRDefault="001C72D3" w:rsidP="001C72D3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</w:pPr>
            <w:r w:rsidRPr="001C72D3"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  <w:t xml:space="preserve">Masculino </w:t>
            </w:r>
          </w:p>
        </w:tc>
      </w:tr>
      <w:tr w:rsidR="001C72D3" w:rsidRPr="001C72D3" w14:paraId="644F4C50" w14:textId="77777777" w:rsidTr="007D2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Merge/>
            <w:vAlign w:val="center"/>
            <w:hideMark/>
          </w:tcPr>
          <w:p w14:paraId="4A7A8750" w14:textId="77777777" w:rsidR="001C72D3" w:rsidRPr="001C72D3" w:rsidRDefault="001C72D3" w:rsidP="001C72D3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Cs w:val="22"/>
                <w:lang w:val="es-SV"/>
              </w:rPr>
            </w:pPr>
          </w:p>
        </w:tc>
        <w:tc>
          <w:tcPr>
            <w:tcW w:w="2835" w:type="dxa"/>
            <w:vAlign w:val="center"/>
            <w:hideMark/>
          </w:tcPr>
          <w:p w14:paraId="59A5EE30" w14:textId="77777777" w:rsidR="001C72D3" w:rsidRPr="001C72D3" w:rsidRDefault="001C72D3" w:rsidP="001C72D3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</w:pPr>
            <w:r w:rsidRPr="001C72D3"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  <w:t>Femenino</w:t>
            </w:r>
          </w:p>
        </w:tc>
        <w:tc>
          <w:tcPr>
            <w:tcW w:w="2401" w:type="dxa"/>
            <w:vAlign w:val="center"/>
            <w:hideMark/>
          </w:tcPr>
          <w:p w14:paraId="4DAF9761" w14:textId="77777777" w:rsidR="001C72D3" w:rsidRPr="001C72D3" w:rsidRDefault="001C72D3" w:rsidP="001C72D3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</w:pPr>
            <w:r w:rsidRPr="001C72D3"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  <w:t>Femenino</w:t>
            </w:r>
          </w:p>
        </w:tc>
      </w:tr>
      <w:tr w:rsidR="001C72D3" w:rsidRPr="00EC5847" w14:paraId="7EDFE122" w14:textId="77777777" w:rsidTr="007D2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  <w:hideMark/>
          </w:tcPr>
          <w:p w14:paraId="512F7E5D" w14:textId="77777777" w:rsidR="001C72D3" w:rsidRPr="001C72D3" w:rsidRDefault="001C72D3" w:rsidP="001C72D3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Cs w:val="22"/>
                <w:lang w:val="es-SV"/>
              </w:rPr>
            </w:pPr>
            <w:r w:rsidRPr="001C72D3">
              <w:rPr>
                <w:rFonts w:ascii="Calibri" w:hAnsi="Calibri" w:cs="Calibri"/>
                <w:color w:val="000000"/>
                <w:szCs w:val="22"/>
                <w:lang w:val="es-SV"/>
              </w:rPr>
              <w:t>Tipo de vulneración por género</w:t>
            </w:r>
          </w:p>
        </w:tc>
        <w:tc>
          <w:tcPr>
            <w:tcW w:w="2835" w:type="dxa"/>
            <w:vAlign w:val="center"/>
          </w:tcPr>
          <w:p w14:paraId="260FA5CE" w14:textId="77777777" w:rsidR="001C72D3" w:rsidRPr="001C72D3" w:rsidRDefault="001C72D3" w:rsidP="001C72D3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</w:pPr>
          </w:p>
        </w:tc>
        <w:tc>
          <w:tcPr>
            <w:tcW w:w="2401" w:type="dxa"/>
            <w:vAlign w:val="center"/>
          </w:tcPr>
          <w:p w14:paraId="41589884" w14:textId="77777777" w:rsidR="001C72D3" w:rsidRPr="001C72D3" w:rsidRDefault="001C72D3" w:rsidP="001C72D3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</w:pPr>
          </w:p>
        </w:tc>
      </w:tr>
      <w:tr w:rsidR="001C72D3" w:rsidRPr="00EC5847" w14:paraId="762B1C75" w14:textId="77777777" w:rsidTr="007D2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  <w:hideMark/>
          </w:tcPr>
          <w:p w14:paraId="6DCCC5BE" w14:textId="77777777" w:rsidR="001C72D3" w:rsidRPr="001C72D3" w:rsidRDefault="001C72D3" w:rsidP="001C72D3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Cs w:val="22"/>
                <w:lang w:val="es-SV"/>
              </w:rPr>
            </w:pPr>
            <w:r w:rsidRPr="001C72D3">
              <w:rPr>
                <w:rFonts w:ascii="Calibri" w:hAnsi="Calibri" w:cs="Calibri"/>
                <w:color w:val="000000"/>
                <w:szCs w:val="22"/>
                <w:lang w:val="es-SV"/>
              </w:rPr>
              <w:t>Departamento de residencia por género</w:t>
            </w:r>
          </w:p>
        </w:tc>
        <w:tc>
          <w:tcPr>
            <w:tcW w:w="2835" w:type="dxa"/>
            <w:vAlign w:val="center"/>
          </w:tcPr>
          <w:p w14:paraId="63CAF58B" w14:textId="77777777" w:rsidR="001C72D3" w:rsidRPr="001C72D3" w:rsidRDefault="001C72D3" w:rsidP="001C72D3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</w:pPr>
          </w:p>
        </w:tc>
        <w:tc>
          <w:tcPr>
            <w:tcW w:w="2401" w:type="dxa"/>
            <w:vAlign w:val="center"/>
          </w:tcPr>
          <w:p w14:paraId="7C3AC882" w14:textId="77777777" w:rsidR="001C72D3" w:rsidRPr="001C72D3" w:rsidRDefault="001C72D3" w:rsidP="001C72D3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</w:pPr>
          </w:p>
        </w:tc>
      </w:tr>
      <w:tr w:rsidR="001C72D3" w:rsidRPr="001C72D3" w14:paraId="76012A6D" w14:textId="77777777" w:rsidTr="007D2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Merge w:val="restart"/>
            <w:vAlign w:val="center"/>
            <w:hideMark/>
          </w:tcPr>
          <w:p w14:paraId="6EEFB0CF" w14:textId="77777777" w:rsidR="001C72D3" w:rsidRPr="001C72D3" w:rsidRDefault="001C72D3" w:rsidP="001C72D3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Cs w:val="22"/>
                <w:lang w:val="es-SV"/>
              </w:rPr>
            </w:pPr>
            <w:r w:rsidRPr="001C72D3">
              <w:rPr>
                <w:rFonts w:ascii="Calibri" w:hAnsi="Calibri" w:cs="Calibri"/>
                <w:color w:val="000000"/>
                <w:szCs w:val="22"/>
                <w:lang w:val="es-SV"/>
              </w:rPr>
              <w:t xml:space="preserve">Datos por año </w:t>
            </w:r>
          </w:p>
        </w:tc>
        <w:tc>
          <w:tcPr>
            <w:tcW w:w="2835" w:type="dxa"/>
            <w:vAlign w:val="center"/>
            <w:hideMark/>
          </w:tcPr>
          <w:p w14:paraId="7C5EDC39" w14:textId="77777777" w:rsidR="001C72D3" w:rsidRPr="001C72D3" w:rsidRDefault="001C72D3" w:rsidP="001C72D3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</w:pPr>
            <w:r w:rsidRPr="001C72D3"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  <w:t>2017</w:t>
            </w:r>
          </w:p>
        </w:tc>
        <w:tc>
          <w:tcPr>
            <w:tcW w:w="2401" w:type="dxa"/>
            <w:vAlign w:val="center"/>
            <w:hideMark/>
          </w:tcPr>
          <w:p w14:paraId="5E336D9E" w14:textId="77777777" w:rsidR="001C72D3" w:rsidRPr="001C72D3" w:rsidRDefault="001C72D3" w:rsidP="001C72D3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</w:pPr>
            <w:r w:rsidRPr="001C72D3"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  <w:t>2017</w:t>
            </w:r>
          </w:p>
        </w:tc>
      </w:tr>
      <w:tr w:rsidR="001C72D3" w:rsidRPr="001C72D3" w14:paraId="2B576977" w14:textId="77777777" w:rsidTr="007D2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Merge/>
            <w:vAlign w:val="center"/>
            <w:hideMark/>
          </w:tcPr>
          <w:p w14:paraId="25C5843F" w14:textId="77777777" w:rsidR="001C72D3" w:rsidRPr="001C72D3" w:rsidRDefault="001C72D3" w:rsidP="001C72D3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Cs w:val="22"/>
                <w:lang w:val="es-SV"/>
              </w:rPr>
            </w:pPr>
          </w:p>
        </w:tc>
        <w:tc>
          <w:tcPr>
            <w:tcW w:w="2835" w:type="dxa"/>
            <w:vAlign w:val="center"/>
            <w:hideMark/>
          </w:tcPr>
          <w:p w14:paraId="256F270D" w14:textId="77777777" w:rsidR="001C72D3" w:rsidRPr="001C72D3" w:rsidRDefault="001C72D3" w:rsidP="001C72D3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</w:pPr>
            <w:r w:rsidRPr="001C72D3"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  <w:t>2018</w:t>
            </w:r>
          </w:p>
        </w:tc>
        <w:tc>
          <w:tcPr>
            <w:tcW w:w="2401" w:type="dxa"/>
            <w:vAlign w:val="center"/>
            <w:hideMark/>
          </w:tcPr>
          <w:p w14:paraId="3439E01C" w14:textId="77777777" w:rsidR="001C72D3" w:rsidRPr="001C72D3" w:rsidRDefault="001C72D3" w:rsidP="001C72D3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</w:pPr>
            <w:r w:rsidRPr="001C72D3"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  <w:t>2018</w:t>
            </w:r>
          </w:p>
        </w:tc>
      </w:tr>
      <w:tr w:rsidR="001C72D3" w:rsidRPr="001C72D3" w14:paraId="17AC179B" w14:textId="77777777" w:rsidTr="007D2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Merge/>
            <w:vAlign w:val="center"/>
            <w:hideMark/>
          </w:tcPr>
          <w:p w14:paraId="5375C528" w14:textId="77777777" w:rsidR="001C72D3" w:rsidRPr="001C72D3" w:rsidRDefault="001C72D3" w:rsidP="001C72D3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Cs w:val="22"/>
                <w:lang w:val="es-SV"/>
              </w:rPr>
            </w:pPr>
          </w:p>
        </w:tc>
        <w:tc>
          <w:tcPr>
            <w:tcW w:w="2835" w:type="dxa"/>
            <w:vAlign w:val="center"/>
            <w:hideMark/>
          </w:tcPr>
          <w:p w14:paraId="681981F2" w14:textId="77777777" w:rsidR="001C72D3" w:rsidRPr="001C72D3" w:rsidRDefault="001C72D3" w:rsidP="001C72D3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</w:pPr>
            <w:r w:rsidRPr="001C72D3"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  <w:t>2019</w:t>
            </w:r>
          </w:p>
        </w:tc>
        <w:tc>
          <w:tcPr>
            <w:tcW w:w="2401" w:type="dxa"/>
            <w:vAlign w:val="center"/>
            <w:hideMark/>
          </w:tcPr>
          <w:p w14:paraId="359B08C4" w14:textId="77777777" w:rsidR="001C72D3" w:rsidRPr="001C72D3" w:rsidRDefault="001C72D3" w:rsidP="001C72D3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</w:pPr>
            <w:r w:rsidRPr="001C72D3"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  <w:t>2019</w:t>
            </w:r>
          </w:p>
        </w:tc>
      </w:tr>
      <w:tr w:rsidR="001C72D3" w:rsidRPr="001C72D3" w14:paraId="20DCB530" w14:textId="77777777" w:rsidTr="007D2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Merge w:val="restart"/>
            <w:vAlign w:val="center"/>
            <w:hideMark/>
          </w:tcPr>
          <w:p w14:paraId="401244F7" w14:textId="77777777" w:rsidR="001C72D3" w:rsidRPr="001C72D3" w:rsidRDefault="001C72D3" w:rsidP="001C72D3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Cs w:val="22"/>
                <w:lang w:val="es-SV"/>
              </w:rPr>
            </w:pPr>
            <w:r w:rsidRPr="001C72D3">
              <w:rPr>
                <w:rFonts w:ascii="Calibri" w:hAnsi="Calibri" w:cs="Calibri"/>
                <w:color w:val="000000"/>
                <w:szCs w:val="22"/>
                <w:lang w:val="es-SV"/>
              </w:rPr>
              <w:t>Número de casos puestos a conocimiento de (por año):</w:t>
            </w:r>
          </w:p>
        </w:tc>
        <w:tc>
          <w:tcPr>
            <w:tcW w:w="2835" w:type="dxa"/>
            <w:vAlign w:val="center"/>
            <w:hideMark/>
          </w:tcPr>
          <w:p w14:paraId="17EC7F4A" w14:textId="77777777" w:rsidR="001C72D3" w:rsidRPr="001C72D3" w:rsidRDefault="001C72D3" w:rsidP="001C72D3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</w:pPr>
            <w:r w:rsidRPr="001C72D3"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  <w:t>Procuraduría General de la Republica</w:t>
            </w:r>
          </w:p>
        </w:tc>
        <w:tc>
          <w:tcPr>
            <w:tcW w:w="2401" w:type="dxa"/>
            <w:vAlign w:val="center"/>
            <w:hideMark/>
          </w:tcPr>
          <w:p w14:paraId="66DBFF44" w14:textId="77777777" w:rsidR="001C72D3" w:rsidRPr="001C72D3" w:rsidRDefault="001C72D3" w:rsidP="001C72D3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</w:pPr>
            <w:r w:rsidRPr="001C72D3"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  <w:t>Jueces especializados</w:t>
            </w:r>
          </w:p>
        </w:tc>
      </w:tr>
      <w:tr w:rsidR="001C72D3" w:rsidRPr="001C72D3" w14:paraId="6146B9D0" w14:textId="77777777" w:rsidTr="007D2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Merge/>
            <w:vAlign w:val="center"/>
            <w:hideMark/>
          </w:tcPr>
          <w:p w14:paraId="4E1FB1FA" w14:textId="77777777" w:rsidR="001C72D3" w:rsidRPr="001C72D3" w:rsidRDefault="001C72D3" w:rsidP="001C72D3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Cs w:val="22"/>
                <w:lang w:val="es-SV"/>
              </w:rPr>
            </w:pPr>
          </w:p>
        </w:tc>
        <w:tc>
          <w:tcPr>
            <w:tcW w:w="2835" w:type="dxa"/>
            <w:vAlign w:val="center"/>
            <w:hideMark/>
          </w:tcPr>
          <w:p w14:paraId="30FB9EDC" w14:textId="77777777" w:rsidR="001C72D3" w:rsidRPr="001C72D3" w:rsidRDefault="001C72D3" w:rsidP="001C72D3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</w:pPr>
            <w:r w:rsidRPr="001C72D3"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  <w:t xml:space="preserve">Jueces especializados </w:t>
            </w:r>
          </w:p>
        </w:tc>
        <w:tc>
          <w:tcPr>
            <w:tcW w:w="2401" w:type="dxa"/>
            <w:vAlign w:val="center"/>
          </w:tcPr>
          <w:p w14:paraId="400A2BFF" w14:textId="77777777" w:rsidR="001C72D3" w:rsidRPr="001C72D3" w:rsidRDefault="001C72D3" w:rsidP="001C72D3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  <w:lang w:val="es-SV"/>
              </w:rPr>
            </w:pPr>
          </w:p>
        </w:tc>
      </w:tr>
    </w:tbl>
    <w:p w14:paraId="77C08B71" w14:textId="77777777" w:rsidR="00FE2E7D" w:rsidRPr="00FE2E7D" w:rsidRDefault="00FE2E7D" w:rsidP="00FE2E7D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i/>
          <w:color w:val="444444"/>
          <w:sz w:val="22"/>
          <w:szCs w:val="22"/>
          <w:shd w:val="clear" w:color="auto" w:fill="EEEEEE"/>
          <w:lang w:val="es-SV"/>
        </w:rPr>
      </w:pPr>
    </w:p>
    <w:p w14:paraId="0AB8706A" w14:textId="3092F83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Y considerando que 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82B93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resuelve</w:t>
      </w:r>
      <w:proofErr w:type="gramEnd"/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>:</w:t>
      </w:r>
    </w:p>
    <w:p w14:paraId="57105348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2857C4C7" w14:textId="77777777" w:rsidR="00FE2E7D" w:rsidRPr="00FE2E7D" w:rsidRDefault="00FE2E7D" w:rsidP="00FE2E7D">
      <w:pPr>
        <w:widowControl w:val="0"/>
        <w:spacing w:after="0" w:line="240" w:lineRule="auto"/>
        <w:jc w:val="center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PROPORCIONAR LA INFORMACIÓN PÚBLICA SOLICITADA</w:t>
      </w:r>
    </w:p>
    <w:p w14:paraId="4A24D50B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68EA69C0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Dicha información será entregada tal como lo estableció la persona solicitante por correo electrónico. </w:t>
      </w:r>
    </w:p>
    <w:p w14:paraId="03E7CE43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EE08CD8" w14:textId="228D989B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San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</w:t>
      </w:r>
      <w:r w:rsidRPr="00FE2E7D">
        <w:rPr>
          <w:rFonts w:asciiTheme="minorHAnsi" w:eastAsiaTheme="minorHAnsi" w:hAnsiTheme="minorHAnsi" w:cs="Calibri"/>
          <w:spacing w:val="1"/>
          <w:w w:val="102"/>
          <w:sz w:val="22"/>
          <w:szCs w:val="22"/>
          <w:lang w:val="es-SV" w:eastAsia="en-US"/>
        </w:rPr>
        <w:t>lv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ad</w:t>
      </w:r>
      <w:r w:rsidRPr="00FE2E7D">
        <w:rPr>
          <w:rFonts w:asciiTheme="minorHAnsi" w:eastAsiaTheme="minorHAnsi" w:hAnsiTheme="minorHAnsi" w:cs="Calibri"/>
          <w:spacing w:val="-3"/>
          <w:w w:val="102"/>
          <w:sz w:val="22"/>
          <w:szCs w:val="22"/>
          <w:lang w:val="es-SV" w:eastAsia="en-US"/>
        </w:rPr>
        <w:t>o</w:t>
      </w:r>
      <w:r w:rsidRPr="00FE2E7D">
        <w:rPr>
          <w:rFonts w:asciiTheme="minorHAnsi" w:eastAsiaTheme="minorHAnsi" w:hAnsiTheme="minorHAnsi" w:cs="Calibri"/>
          <w:spacing w:val="2"/>
          <w:w w:val="102"/>
          <w:sz w:val="22"/>
          <w:szCs w:val="22"/>
          <w:lang w:val="es-SV" w:eastAsia="en-US"/>
        </w:rPr>
        <w:t>r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,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 xml:space="preserve">a las </w:t>
      </w:r>
      <w:r w:rsidR="00A64411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quince treinta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horas del </w:t>
      </w:r>
      <w:r w:rsidR="001C72D3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catorce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de </w:t>
      </w:r>
      <w:r w:rsidR="001C72D3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febrero</w:t>
      </w:r>
      <w:r w:rsidR="00682B93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de dos mil veinte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.</w:t>
      </w:r>
    </w:p>
    <w:p w14:paraId="378836A0" w14:textId="77777777" w:rsid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7BB6F866" w14:textId="77777777" w:rsidR="001C72D3" w:rsidRDefault="001C72D3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35646D53" w14:textId="77777777" w:rsidR="001C72D3" w:rsidRDefault="001C72D3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8C2D4E7" w14:textId="77777777" w:rsidR="001C72D3" w:rsidRPr="00FE2E7D" w:rsidRDefault="001C72D3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7FA47136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431EF5F3" w14:textId="602FB898" w:rsidR="00FE2E7D" w:rsidRPr="00FE2E7D" w:rsidRDefault="00FE2E7D" w:rsidP="001C7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>Licda. Mirian Abarca</w:t>
      </w:r>
    </w:p>
    <w:p w14:paraId="6B20A227" w14:textId="7C9C95ED" w:rsidR="00EB7934" w:rsidRPr="00970243" w:rsidRDefault="00FE2E7D" w:rsidP="00970243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         Oficial de Información Ad honorem</w:t>
      </w:r>
    </w:p>
    <w:sectPr w:rsidR="00EB7934" w:rsidRPr="00970243" w:rsidSect="00682B93">
      <w:headerReference w:type="default" r:id="rId8"/>
      <w:footerReference w:type="default" r:id="rId9"/>
      <w:headerReference w:type="first" r:id="rId10"/>
      <w:pgSz w:w="12240" w:h="15840"/>
      <w:pgMar w:top="2410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CC040" w14:textId="77777777" w:rsidR="00B93128" w:rsidRDefault="00B93128">
      <w:pPr>
        <w:spacing w:after="0" w:line="240" w:lineRule="auto"/>
      </w:pPr>
      <w:r>
        <w:separator/>
      </w:r>
    </w:p>
  </w:endnote>
  <w:endnote w:type="continuationSeparator" w:id="0">
    <w:p w14:paraId="70BFC468" w14:textId="77777777" w:rsidR="00B93128" w:rsidRDefault="00B9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con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EC808" w14:textId="77777777" w:rsidR="00B93128" w:rsidRDefault="00B93128">
      <w:pPr>
        <w:spacing w:after="0" w:line="240" w:lineRule="auto"/>
      </w:pPr>
      <w:r>
        <w:separator/>
      </w:r>
    </w:p>
  </w:footnote>
  <w:footnote w:type="continuationSeparator" w:id="0">
    <w:p w14:paraId="363D134E" w14:textId="77777777" w:rsidR="00B93128" w:rsidRDefault="00B93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EC5847" w:rsidRPr="00EC5847" w14:paraId="73A031A2" w14:textId="77777777" w:rsidTr="00091142">
      <w:trPr>
        <w:trHeight w:val="496"/>
      </w:trPr>
      <w:tc>
        <w:tcPr>
          <w:tcW w:w="3024" w:type="dxa"/>
        </w:tcPr>
        <w:p w14:paraId="63D814BB" w14:textId="77777777" w:rsidR="00EC5847" w:rsidRPr="000A541C" w:rsidRDefault="00EC5847" w:rsidP="00EC5847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>art. 30 Ley del Acceso a la Información Pública.</w:t>
          </w:r>
        </w:p>
      </w:tc>
    </w:tr>
  </w:tbl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290A02E7">
          <wp:simplePos x="0" y="0"/>
          <wp:positionH relativeFrom="page">
            <wp:align>left</wp:align>
          </wp:positionH>
          <wp:positionV relativeFrom="paragraph">
            <wp:posOffset>-885825</wp:posOffset>
          </wp:positionV>
          <wp:extent cx="7930222" cy="10261727"/>
          <wp:effectExtent l="0" t="0" r="0" b="635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B93128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0BB9"/>
    <w:rsid w:val="00051FC9"/>
    <w:rsid w:val="000B5684"/>
    <w:rsid w:val="000E426C"/>
    <w:rsid w:val="0017300F"/>
    <w:rsid w:val="001B01F6"/>
    <w:rsid w:val="001B2B02"/>
    <w:rsid w:val="001C72D3"/>
    <w:rsid w:val="00220E72"/>
    <w:rsid w:val="002446E1"/>
    <w:rsid w:val="00255594"/>
    <w:rsid w:val="00264521"/>
    <w:rsid w:val="002A1320"/>
    <w:rsid w:val="002A20CE"/>
    <w:rsid w:val="002D404F"/>
    <w:rsid w:val="002E0E7C"/>
    <w:rsid w:val="002F73D4"/>
    <w:rsid w:val="0031064A"/>
    <w:rsid w:val="003136A7"/>
    <w:rsid w:val="00404CAF"/>
    <w:rsid w:val="00405232"/>
    <w:rsid w:val="004A6985"/>
    <w:rsid w:val="004F1318"/>
    <w:rsid w:val="00556D3A"/>
    <w:rsid w:val="005A5D1F"/>
    <w:rsid w:val="005F0DA7"/>
    <w:rsid w:val="00623116"/>
    <w:rsid w:val="00632F7C"/>
    <w:rsid w:val="00682B93"/>
    <w:rsid w:val="006B13A8"/>
    <w:rsid w:val="007231B9"/>
    <w:rsid w:val="007717D1"/>
    <w:rsid w:val="00793CA1"/>
    <w:rsid w:val="007A0E41"/>
    <w:rsid w:val="007B2E4C"/>
    <w:rsid w:val="007C227A"/>
    <w:rsid w:val="0084247E"/>
    <w:rsid w:val="008D53E0"/>
    <w:rsid w:val="008D5869"/>
    <w:rsid w:val="008E2DAD"/>
    <w:rsid w:val="00907F5B"/>
    <w:rsid w:val="00927E9B"/>
    <w:rsid w:val="00934A86"/>
    <w:rsid w:val="00952EB2"/>
    <w:rsid w:val="00964490"/>
    <w:rsid w:val="00970243"/>
    <w:rsid w:val="009805F7"/>
    <w:rsid w:val="009809AB"/>
    <w:rsid w:val="009A2B25"/>
    <w:rsid w:val="009B2C81"/>
    <w:rsid w:val="00A64411"/>
    <w:rsid w:val="00A9745E"/>
    <w:rsid w:val="00AF6FB7"/>
    <w:rsid w:val="00B33175"/>
    <w:rsid w:val="00B93128"/>
    <w:rsid w:val="00BA383F"/>
    <w:rsid w:val="00BB63E1"/>
    <w:rsid w:val="00BB6683"/>
    <w:rsid w:val="00BE372D"/>
    <w:rsid w:val="00BE6AEB"/>
    <w:rsid w:val="00C31D4E"/>
    <w:rsid w:val="00C967D6"/>
    <w:rsid w:val="00CB5FE8"/>
    <w:rsid w:val="00CC3CDE"/>
    <w:rsid w:val="00D00E68"/>
    <w:rsid w:val="00DC0AED"/>
    <w:rsid w:val="00E71CFE"/>
    <w:rsid w:val="00EB7934"/>
    <w:rsid w:val="00EC5847"/>
    <w:rsid w:val="00F213FB"/>
    <w:rsid w:val="00F552F1"/>
    <w:rsid w:val="00FB2E6D"/>
    <w:rsid w:val="00FD0DB2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table" w:styleId="Tablaconcuadrcula">
    <w:name w:val="Table Grid"/>
    <w:basedOn w:val="Tablanormal"/>
    <w:uiPriority w:val="39"/>
    <w:rsid w:val="0068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2B9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82B93"/>
    <w:pPr>
      <w:ind w:left="720"/>
      <w:contextualSpacing/>
    </w:pPr>
  </w:style>
  <w:style w:type="table" w:styleId="Tabladecuadrcula1clara">
    <w:name w:val="Grid Table 1 Light"/>
    <w:basedOn w:val="Tablanormal"/>
    <w:uiPriority w:val="46"/>
    <w:rsid w:val="001C72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1E4736A-B401-4858-9BBD-DA667F16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Laura Lisett Centeno Zavaleta</cp:lastModifiedBy>
  <cp:revision>4</cp:revision>
  <dcterms:created xsi:type="dcterms:W3CDTF">2020-07-13T20:29:00Z</dcterms:created>
  <dcterms:modified xsi:type="dcterms:W3CDTF">2020-07-24T17:45:00Z</dcterms:modified>
  <cp:category/>
</cp:coreProperties>
</file>