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2" w:rightFromText="142" w:vertAnchor="text" w:horzAnchor="page" w:tblpX="8206" w:tblpY="49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682B93" w14:paraId="458FE460" w14:textId="77777777" w:rsidTr="00682B93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5EE02" w14:textId="77777777" w:rsidR="00682B93" w:rsidRPr="00554CB8" w:rsidRDefault="00682B93" w:rsidP="00682B93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89598" w14:textId="5834F579" w:rsidR="00682B93" w:rsidRDefault="002F73D4" w:rsidP="00682B93">
            <w:pPr>
              <w:jc w:val="center"/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</w:pPr>
            <w:r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002</w:t>
            </w:r>
            <w:r w:rsidR="00682B93" w:rsidRPr="00554CB8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/2020</w:t>
            </w:r>
          </w:p>
        </w:tc>
      </w:tr>
    </w:tbl>
    <w:p w14:paraId="21D6E043" w14:textId="77777777" w:rsidR="00682B93" w:rsidRPr="00682B93" w:rsidRDefault="00FE2E7D" w:rsidP="00682B93">
      <w:pPr>
        <w:widowControl w:val="0"/>
        <w:tabs>
          <w:tab w:val="center" w:pos="7999"/>
          <w:tab w:val="left" w:pos="8550"/>
          <w:tab w:val="left" w:pos="9030"/>
        </w:tabs>
        <w:spacing w:after="0" w:line="930" w:lineRule="exact"/>
        <w:ind w:right="103"/>
        <w:jc w:val="center"/>
        <w:outlineLvl w:val="0"/>
        <w:rPr>
          <w:rFonts w:ascii="Cocon" w:eastAsia="Trebuchet MS" w:hAnsi="Cocon" w:cstheme="minorBidi"/>
          <w:b/>
          <w:bCs/>
          <w:color w:val="023E87"/>
          <w:sz w:val="14"/>
          <w:szCs w:val="24"/>
          <w:lang w:val="es-SV" w:eastAsia="en-US"/>
        </w:rPr>
      </w:pPr>
      <w:r w:rsidRPr="00682B93">
        <w:rPr>
          <w:rFonts w:ascii="Cocon" w:eastAsia="Trebuchet MS" w:hAnsi="Cocon" w:cstheme="minorBidi"/>
          <w:b/>
          <w:bCs/>
          <w:color w:val="000000" w:themeColor="text1"/>
          <w:sz w:val="32"/>
          <w:szCs w:val="36"/>
          <w:lang w:val="es-SV" w:eastAsia="en-US"/>
        </w:rPr>
        <w:t>Resolución de Solicitud de Información</w:t>
      </w:r>
    </w:p>
    <w:p w14:paraId="131AFB7D" w14:textId="77777777" w:rsidR="00682B93" w:rsidRDefault="00682B93" w:rsidP="00FE2E7D">
      <w:pPr>
        <w:spacing w:after="0" w:line="240" w:lineRule="auto"/>
        <w:jc w:val="both"/>
        <w:rPr>
          <w:rFonts w:ascii="Trebuchet MS" w:eastAsia="Trebuchet MS" w:hAnsi="Trebuchet MS" w:cstheme="minorBidi"/>
          <w:b/>
          <w:bCs/>
          <w:color w:val="023E87"/>
          <w:sz w:val="16"/>
          <w:szCs w:val="24"/>
          <w:lang w:val="es-SV" w:eastAsia="en-US"/>
        </w:rPr>
      </w:pPr>
    </w:p>
    <w:p w14:paraId="21EF5473" w14:textId="77777777" w:rsidR="00682B93" w:rsidRDefault="00682B93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439CF71A" w14:textId="074F1F04" w:rsidR="00FE2E7D" w:rsidRDefault="00FE2E7D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El Consejo Nacional de la Niñez y de la Adolescencia, luego de haber recibido y admitido la solicitud de información </w:t>
      </w:r>
      <w:r w:rsidR="0031064A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No. </w:t>
      </w:r>
      <w:r w:rsidR="002F73D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002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-2020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, presentada ante la Unidad de Acceso a la Información Pública de esta dependencia el </w:t>
      </w:r>
      <w:r w:rsidR="002F73D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15 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de enero de 2020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</w:t>
      </w:r>
      <w:r w:rsidRPr="00FE2E7D">
        <w:rPr>
          <w:rFonts w:ascii="Calibri" w:eastAsia="Calibri" w:hAnsi="Calibri" w:cs="Times New Roman"/>
          <w:sz w:val="22"/>
          <w:szCs w:val="21"/>
          <w:lang w:val="es-SV" w:eastAsia="en-US"/>
        </w:rPr>
        <w:t>por</w:t>
      </w:r>
      <w:r w:rsidR="00CD57E6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CD57E6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CD57E6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CD57E6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CD57E6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Pr="00FE2E7D">
        <w:rPr>
          <w:rFonts w:ascii="Calibri" w:eastAsia="Calibri" w:hAnsi="Calibri" w:cs="Times New Roman"/>
          <w:b/>
          <w:sz w:val="22"/>
          <w:szCs w:val="21"/>
          <w:lang w:val="es-SV" w:eastAsia="en-US"/>
        </w:rPr>
        <w:t xml:space="preserve">, 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>mediante la cual solicita lo siguiente:</w:t>
      </w:r>
    </w:p>
    <w:p w14:paraId="632EF810" w14:textId="77777777" w:rsidR="002F73D4" w:rsidRPr="00FE2E7D" w:rsidRDefault="002F73D4" w:rsidP="00FE2E7D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1"/>
          <w:lang w:val="es-SV" w:eastAsia="en-US"/>
        </w:rPr>
      </w:pPr>
    </w:p>
    <w:p w14:paraId="544F97CE" w14:textId="77777777" w:rsidR="002F73D4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SV"/>
        </w:rPr>
      </w:pPr>
      <w:r w:rsidRPr="00E04D2F">
        <w:rPr>
          <w:rFonts w:ascii="Calibri" w:hAnsi="Calibri" w:cs="Calibri"/>
          <w:b/>
          <w:bCs/>
          <w:color w:val="000000"/>
          <w:sz w:val="22"/>
          <w:szCs w:val="22"/>
          <w:lang w:val="es-SV"/>
        </w:rPr>
        <w:t>Casos, a nivel nacional, correspondientes al período comprendido entre el 1 de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SV"/>
        </w:rPr>
        <w:t xml:space="preserve"> enero al 31 de diciembre 2019 s</w:t>
      </w:r>
      <w:r w:rsidRPr="00E04D2F">
        <w:rPr>
          <w:rFonts w:ascii="Calibri" w:hAnsi="Calibri" w:cs="Calibri"/>
          <w:b/>
          <w:bCs/>
          <w:color w:val="000000"/>
          <w:sz w:val="22"/>
          <w:szCs w:val="22"/>
          <w:lang w:val="es-SV"/>
        </w:rPr>
        <w:t xml:space="preserve">obre las siguientes denuncias interpuestas ante el CONNA para la restitución de los siguientes derechos: </w:t>
      </w:r>
    </w:p>
    <w:p w14:paraId="0C7FA510" w14:textId="77777777" w:rsidR="002F73D4" w:rsidRPr="00E04D2F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bookmarkStart w:id="0" w:name="_GoBack"/>
      <w:bookmarkEnd w:id="0"/>
    </w:p>
    <w:p w14:paraId="17EC0785" w14:textId="77777777" w:rsidR="002F73D4" w:rsidRPr="00E04D2F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</w:t>
      </w: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</w:t>
      </w:r>
      <w:r w:rsidRPr="00E04D2F">
        <w:rPr>
          <w:rFonts w:ascii="Calibri" w:hAnsi="Calibri" w:cs="Calibri"/>
          <w:color w:val="000000"/>
          <w:sz w:val="22"/>
          <w:szCs w:val="22"/>
          <w:lang w:val="es-SV"/>
        </w:rPr>
        <w:t xml:space="preserve">Derecho a la vida (LEPINA art. 16). </w:t>
      </w:r>
    </w:p>
    <w:p w14:paraId="54E92F57" w14:textId="77777777" w:rsidR="002F73D4" w:rsidRPr="00E04D2F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</w:t>
      </w: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</w:t>
      </w:r>
      <w:r w:rsidRPr="00E04D2F">
        <w:rPr>
          <w:rFonts w:ascii="Calibri" w:hAnsi="Calibri" w:cs="Calibri"/>
          <w:color w:val="000000"/>
          <w:sz w:val="22"/>
          <w:szCs w:val="22"/>
          <w:lang w:val="es-SV"/>
        </w:rPr>
        <w:t xml:space="preserve">Derecho a la protección de las personas por nacer (LEPINA art. 17). </w:t>
      </w:r>
    </w:p>
    <w:p w14:paraId="10C9F506" w14:textId="77777777" w:rsidR="002F73D4" w:rsidRPr="00E04D2F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</w:t>
      </w: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</w:t>
      </w:r>
      <w:r w:rsidRPr="00E04D2F">
        <w:rPr>
          <w:rFonts w:ascii="Calibri" w:hAnsi="Calibri" w:cs="Calibri"/>
          <w:color w:val="000000"/>
          <w:sz w:val="22"/>
          <w:szCs w:val="22"/>
          <w:lang w:val="es-SV"/>
        </w:rPr>
        <w:t xml:space="preserve">Derecho a un nivel de vida digno y adecuado (LEPINA Art. 20). </w:t>
      </w:r>
    </w:p>
    <w:p w14:paraId="2EC9A78B" w14:textId="77777777" w:rsidR="002F73D4" w:rsidRPr="00E04D2F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</w:t>
      </w: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</w:t>
      </w:r>
      <w:r w:rsidRPr="00E04D2F">
        <w:rPr>
          <w:rFonts w:ascii="Calibri" w:hAnsi="Calibri" w:cs="Calibri"/>
          <w:color w:val="000000"/>
          <w:sz w:val="22"/>
          <w:szCs w:val="22"/>
          <w:lang w:val="es-SV"/>
        </w:rPr>
        <w:t xml:space="preserve">Derecho a la salud (LEPINA Art. 21). </w:t>
      </w:r>
    </w:p>
    <w:p w14:paraId="092D5A76" w14:textId="77777777" w:rsidR="002F73D4" w:rsidRPr="00E04D2F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Calibri" w:hAnsi="Calibri" w:cs="Calibri"/>
          <w:color w:val="000000"/>
          <w:sz w:val="22"/>
          <w:szCs w:val="22"/>
          <w:lang w:val="es-SV"/>
        </w:rPr>
        <w:t xml:space="preserve">-Salud mental (LEPINA art 31) </w:t>
      </w:r>
    </w:p>
    <w:p w14:paraId="2BF427FA" w14:textId="77777777" w:rsidR="002F73D4" w:rsidRPr="00E04D2F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Calibri" w:hAnsi="Calibri" w:cs="Calibri"/>
          <w:color w:val="000000"/>
          <w:sz w:val="22"/>
          <w:szCs w:val="22"/>
          <w:lang w:val="es-SV"/>
        </w:rPr>
        <w:t xml:space="preserve">-Salud sexual y reproductiva (LEPINA art 32). </w:t>
      </w:r>
    </w:p>
    <w:p w14:paraId="50AE63C2" w14:textId="77777777" w:rsidR="002F73D4" w:rsidRPr="00E04D2F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Calibri" w:hAnsi="Calibri" w:cs="Calibri"/>
          <w:color w:val="000000"/>
          <w:sz w:val="22"/>
          <w:szCs w:val="22"/>
          <w:lang w:val="es-SV"/>
        </w:rPr>
        <w:t xml:space="preserve">-Salud física. </w:t>
      </w:r>
    </w:p>
    <w:p w14:paraId="4D35DD52" w14:textId="77777777" w:rsidR="002F73D4" w:rsidRPr="00E04D2F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</w:t>
      </w: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</w:t>
      </w:r>
      <w:r w:rsidRPr="00E04D2F">
        <w:rPr>
          <w:rFonts w:ascii="Calibri" w:hAnsi="Calibri" w:cs="Calibri"/>
          <w:color w:val="000000"/>
          <w:sz w:val="22"/>
          <w:szCs w:val="22"/>
          <w:lang w:val="es-SV"/>
        </w:rPr>
        <w:t xml:space="preserve">Derecho a la seguridad social (LEPINA art 34). </w:t>
      </w:r>
    </w:p>
    <w:p w14:paraId="26787672" w14:textId="77777777" w:rsidR="002F73D4" w:rsidRPr="00E04D2F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</w:t>
      </w: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</w:t>
      </w:r>
      <w:r w:rsidRPr="00E04D2F">
        <w:rPr>
          <w:rFonts w:ascii="Calibri" w:hAnsi="Calibri" w:cs="Calibri"/>
          <w:color w:val="000000"/>
          <w:sz w:val="22"/>
          <w:szCs w:val="22"/>
          <w:lang w:val="es-SV"/>
        </w:rPr>
        <w:t xml:space="preserve">Derecho a un medio ambiente sano (LEPINA art 35). </w:t>
      </w:r>
    </w:p>
    <w:p w14:paraId="7664BD37" w14:textId="77777777" w:rsidR="002F73D4" w:rsidRPr="00E04D2F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</w:t>
      </w: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</w:t>
      </w:r>
      <w:r w:rsidRPr="00E04D2F">
        <w:rPr>
          <w:rFonts w:ascii="Calibri" w:hAnsi="Calibri" w:cs="Calibri"/>
          <w:color w:val="000000"/>
          <w:sz w:val="22"/>
          <w:szCs w:val="22"/>
          <w:lang w:val="es-SV"/>
        </w:rPr>
        <w:t xml:space="preserve">Derecho a la integridad personal (LEPINA art. 37). </w:t>
      </w:r>
    </w:p>
    <w:p w14:paraId="11BBE3F7" w14:textId="77777777" w:rsidR="002F73D4" w:rsidRPr="00E04D2F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</w:t>
      </w: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</w:t>
      </w:r>
      <w:r w:rsidRPr="00E04D2F">
        <w:rPr>
          <w:rFonts w:ascii="Calibri" w:hAnsi="Calibri" w:cs="Calibri"/>
          <w:color w:val="000000"/>
          <w:sz w:val="22"/>
          <w:szCs w:val="22"/>
          <w:lang w:val="es-SV"/>
        </w:rPr>
        <w:t xml:space="preserve">Derechos al honor, imagen, vida privada e intimidad (LEPINA art 46) </w:t>
      </w:r>
    </w:p>
    <w:p w14:paraId="70252D4E" w14:textId="77777777" w:rsidR="002F73D4" w:rsidRPr="00E04D2F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</w:t>
      </w: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</w:t>
      </w:r>
      <w:r w:rsidRPr="00E04D2F">
        <w:rPr>
          <w:rFonts w:ascii="Calibri" w:hAnsi="Calibri" w:cs="Calibri"/>
          <w:color w:val="000000"/>
          <w:sz w:val="22"/>
          <w:szCs w:val="22"/>
          <w:lang w:val="es-SV"/>
        </w:rPr>
        <w:t xml:space="preserve">Derecho al libre desarrollo de la personalidad (LEPINA art. 72) </w:t>
      </w:r>
    </w:p>
    <w:p w14:paraId="5D47FA7A" w14:textId="77777777" w:rsidR="002F73D4" w:rsidRPr="00E04D2F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</w:t>
      </w: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</w:t>
      </w:r>
      <w:r w:rsidRPr="00E04D2F">
        <w:rPr>
          <w:rFonts w:ascii="Calibri" w:hAnsi="Calibri" w:cs="Calibri"/>
          <w:color w:val="000000"/>
          <w:sz w:val="22"/>
          <w:szCs w:val="22"/>
          <w:lang w:val="es-SV"/>
        </w:rPr>
        <w:t xml:space="preserve">Derecho a la identidad (LEPINA art. 73) </w:t>
      </w:r>
    </w:p>
    <w:p w14:paraId="2D60FEF3" w14:textId="77777777" w:rsidR="002F73D4" w:rsidRPr="00E04D2F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</w:t>
      </w:r>
      <w:r w:rsidRPr="00E04D2F">
        <w:rPr>
          <w:rFonts w:ascii="Wingdings" w:hAnsi="Wingdings" w:cs="Wingdings"/>
          <w:color w:val="000000"/>
          <w:sz w:val="22"/>
          <w:szCs w:val="22"/>
          <w:lang w:val="es-SV"/>
        </w:rPr>
        <w:t></w:t>
      </w:r>
      <w:r w:rsidRPr="00E04D2F">
        <w:rPr>
          <w:rFonts w:ascii="Calibri" w:hAnsi="Calibri" w:cs="Calibri"/>
          <w:color w:val="000000"/>
          <w:sz w:val="22"/>
          <w:szCs w:val="22"/>
          <w:lang w:val="es-SV"/>
        </w:rPr>
        <w:t xml:space="preserve">Derecho a la educación y cultura (LEPINA art. 81). </w:t>
      </w:r>
    </w:p>
    <w:p w14:paraId="7D2187F1" w14:textId="77777777" w:rsidR="002F73D4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</w:p>
    <w:p w14:paraId="0A691653" w14:textId="77777777" w:rsidR="002F73D4" w:rsidRPr="00E04D2F" w:rsidRDefault="002F73D4" w:rsidP="002F7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Calibri" w:hAnsi="Calibri" w:cs="Calibri"/>
          <w:b/>
          <w:bCs/>
          <w:color w:val="000000"/>
          <w:sz w:val="22"/>
          <w:szCs w:val="22"/>
          <w:lang w:val="es-SV"/>
        </w:rPr>
        <w:t xml:space="preserve">Cada uno de los ítems estadísticos anteriormente descritos, desagregada por cada delito, según las siguientes variables: </w:t>
      </w:r>
    </w:p>
    <w:p w14:paraId="7C8A25AC" w14:textId="77777777" w:rsidR="002F73D4" w:rsidRPr="00E04D2F" w:rsidRDefault="002F73D4" w:rsidP="002F73D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Calibri" w:hAnsi="Calibri" w:cs="Calibri"/>
          <w:color w:val="000000"/>
          <w:sz w:val="22"/>
          <w:szCs w:val="22"/>
          <w:lang w:val="es-SV"/>
        </w:rPr>
        <w:t xml:space="preserve">Por mes: Es decir presentados en cuadros de mes a mes. </w:t>
      </w:r>
    </w:p>
    <w:p w14:paraId="5AD4282D" w14:textId="77777777" w:rsidR="002F73D4" w:rsidRPr="00E04D2F" w:rsidRDefault="002F73D4" w:rsidP="002F73D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s-SV"/>
        </w:rPr>
      </w:pPr>
      <w:r w:rsidRPr="00E04D2F">
        <w:rPr>
          <w:rFonts w:ascii="Calibri" w:hAnsi="Calibri" w:cs="Calibri"/>
          <w:color w:val="000000"/>
          <w:sz w:val="22"/>
          <w:szCs w:val="22"/>
          <w:lang w:val="es-SV"/>
        </w:rPr>
        <w:t xml:space="preserve">Por sexo de las víctimas: hombres y mujeres. </w:t>
      </w:r>
    </w:p>
    <w:p w14:paraId="18162762" w14:textId="77777777" w:rsidR="002F73D4" w:rsidRPr="00E04D2F" w:rsidRDefault="002F73D4" w:rsidP="002F7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szCs w:val="22"/>
          <w:lang w:val="es-SV"/>
        </w:rPr>
      </w:pPr>
    </w:p>
    <w:p w14:paraId="24F196B2" w14:textId="77777777" w:rsidR="002F73D4" w:rsidRPr="00E04D2F" w:rsidRDefault="002F73D4" w:rsidP="002F7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szCs w:val="22"/>
          <w:lang w:val="es-SV"/>
        </w:rPr>
      </w:pPr>
      <w:r w:rsidRPr="00E04D2F">
        <w:rPr>
          <w:rFonts w:asciiTheme="minorHAnsi" w:eastAsiaTheme="minorEastAsia" w:hAnsiTheme="minorHAnsi"/>
          <w:b/>
          <w:color w:val="000000"/>
          <w:sz w:val="22"/>
          <w:szCs w:val="22"/>
          <w:lang w:val="es-SV"/>
        </w:rPr>
        <w:t>Se aclara que la información estará siendo solicitada de forma mensual a partir del año 2020.</w:t>
      </w:r>
    </w:p>
    <w:p w14:paraId="77C08B71" w14:textId="77777777" w:rsidR="00FE2E7D" w:rsidRPr="00FE2E7D" w:rsidRDefault="00FE2E7D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37D4B944" w14:textId="77777777" w:rsidR="002F73D4" w:rsidRPr="00FE2E7D" w:rsidRDefault="002F73D4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0AB8706A" w14:textId="3092F83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82B93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resuelve</w:t>
      </w:r>
      <w:proofErr w:type="gramEnd"/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>:</w:t>
      </w:r>
    </w:p>
    <w:p w14:paraId="60BD3E6A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57105348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2857C4C7" w14:textId="77777777" w:rsidR="00FE2E7D" w:rsidRPr="00FE2E7D" w:rsidRDefault="00FE2E7D" w:rsidP="00FE2E7D">
      <w:pPr>
        <w:widowControl w:val="0"/>
        <w:spacing w:after="0" w:line="240" w:lineRule="auto"/>
        <w:jc w:val="center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lastRenderedPageBreak/>
        <w:t>PROPORCIONAR LA INFORMACIÓN PÚBLICA SOLICITADA</w:t>
      </w:r>
    </w:p>
    <w:p w14:paraId="4A24D50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020DDD2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68EA69C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Dicha información será entregada tal como lo estableció la persona solicitante por correo electrónico. </w:t>
      </w:r>
    </w:p>
    <w:p w14:paraId="03E7CE43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EE08CD8" w14:textId="20DB3BC3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San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</w:t>
      </w:r>
      <w:r w:rsidRPr="00FE2E7D">
        <w:rPr>
          <w:rFonts w:asciiTheme="minorHAnsi" w:eastAsiaTheme="minorHAnsi" w:hAnsiTheme="minorHAnsi" w:cs="Calibri"/>
          <w:spacing w:val="1"/>
          <w:w w:val="102"/>
          <w:sz w:val="22"/>
          <w:szCs w:val="22"/>
          <w:lang w:val="es-SV" w:eastAsia="en-US"/>
        </w:rPr>
        <w:t>lv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ad</w:t>
      </w:r>
      <w:r w:rsidRPr="00FE2E7D">
        <w:rPr>
          <w:rFonts w:asciiTheme="minorHAnsi" w:eastAsiaTheme="minorHAnsi" w:hAnsiTheme="minorHAnsi" w:cs="Calibri"/>
          <w:spacing w:val="-3"/>
          <w:w w:val="102"/>
          <w:sz w:val="22"/>
          <w:szCs w:val="22"/>
          <w:lang w:val="es-SV" w:eastAsia="en-US"/>
        </w:rPr>
        <w:t>o</w:t>
      </w:r>
      <w:r w:rsidRPr="00FE2E7D">
        <w:rPr>
          <w:rFonts w:asciiTheme="minorHAnsi" w:eastAsiaTheme="minorHAnsi" w:hAnsiTheme="minorHAnsi" w:cs="Calibri"/>
          <w:spacing w:val="2"/>
          <w:w w:val="102"/>
          <w:sz w:val="22"/>
          <w:szCs w:val="22"/>
          <w:lang w:val="es-SV" w:eastAsia="en-US"/>
        </w:rPr>
        <w:t>r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,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 xml:space="preserve">a las </w:t>
      </w:r>
      <w:r w:rsidR="002F73D4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quince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horas del </w:t>
      </w:r>
      <w:r w:rsidR="002F73D4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veinte y nueve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de </w:t>
      </w:r>
      <w:r w:rsidR="00682B93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enero de dos mil veinte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.</w:t>
      </w:r>
    </w:p>
    <w:p w14:paraId="378836A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FA47136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29823B2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7BB793F8" w14:textId="77777777" w:rsid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39FF3CA7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505F70BB" w14:textId="77777777" w:rsidR="00FE2E7D" w:rsidRDefault="00FE2E7D" w:rsidP="00682B9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4CB47CA7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>_________________________________</w:t>
      </w:r>
    </w:p>
    <w:p w14:paraId="431EF5F3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 xml:space="preserve">           </w:t>
      </w: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ab/>
        <w:t xml:space="preserve">  </w:t>
      </w: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>Licda. Mirian Abarca</w:t>
      </w:r>
    </w:p>
    <w:p w14:paraId="0CA2F595" w14:textId="57DB6320" w:rsidR="00EB7934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Oficial de Información Ad honorem</w:t>
      </w:r>
    </w:p>
    <w:p w14:paraId="6B20A227" w14:textId="15E7FB50" w:rsidR="00EB7934" w:rsidRPr="00EB7934" w:rsidRDefault="00EB7934" w:rsidP="00FE2E7D">
      <w:pPr>
        <w:rPr>
          <w:lang w:val="de-DE" w:eastAsia="en-US"/>
        </w:rPr>
      </w:pPr>
    </w:p>
    <w:sectPr w:rsidR="00EB7934" w:rsidRPr="00EB7934" w:rsidSect="00682B93">
      <w:headerReference w:type="default" r:id="rId8"/>
      <w:footerReference w:type="default" r:id="rId9"/>
      <w:headerReference w:type="first" r:id="rId10"/>
      <w:pgSz w:w="12240" w:h="15840"/>
      <w:pgMar w:top="2410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DE4A9" w14:textId="77777777" w:rsidR="009D1C3D" w:rsidRDefault="009D1C3D">
      <w:pPr>
        <w:spacing w:after="0" w:line="240" w:lineRule="auto"/>
      </w:pPr>
      <w:r>
        <w:separator/>
      </w:r>
    </w:p>
  </w:endnote>
  <w:endnote w:type="continuationSeparator" w:id="0">
    <w:p w14:paraId="08410644" w14:textId="77777777" w:rsidR="009D1C3D" w:rsidRDefault="009D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con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8D3AC" w14:textId="77777777" w:rsidR="009D1C3D" w:rsidRDefault="009D1C3D">
      <w:pPr>
        <w:spacing w:after="0" w:line="240" w:lineRule="auto"/>
      </w:pPr>
      <w:r>
        <w:separator/>
      </w:r>
    </w:p>
  </w:footnote>
  <w:footnote w:type="continuationSeparator" w:id="0">
    <w:p w14:paraId="5FE4014D" w14:textId="77777777" w:rsidR="009D1C3D" w:rsidRDefault="009D1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410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550577" w:rsidRPr="00E55D70" w14:paraId="15ABA80B" w14:textId="77777777" w:rsidTr="00550577">
      <w:trPr>
        <w:trHeight w:val="496"/>
      </w:trPr>
      <w:tc>
        <w:tcPr>
          <w:tcW w:w="3024" w:type="dxa"/>
        </w:tcPr>
        <w:p w14:paraId="02EB3DBA" w14:textId="77777777" w:rsidR="00550577" w:rsidRPr="000A541C" w:rsidRDefault="00550577" w:rsidP="00550577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>art. 30 Ley del Acceso a la Información Pública.</w:t>
          </w:r>
        </w:p>
      </w:tc>
    </w:tr>
  </w:tbl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6299D5C6">
          <wp:simplePos x="0" y="0"/>
          <wp:positionH relativeFrom="page">
            <wp:align>left</wp:align>
          </wp:positionH>
          <wp:positionV relativeFrom="paragraph">
            <wp:posOffset>-885825</wp:posOffset>
          </wp:positionV>
          <wp:extent cx="7930222" cy="10261727"/>
          <wp:effectExtent l="0" t="0" r="0" b="635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9D1C3D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9382D"/>
    <w:rsid w:val="000B5684"/>
    <w:rsid w:val="000E426C"/>
    <w:rsid w:val="0017300F"/>
    <w:rsid w:val="001B01F6"/>
    <w:rsid w:val="001B2B02"/>
    <w:rsid w:val="00220E72"/>
    <w:rsid w:val="002446E1"/>
    <w:rsid w:val="00255594"/>
    <w:rsid w:val="00264521"/>
    <w:rsid w:val="002A1320"/>
    <w:rsid w:val="002A20CE"/>
    <w:rsid w:val="002D404F"/>
    <w:rsid w:val="002E0E7C"/>
    <w:rsid w:val="002F73D4"/>
    <w:rsid w:val="0031064A"/>
    <w:rsid w:val="003136A7"/>
    <w:rsid w:val="00404CAF"/>
    <w:rsid w:val="00405232"/>
    <w:rsid w:val="004A6985"/>
    <w:rsid w:val="004F1318"/>
    <w:rsid w:val="00550577"/>
    <w:rsid w:val="00556D3A"/>
    <w:rsid w:val="005A5D1F"/>
    <w:rsid w:val="00623116"/>
    <w:rsid w:val="00632F7C"/>
    <w:rsid w:val="00682B93"/>
    <w:rsid w:val="006B13A8"/>
    <w:rsid w:val="007231B9"/>
    <w:rsid w:val="0075048D"/>
    <w:rsid w:val="007717D1"/>
    <w:rsid w:val="00793CA1"/>
    <w:rsid w:val="007B2E4C"/>
    <w:rsid w:val="007C227A"/>
    <w:rsid w:val="0084247E"/>
    <w:rsid w:val="008D53E0"/>
    <w:rsid w:val="008D5869"/>
    <w:rsid w:val="008E2DAD"/>
    <w:rsid w:val="00927E9B"/>
    <w:rsid w:val="00934A86"/>
    <w:rsid w:val="00952EB2"/>
    <w:rsid w:val="00964490"/>
    <w:rsid w:val="009805F7"/>
    <w:rsid w:val="009809AB"/>
    <w:rsid w:val="009A2B25"/>
    <w:rsid w:val="009B2C81"/>
    <w:rsid w:val="009D1C3D"/>
    <w:rsid w:val="00A9745E"/>
    <w:rsid w:val="00AF6FB7"/>
    <w:rsid w:val="00B33175"/>
    <w:rsid w:val="00BA383F"/>
    <w:rsid w:val="00BB63E1"/>
    <w:rsid w:val="00BB6683"/>
    <w:rsid w:val="00BE372D"/>
    <w:rsid w:val="00C31D4E"/>
    <w:rsid w:val="00C967D6"/>
    <w:rsid w:val="00CB5FE8"/>
    <w:rsid w:val="00CC3CDE"/>
    <w:rsid w:val="00CD57E6"/>
    <w:rsid w:val="00D00E68"/>
    <w:rsid w:val="00DC0AED"/>
    <w:rsid w:val="00E71CFE"/>
    <w:rsid w:val="00EB7934"/>
    <w:rsid w:val="00F213FB"/>
    <w:rsid w:val="00F552F1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68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2B9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82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07AEBB-9F4A-4278-8869-D79C34F1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4</cp:revision>
  <dcterms:created xsi:type="dcterms:W3CDTF">2020-07-07T15:34:00Z</dcterms:created>
  <dcterms:modified xsi:type="dcterms:W3CDTF">2020-07-24T17:43:00Z</dcterms:modified>
  <cp:category/>
</cp:coreProperties>
</file>