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AA47" w14:textId="77777777" w:rsidR="004B197D" w:rsidRDefault="004B197D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4ECE40CD" w14:textId="793EFBED" w:rsidR="00D9525E" w:rsidRPr="00812D2B" w:rsidRDefault="002A7D1A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Atendiendo su solicitud de información No 0</w:t>
      </w:r>
      <w:r w:rsidR="00812D2B">
        <w:rPr>
          <w:rFonts w:ascii="Calibri" w:eastAsia="Calibri" w:hAnsi="Calibri" w:cs="Times New Roman"/>
          <w:sz w:val="22"/>
          <w:szCs w:val="22"/>
          <w:lang w:val="es-MX" w:eastAsia="en-US"/>
        </w:rPr>
        <w:t>06</w:t>
      </w:r>
      <w:r w:rsidR="00B36C12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-2020</w:t>
      </w:r>
      <w:r w:rsidR="00BD1F7C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, en la que hace requerimiento</w:t>
      </w:r>
      <w:r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de información</w:t>
      </w:r>
      <w:r w:rsidR="006A218F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</w:t>
      </w:r>
      <w:r w:rsidR="00812D2B">
        <w:rPr>
          <w:rFonts w:ascii="Calibri" w:hAnsi="Calibri" w:cs="Calibri"/>
          <w:bCs/>
          <w:color w:val="000000"/>
          <w:sz w:val="22"/>
          <w:szCs w:val="22"/>
          <w:lang w:val="es-419"/>
        </w:rPr>
        <w:t>sobre</w:t>
      </w:r>
    </w:p>
    <w:p w14:paraId="022C6FB7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Cantidad de plazas vacantes en la institución</w:t>
      </w:r>
    </w:p>
    <w:p w14:paraId="7DC6635E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Denominaciones</w:t>
      </w:r>
    </w:p>
    <w:p w14:paraId="3EDF0D94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Tiempo sin haber sido asignadas</w:t>
      </w:r>
    </w:p>
    <w:p w14:paraId="0E18BE0F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Bases para aplicar a cada una</w:t>
      </w:r>
    </w:p>
    <w:p w14:paraId="66401060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Áreas a las que se asignan (sedes departamentales o sede central)</w:t>
      </w:r>
    </w:p>
    <w:p w14:paraId="42C1254A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Salario asignado para cada una</w:t>
      </w:r>
    </w:p>
    <w:p w14:paraId="06C06FBD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Modalidad de contratación laboral (Ley de salarios o contrato)</w:t>
      </w:r>
    </w:p>
    <w:p w14:paraId="1F8B4FB2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Tipo de concurso (interno o externo)</w:t>
      </w:r>
    </w:p>
    <w:p w14:paraId="3E7D35AF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Criterios de evaluación y selección</w:t>
      </w:r>
    </w:p>
    <w:p w14:paraId="64814221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 xml:space="preserve">Base legal y argumentación en que se ordena el inicio de cada uno de éstos procesos </w:t>
      </w:r>
    </w:p>
    <w:p w14:paraId="4DD2D7BC" w14:textId="77777777" w:rsidR="00812D2B" w:rsidRPr="00812D2B" w:rsidRDefault="00812D2B" w:rsidP="00812D2B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Cs/>
          <w:sz w:val="22"/>
          <w:szCs w:val="22"/>
          <w:lang w:val="es-419" w:eastAsia="en-US"/>
        </w:rPr>
      </w:pPr>
      <w:r w:rsidRPr="00812D2B">
        <w:rPr>
          <w:rFonts w:ascii="Calibri" w:eastAsia="Calibri" w:hAnsi="Calibri" w:cs="Times New Roman"/>
          <w:bCs/>
          <w:sz w:val="22"/>
          <w:szCs w:val="22"/>
          <w:lang w:val="es-419" w:eastAsia="en-US"/>
        </w:rPr>
        <w:t>Planes o proyectos de asignación de personal a las dependencias de la institución</w:t>
      </w:r>
    </w:p>
    <w:p w14:paraId="2E0EB88C" w14:textId="77777777" w:rsidR="00D9525E" w:rsidRPr="00812D2B" w:rsidRDefault="00D9525E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</w:p>
    <w:p w14:paraId="1140E846" w14:textId="3AE18884" w:rsidR="00D9525E" w:rsidRDefault="00812D2B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>
        <w:rPr>
          <w:rFonts w:ascii="Calibri" w:eastAsia="Calibri" w:hAnsi="Calibri" w:cs="Times New Roman"/>
          <w:sz w:val="22"/>
          <w:szCs w:val="22"/>
          <w:lang w:val="es-MX" w:eastAsia="en-US"/>
        </w:rPr>
        <w:t>Se informa lo siguiente:</w:t>
      </w:r>
    </w:p>
    <w:p w14:paraId="0053BA59" w14:textId="77777777" w:rsidR="00812D2B" w:rsidRDefault="00812D2B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436B172B" w14:textId="4CD7189E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>Cantidad de plazas vacantes en la institución</w:t>
      </w:r>
      <w:r>
        <w:rPr>
          <w:rFonts w:ascii="Calibri" w:eastAsia="Calibri" w:hAnsi="Calibri" w:cs="Times New Roman"/>
        </w:rPr>
        <w:t>:</w:t>
      </w:r>
      <w:r w:rsidRPr="00812D2B">
        <w:rPr>
          <w:rFonts w:ascii="Calibri" w:eastAsia="Calibri" w:hAnsi="Calibri" w:cs="Times New Roman"/>
        </w:rPr>
        <w:t xml:space="preserve"> </w:t>
      </w:r>
      <w:r w:rsidRPr="00812D2B">
        <w:rPr>
          <w:rFonts w:ascii="Calibri" w:eastAsia="Calibri" w:hAnsi="Calibri" w:cs="Times New Roman"/>
          <w:b/>
        </w:rPr>
        <w:t>a la fecha son 21 plazas</w:t>
      </w:r>
    </w:p>
    <w:p w14:paraId="7E64A110" w14:textId="6D7D5324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Tiempo sin haber sido asignadas:</w:t>
      </w:r>
      <w:r w:rsidRPr="00812D2B">
        <w:rPr>
          <w:rFonts w:ascii="Calibri" w:eastAsia="Calibri" w:hAnsi="Calibri" w:cs="Times New Roman"/>
        </w:rPr>
        <w:t xml:space="preserve"> </w:t>
      </w:r>
      <w:r w:rsidRPr="00812D2B">
        <w:rPr>
          <w:rFonts w:ascii="Calibri" w:eastAsia="Calibri" w:hAnsi="Calibri" w:cs="Times New Roman"/>
          <w:b/>
        </w:rPr>
        <w:t xml:space="preserve">desde el mes de octubre se suspendieron las contrataciones por lo que a la fecha llevan al menos 7 o 5 meses de vacancia. </w:t>
      </w:r>
    </w:p>
    <w:p w14:paraId="7583D7D9" w14:textId="77777777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 xml:space="preserve">Bases para aplicar a cada una: </w:t>
      </w:r>
      <w:r w:rsidRPr="00812D2B">
        <w:rPr>
          <w:rFonts w:ascii="Calibri" w:eastAsia="Calibri" w:hAnsi="Calibri" w:cs="Times New Roman"/>
          <w:b/>
        </w:rPr>
        <w:t>la base de cada una de las plazas de la nómina de personal es de conformidad a los perfiles ya establecidos en el Manual de Puestos y Funciones vigente. El cual puede ser descargado de la página web del CONNA.</w:t>
      </w:r>
    </w:p>
    <w:p w14:paraId="5DFC958B" w14:textId="7BEB701B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 xml:space="preserve">Áreas a las que se asignarán: </w:t>
      </w:r>
      <w:r w:rsidRPr="00812D2B">
        <w:rPr>
          <w:rFonts w:ascii="Calibri" w:eastAsia="Calibri" w:hAnsi="Calibri" w:cs="Times New Roman"/>
          <w:b/>
        </w:rPr>
        <w:t>la Dirección Ejecutiva, la Subdirección de Defensa de Derechos Individuales, Subdirección de Registro y Vigilancia, Subdirección de Promoción y Protección de Derechos Colectivos y Difusos, así como a las Juntas de Protección</w:t>
      </w:r>
      <w:r w:rsidRPr="00812D2B">
        <w:rPr>
          <w:rFonts w:ascii="Calibri" w:eastAsia="Calibri" w:hAnsi="Calibri" w:cs="Times New Roman"/>
        </w:rPr>
        <w:t>.</w:t>
      </w:r>
    </w:p>
    <w:p w14:paraId="3E01DD1F" w14:textId="77777777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 xml:space="preserve">Tipo de concurso: </w:t>
      </w:r>
      <w:r w:rsidRPr="00812D2B">
        <w:rPr>
          <w:rFonts w:ascii="Calibri" w:eastAsia="Calibri" w:hAnsi="Calibri" w:cs="Times New Roman"/>
          <w:b/>
        </w:rPr>
        <w:t xml:space="preserve">Mixto </w:t>
      </w:r>
    </w:p>
    <w:p w14:paraId="688CD01E" w14:textId="77777777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 xml:space="preserve">Modalidad de contratación: </w:t>
      </w:r>
      <w:r w:rsidRPr="00812D2B">
        <w:rPr>
          <w:rFonts w:ascii="Calibri" w:eastAsia="Calibri" w:hAnsi="Calibri" w:cs="Times New Roman"/>
          <w:b/>
        </w:rPr>
        <w:t>Contratos</w:t>
      </w:r>
    </w:p>
    <w:p w14:paraId="7D18F147" w14:textId="77777777" w:rsidR="00812D2B" w:rsidRPr="00812D2B" w:rsidRDefault="00812D2B" w:rsidP="00812D2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12D2B">
        <w:rPr>
          <w:rFonts w:ascii="Calibri" w:eastAsia="Calibri" w:hAnsi="Calibri" w:cs="Times New Roman"/>
        </w:rPr>
        <w:t xml:space="preserve">Criterios de evaluación y selección </w:t>
      </w:r>
    </w:p>
    <w:p w14:paraId="1238A888" w14:textId="77777777" w:rsid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</w:p>
    <w:p w14:paraId="40ED1D97" w14:textId="77777777" w:rsidR="00812D2B" w:rsidRP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Criterios de evaluación</w:t>
      </w:r>
    </w:p>
    <w:p w14:paraId="6394F9CD" w14:textId="77777777" w:rsidR="00812D2B" w:rsidRPr="00812D2B" w:rsidRDefault="00812D2B" w:rsidP="00812D2B">
      <w:pPr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>Que los postulantes cumplan con los requisitos mínimos de preparación académica, experiencia y otros que exijan el cargo o puesto al que aspira, debiendo presentar la documentación requerida que acredite la información curricular.</w:t>
      </w:r>
    </w:p>
    <w:p w14:paraId="65402668" w14:textId="77777777" w:rsidR="00812D2B" w:rsidRPr="00812D2B" w:rsidRDefault="00812D2B" w:rsidP="00812D2B">
      <w:pPr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>Aprobar de manera sucesiva cada etapa de evaluaciones del concurso</w:t>
      </w:r>
    </w:p>
    <w:p w14:paraId="410F3D8A" w14:textId="77777777" w:rsid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</w:p>
    <w:p w14:paraId="690E4410" w14:textId="77777777" w:rsidR="00812D2B" w:rsidRP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Criterios de selección</w:t>
      </w:r>
    </w:p>
    <w:p w14:paraId="6356034F" w14:textId="77777777" w:rsidR="00812D2B" w:rsidRP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La idoneidad de los postulantes se determina mediante la aprobación de todas las etapas de evaluaciones siguientes: </w:t>
      </w:r>
    </w:p>
    <w:p w14:paraId="75C9E44F" w14:textId="77777777" w:rsidR="00812D2B" w:rsidRP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5D489924" w14:textId="77777777" w:rsidR="00812D2B" w:rsidRPr="00812D2B" w:rsidRDefault="00812D2B" w:rsidP="00812D2B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Pruebas psicológicas, </w:t>
      </w:r>
    </w:p>
    <w:p w14:paraId="4527F064" w14:textId="77777777" w:rsidR="00812D2B" w:rsidRPr="00812D2B" w:rsidRDefault="00812D2B" w:rsidP="00812D2B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Técnicas o de conocimientos, </w:t>
      </w:r>
    </w:p>
    <w:p w14:paraId="283DFEE7" w14:textId="77777777" w:rsidR="00812D2B" w:rsidRPr="00812D2B" w:rsidRDefault="00812D2B" w:rsidP="00812D2B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Entrevista y </w:t>
      </w:r>
    </w:p>
    <w:p w14:paraId="6D689DD6" w14:textId="77777777" w:rsidR="00812D2B" w:rsidRPr="00812D2B" w:rsidRDefault="00812D2B" w:rsidP="00812D2B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>Referencias laborales</w:t>
      </w:r>
    </w:p>
    <w:p w14:paraId="00B8B386" w14:textId="77777777" w:rsid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17C043D" w14:textId="77777777" w:rsidR="00812D2B" w:rsidRPr="00812D2B" w:rsidRDefault="00812D2B" w:rsidP="00812D2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812D2B">
        <w:rPr>
          <w:rFonts w:ascii="Calibri" w:eastAsia="Calibri" w:hAnsi="Calibri" w:cs="Times New Roman"/>
        </w:rPr>
        <w:t xml:space="preserve">Base legal y argumentación en la que se ordena el inicio de cada uno de estos procesos, </w:t>
      </w:r>
      <w:r w:rsidRPr="00812D2B">
        <w:rPr>
          <w:rFonts w:ascii="Calibri" w:eastAsia="Calibri" w:hAnsi="Calibri" w:cs="Times New Roman"/>
          <w:b/>
        </w:rPr>
        <w:t>según lo establecido en las Normas de Formulación Presupuestaria, Reglamento Interno de Trabajo del Consejo Nacional de la Niñez y de la Adolescencia y Contrato Colectivo de Trabajo del CONNA.</w:t>
      </w:r>
    </w:p>
    <w:p w14:paraId="18251F05" w14:textId="77777777" w:rsidR="00812D2B" w:rsidRDefault="00812D2B" w:rsidP="00812D2B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4C2D837B" w14:textId="091356A1" w:rsidR="00D9525E" w:rsidRPr="004B197D" w:rsidRDefault="00812D2B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812D2B">
        <w:rPr>
          <w:rFonts w:ascii="Calibri" w:eastAsia="Calibri" w:hAnsi="Calibri" w:cs="Times New Roman"/>
          <w:sz w:val="22"/>
          <w:szCs w:val="22"/>
          <w:lang w:val="es-MX" w:eastAsia="en-US"/>
        </w:rPr>
        <w:t>No obstante lo anterior, con base a los artículos 19 literales e) y g) y 20 de la Ley de Acceso a la Información Pública la solicitud de información referente a los siguientes puntos: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 </w:t>
      </w:r>
      <w:r w:rsidR="00297417">
        <w:rPr>
          <w:rFonts w:ascii="Calibri" w:eastAsia="Calibri" w:hAnsi="Calibri" w:cs="Times New Roman"/>
          <w:sz w:val="22"/>
          <w:szCs w:val="22"/>
          <w:lang w:val="es-SV" w:eastAsia="en-US"/>
        </w:rPr>
        <w:t>d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enominaciones, </w:t>
      </w:r>
      <w:r w:rsidR="00297417">
        <w:rPr>
          <w:rFonts w:ascii="Calibri" w:eastAsia="Calibri" w:hAnsi="Calibri" w:cs="Times New Roman"/>
          <w:sz w:val="22"/>
          <w:szCs w:val="22"/>
          <w:lang w:val="es-SV" w:eastAsia="en-US"/>
        </w:rPr>
        <w:t>s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alario asignado para cada una y </w:t>
      </w:r>
      <w:r w:rsidR="00297417">
        <w:rPr>
          <w:rFonts w:ascii="Calibri" w:eastAsia="Calibri" w:hAnsi="Calibri" w:cs="Times New Roman"/>
          <w:sz w:val="22"/>
          <w:szCs w:val="22"/>
          <w:lang w:val="es-SV" w:eastAsia="en-US"/>
        </w:rPr>
        <w:t>p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lanes o </w:t>
      </w:r>
      <w:r w:rsidR="00297417">
        <w:rPr>
          <w:rFonts w:ascii="Calibri" w:eastAsia="Calibri" w:hAnsi="Calibri" w:cs="Times New Roman"/>
          <w:sz w:val="22"/>
          <w:szCs w:val="22"/>
          <w:lang w:val="es-SV" w:eastAsia="en-US"/>
        </w:rPr>
        <w:t>p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>royectos de asignación de per</w:t>
      </w:r>
      <w:r w:rsidR="00297417">
        <w:rPr>
          <w:rFonts w:ascii="Calibri" w:eastAsia="Calibri" w:hAnsi="Calibri" w:cs="Times New Roman"/>
          <w:sz w:val="22"/>
          <w:szCs w:val="22"/>
          <w:lang w:val="es-SV" w:eastAsia="en-US"/>
        </w:rPr>
        <w:t>sonal a las dependencias de la i</w:t>
      </w:r>
      <w:r w:rsidRPr="00812D2B">
        <w:rPr>
          <w:rFonts w:ascii="Calibri" w:eastAsia="Calibri" w:hAnsi="Calibri" w:cs="Times New Roman"/>
          <w:sz w:val="22"/>
          <w:szCs w:val="22"/>
          <w:lang w:val="es-SV" w:eastAsia="en-US"/>
        </w:rPr>
        <w:t>nstitución</w:t>
      </w:r>
      <w:r w:rsidRPr="00812D2B">
        <w:rPr>
          <w:rFonts w:ascii="Calibri" w:eastAsia="Calibri" w:hAnsi="Calibri" w:cs="Times New Roman"/>
          <w:sz w:val="22"/>
          <w:szCs w:val="22"/>
          <w:lang w:val="es-MX" w:eastAsia="en-US"/>
        </w:rPr>
        <w:t>; está siendo analizada y discutida, por lo que constituye información reservada</w:t>
      </w:r>
      <w:r w:rsidR="00297417">
        <w:rPr>
          <w:rFonts w:ascii="Calibri" w:eastAsia="Calibri" w:hAnsi="Calibri" w:cs="Times New Roman"/>
          <w:sz w:val="22"/>
          <w:szCs w:val="22"/>
          <w:lang w:val="es-MX" w:eastAsia="en-US"/>
        </w:rPr>
        <w:t>;</w:t>
      </w:r>
      <w:r w:rsidRPr="00812D2B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puesto que se encuentra en etapa de revisión y diseño de la propuesta, dentro del proceso deliberativo que corresponde, no teniéndose aún la aprobación del Consejo Directivo, por lo que no puede ser divulgado de manera oficiosa. </w:t>
      </w:r>
      <w:bookmarkStart w:id="0" w:name="_GoBack"/>
      <w:bookmarkEnd w:id="0"/>
    </w:p>
    <w:sectPr w:rsidR="00D9525E" w:rsidRPr="004B197D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0FB81" w14:textId="77777777" w:rsidR="00DE342E" w:rsidRDefault="00DE342E">
      <w:pPr>
        <w:spacing w:after="0" w:line="240" w:lineRule="auto"/>
      </w:pPr>
      <w:r>
        <w:separator/>
      </w:r>
    </w:p>
  </w:endnote>
  <w:endnote w:type="continuationSeparator" w:id="0">
    <w:p w14:paraId="12534CC1" w14:textId="77777777" w:rsidR="00DE342E" w:rsidRDefault="00DE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87CE" w14:textId="77777777" w:rsidR="00DE342E" w:rsidRDefault="00DE342E">
      <w:pPr>
        <w:spacing w:after="0" w:line="240" w:lineRule="auto"/>
      </w:pPr>
      <w:r>
        <w:separator/>
      </w:r>
    </w:p>
  </w:footnote>
  <w:footnote w:type="continuationSeparator" w:id="0">
    <w:p w14:paraId="65A663A1" w14:textId="77777777" w:rsidR="00DE342E" w:rsidRDefault="00DE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DE342E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0C8"/>
    <w:multiLevelType w:val="hybridMultilevel"/>
    <w:tmpl w:val="EFAAE0F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706C"/>
    <w:multiLevelType w:val="hybridMultilevel"/>
    <w:tmpl w:val="149AA1D2"/>
    <w:lvl w:ilvl="0" w:tplc="114298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126FA"/>
    <w:multiLevelType w:val="hybridMultilevel"/>
    <w:tmpl w:val="A4C839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49CC"/>
    <w:multiLevelType w:val="hybridMultilevel"/>
    <w:tmpl w:val="A2A893A6"/>
    <w:lvl w:ilvl="0" w:tplc="65B662A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C6C04C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28D"/>
    <w:multiLevelType w:val="hybridMultilevel"/>
    <w:tmpl w:val="8346875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4245"/>
    <w:multiLevelType w:val="hybridMultilevel"/>
    <w:tmpl w:val="02B2DF5C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sz w:val="20"/>
        <w:szCs w:val="20"/>
      </w:rPr>
    </w:lvl>
    <w:lvl w:ilvl="1" w:tplc="C6C04CE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21A09"/>
    <w:multiLevelType w:val="hybridMultilevel"/>
    <w:tmpl w:val="3F168A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85151"/>
    <w:multiLevelType w:val="hybridMultilevel"/>
    <w:tmpl w:val="A8E6335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599"/>
    <w:rsid w:val="00051FC9"/>
    <w:rsid w:val="000B5684"/>
    <w:rsid w:val="000E426C"/>
    <w:rsid w:val="0017300F"/>
    <w:rsid w:val="001B01F6"/>
    <w:rsid w:val="001B2B02"/>
    <w:rsid w:val="002002A1"/>
    <w:rsid w:val="00220E72"/>
    <w:rsid w:val="002446E1"/>
    <w:rsid w:val="00252D72"/>
    <w:rsid w:val="00255594"/>
    <w:rsid w:val="00264521"/>
    <w:rsid w:val="002904FE"/>
    <w:rsid w:val="00297417"/>
    <w:rsid w:val="002A1320"/>
    <w:rsid w:val="002A20CE"/>
    <w:rsid w:val="002A7D1A"/>
    <w:rsid w:val="002D404F"/>
    <w:rsid w:val="002E0E7C"/>
    <w:rsid w:val="003136A7"/>
    <w:rsid w:val="003C262C"/>
    <w:rsid w:val="00404CAF"/>
    <w:rsid w:val="00405232"/>
    <w:rsid w:val="004A6985"/>
    <w:rsid w:val="004B197D"/>
    <w:rsid w:val="004F1318"/>
    <w:rsid w:val="0053188A"/>
    <w:rsid w:val="00556D3A"/>
    <w:rsid w:val="005A5D1F"/>
    <w:rsid w:val="00623116"/>
    <w:rsid w:val="00632F7C"/>
    <w:rsid w:val="006415E5"/>
    <w:rsid w:val="006A218F"/>
    <w:rsid w:val="006B13A8"/>
    <w:rsid w:val="007231B9"/>
    <w:rsid w:val="007717D1"/>
    <w:rsid w:val="00793CA1"/>
    <w:rsid w:val="007B2E4C"/>
    <w:rsid w:val="007C227A"/>
    <w:rsid w:val="00812D2B"/>
    <w:rsid w:val="008D53E0"/>
    <w:rsid w:val="008D5869"/>
    <w:rsid w:val="008E2DAD"/>
    <w:rsid w:val="00927E9B"/>
    <w:rsid w:val="00934A86"/>
    <w:rsid w:val="009500D0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36C12"/>
    <w:rsid w:val="00B66164"/>
    <w:rsid w:val="00BA383F"/>
    <w:rsid w:val="00BB63E1"/>
    <w:rsid w:val="00BB6683"/>
    <w:rsid w:val="00BD1F7C"/>
    <w:rsid w:val="00C31D4E"/>
    <w:rsid w:val="00C967D6"/>
    <w:rsid w:val="00CB5FE8"/>
    <w:rsid w:val="00CC3CDE"/>
    <w:rsid w:val="00D00E68"/>
    <w:rsid w:val="00D9525E"/>
    <w:rsid w:val="00DC0AED"/>
    <w:rsid w:val="00DE342E"/>
    <w:rsid w:val="00EB7934"/>
    <w:rsid w:val="00F213FB"/>
    <w:rsid w:val="00F24D8A"/>
    <w:rsid w:val="00F552F1"/>
    <w:rsid w:val="00FB2E6D"/>
    <w:rsid w:val="00FD0DB2"/>
    <w:rsid w:val="00FD759C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B36C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D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F24D8A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SV" w:eastAsia="en-US"/>
    </w:rPr>
  </w:style>
  <w:style w:type="table" w:styleId="Tabladecuadrcula1clara">
    <w:name w:val="Grid Table 1 Light"/>
    <w:basedOn w:val="Tablanormal"/>
    <w:uiPriority w:val="46"/>
    <w:rsid w:val="00D952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EBD9C1-7205-4D4C-B8A8-4265702D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2020-05-21T18:02:00Z</dcterms:created>
  <dcterms:modified xsi:type="dcterms:W3CDTF">2020-05-21T18:02:00Z</dcterms:modified>
  <cp:category/>
</cp:coreProperties>
</file>