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bookmarkStart w:id="0" w:name="_GoBack"/>
      <w:bookmarkEnd w:id="0"/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81B5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</w:t>
                                </w:r>
                                <w:r w:rsidR="002A156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81B59">
                            <w:rPr>
                              <w:sz w:val="18"/>
                              <w:szCs w:val="18"/>
                              <w:lang w:val="es-SV"/>
                            </w:rPr>
                            <w:t>3</w:t>
                          </w:r>
                          <w:r w:rsidR="002A156D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8778A4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181B59">
        <w:rPr>
          <w:rFonts w:cs="Calibri"/>
          <w:b/>
          <w:w w:val="102"/>
        </w:rPr>
        <w:t>3</w:t>
      </w:r>
      <w:r w:rsidR="002A156D">
        <w:rPr>
          <w:rFonts w:cs="Calibri"/>
          <w:b/>
          <w:w w:val="102"/>
        </w:rPr>
        <w:t>9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2A156D" w:rsidRPr="002A156D">
        <w:rPr>
          <w:rFonts w:cs="Calibri"/>
          <w:b/>
          <w:w w:val="102"/>
        </w:rPr>
        <w:t>2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295FF9">
        <w:tab/>
      </w:r>
      <w:r w:rsidR="00295FF9">
        <w:tab/>
      </w:r>
      <w:r w:rsidR="00295FF9">
        <w:tab/>
      </w:r>
      <w:r w:rsidR="00295FF9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2A156D" w:rsidRPr="002A156D" w:rsidRDefault="002A156D" w:rsidP="002A156D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  <w:r w:rsidRPr="002A156D">
        <w:rPr>
          <w:rFonts w:ascii="Calibri" w:eastAsia="Calibri" w:hAnsi="Calibri" w:cs="Calibri"/>
          <w:w w:val="102"/>
          <w:szCs w:val="21"/>
          <w:lang w:val="es-SV"/>
        </w:rPr>
        <w:t>1.  Reporte de movimiento de cuentas del objeto específico “54305 Servicios de Publicidad” por línea de trabajo y unidad presupuestaria de la institución a la que le remito esta solicitud con información de crédito, devengado, saldo presupuestario desglosado por cada mes del 1 de enero de 2019 al 30 de septiembre de 2019.</w:t>
      </w:r>
    </w:p>
    <w:p w:rsidR="002A156D" w:rsidRPr="002A156D" w:rsidRDefault="002A156D" w:rsidP="002A156D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  <w:r w:rsidRPr="002A156D">
        <w:rPr>
          <w:rFonts w:ascii="Calibri" w:eastAsia="Calibri" w:hAnsi="Calibri" w:cs="Calibri"/>
          <w:w w:val="102"/>
          <w:szCs w:val="21"/>
          <w:lang w:val="es-SV"/>
        </w:rPr>
        <w:t>2.  Todos los contratos de servicios de publicidad adjudicados del 1 de junio de 2019 a la fecha y reportes contables de pagos hasta la fecha.</w:t>
      </w:r>
    </w:p>
    <w:p w:rsidR="002A156D" w:rsidRPr="002A156D" w:rsidRDefault="002A156D" w:rsidP="002A156D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  <w:r w:rsidRPr="002A156D">
        <w:rPr>
          <w:rFonts w:ascii="Calibri" w:eastAsia="Calibri" w:hAnsi="Calibri" w:cs="Calibri"/>
          <w:w w:val="102"/>
          <w:szCs w:val="21"/>
          <w:lang w:val="es-SV"/>
        </w:rPr>
        <w:t>3.  Expedientes de contratación de proveedores de servicios de publicidad y pautas en medios desde el 1 de junio de 2019.</w:t>
      </w:r>
    </w:p>
    <w:p w:rsidR="003955F1" w:rsidRDefault="002A156D" w:rsidP="002A156D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  <w:r w:rsidRPr="002A156D">
        <w:rPr>
          <w:rFonts w:ascii="Calibri" w:eastAsia="Calibri" w:hAnsi="Calibri" w:cs="Calibri"/>
          <w:w w:val="102"/>
          <w:szCs w:val="21"/>
          <w:lang w:val="es-SV"/>
        </w:rPr>
        <w:t>4.  Listado de la distribución de la pauta en todos los medios de comunicación del 1 de junio de 2019 a la fecha.</w:t>
      </w:r>
    </w:p>
    <w:p w:rsidR="002A156D" w:rsidRDefault="002A156D" w:rsidP="002A156D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A156D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2A156D">
        <w:rPr>
          <w:rFonts w:cs="Calibri"/>
          <w:color w:val="000000" w:themeColor="text1"/>
          <w:w w:val="102"/>
          <w:lang w:val="es-SV"/>
        </w:rPr>
        <w:t>catorce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>de octubre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lastRenderedPageBreak/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DC" w:rsidRDefault="00B273DC" w:rsidP="007E276E">
      <w:r>
        <w:separator/>
      </w:r>
    </w:p>
  </w:endnote>
  <w:endnote w:type="continuationSeparator" w:id="0">
    <w:p w:rsidR="00B273DC" w:rsidRDefault="00B273D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DC" w:rsidRDefault="00B273DC" w:rsidP="007E276E">
      <w:r>
        <w:separator/>
      </w:r>
    </w:p>
  </w:footnote>
  <w:footnote w:type="continuationSeparator" w:id="0">
    <w:p w:rsidR="00B273DC" w:rsidRDefault="00B273DC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287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4C2235" w:rsidTr="004C2235">
      <w:trPr>
        <w:trHeight w:val="496"/>
      </w:trPr>
      <w:tc>
        <w:tcPr>
          <w:tcW w:w="3024" w:type="dxa"/>
        </w:tcPr>
        <w:p w:rsidR="004C2235" w:rsidRPr="000A541C" w:rsidRDefault="004C2235" w:rsidP="004C2235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4C2235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95FF9"/>
    <w:rsid w:val="002A1289"/>
    <w:rsid w:val="002A156D"/>
    <w:rsid w:val="002B178D"/>
    <w:rsid w:val="002C0EC1"/>
    <w:rsid w:val="002E70D2"/>
    <w:rsid w:val="00325DBA"/>
    <w:rsid w:val="0034392B"/>
    <w:rsid w:val="003575C6"/>
    <w:rsid w:val="00371612"/>
    <w:rsid w:val="003955F1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2235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E4FC1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1E93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273DC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E7A99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63DC-3308-45E4-9167-5622A1A8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2019-10-14T22:58:00Z</cp:lastPrinted>
  <dcterms:created xsi:type="dcterms:W3CDTF">2020-07-06T15:55:00Z</dcterms:created>
  <dcterms:modified xsi:type="dcterms:W3CDTF">2020-07-24T15:48:00Z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