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F1" w:rsidRPr="001147F1" w:rsidRDefault="00FB36C4" w:rsidP="001147F1">
      <w:pPr>
        <w:pStyle w:val="Ttulo1"/>
        <w:tabs>
          <w:tab w:val="center" w:pos="7999"/>
          <w:tab w:val="left" w:pos="8550"/>
          <w:tab w:val="left" w:pos="9030"/>
        </w:tabs>
        <w:spacing w:line="930" w:lineRule="exact"/>
        <w:ind w:right="103"/>
        <w:rPr>
          <w:color w:val="023E87"/>
          <w:sz w:val="16"/>
          <w:szCs w:val="24"/>
          <w:lang w:val="es-SV"/>
        </w:rPr>
      </w:pPr>
      <w:r w:rsidRPr="006B4F95">
        <w:rPr>
          <w:noProof/>
          <w:color w:val="023E87"/>
          <w:sz w:val="16"/>
          <w:szCs w:val="24"/>
          <w:lang w:val="es-SV" w:eastAsia="es-SV"/>
        </w:rPr>
        <mc:AlternateContent>
          <mc:Choice Requires="wps">
            <w:drawing>
              <wp:anchor distT="45720" distB="45720" distL="114300" distR="114300" simplePos="0" relativeHeight="251734016" behindDoc="0" locked="0" layoutInCell="1" allowOverlap="1" wp14:anchorId="721C6CF7" wp14:editId="478D4434">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rsidR="006B4F95" w:rsidRPr="006B4F95" w:rsidRDefault="006B4F95">
                            <w:pPr>
                              <w:rPr>
                                <w:lang w:val="es-SV"/>
                              </w:rPr>
                            </w:pPr>
                            <w:r>
                              <w:rPr>
                                <w:lang w:val="es-SV"/>
                              </w:rPr>
                              <w:t>N°</w:t>
                            </w:r>
                            <w:r w:rsidR="00FB36C4">
                              <w:rPr>
                                <w:lang w:val="es-SV"/>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C6CF7" id="_x0000_t202" coordsize="21600,21600" o:spt="202" path="m,l,21600r21600,l21600,xe">
                <v:stroke joinstyle="miter"/>
                <v:path gradientshapeok="t" o:connecttype="rect"/>
              </v:shapetype>
              <v:shape id="Cuadro de texto 2" o:spid="_x0000_s1026" type="#_x0000_t202" style="position:absolute;left:0;text-align:left;margin-left:369.7pt;margin-top:15.5pt;width:27.75pt;height:19.3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jKAIAAEwEAAAOAAAAZHJzL2Uyb0RvYy54bWysVNtu2zAMfR+wfxD0vjj2krU14hRdugwD&#10;ugvQ7QNoSY6FyaInKbG7ry8lp1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">
                <v:textbox>
                  <w:txbxContent>
                    <w:p w:rsidR="006B4F95" w:rsidRPr="006B4F95" w:rsidRDefault="006B4F95">
                      <w:pPr>
                        <w:rPr>
                          <w:lang w:val="es-SV"/>
                        </w:rPr>
                      </w:pPr>
                      <w:r>
                        <w:rPr>
                          <w:lang w:val="es-SV"/>
                        </w:rPr>
                        <w:t>N°</w:t>
                      </w:r>
                      <w:r w:rsidR="00FB36C4">
                        <w:rPr>
                          <w:lang w:val="es-SV"/>
                        </w:rPr>
                        <w:t xml:space="preserve">                </w:t>
                      </w:r>
                    </w:p>
                  </w:txbxContent>
                </v:textbox>
                <w10:wrap type="square" anchorx="margin"/>
              </v:shape>
            </w:pict>
          </mc:Fallback>
        </mc:AlternateContent>
      </w:r>
      <w:r>
        <w:rPr>
          <w:noProof/>
          <w:sz w:val="16"/>
          <w:szCs w:val="24"/>
          <w:lang w:val="es-SV" w:eastAsia="es-SV"/>
        </w:rPr>
        <mc:AlternateContent>
          <mc:Choice Requires="wpg">
            <w:drawing>
              <wp:anchor distT="0" distB="0" distL="114300" distR="114300" simplePos="0" relativeHeight="251642880" behindDoc="1" locked="0" layoutInCell="1" allowOverlap="1" wp14:anchorId="117E5E21" wp14:editId="37EDC64B">
                <wp:simplePos x="0" y="0"/>
                <wp:positionH relativeFrom="page">
                  <wp:posOffset>5856051</wp:posOffset>
                </wp:positionH>
                <wp:positionV relativeFrom="paragraph">
                  <wp:posOffset>168561</wp:posOffset>
                </wp:positionV>
                <wp:extent cx="1050290" cy="312175"/>
                <wp:effectExtent l="0" t="0" r="0" b="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2175"/>
                          <a:chOff x="8330" y="-899"/>
                          <a:chExt cx="1641" cy="388"/>
                        </a:xfrm>
                      </wpg:grpSpPr>
                      <wpg:grpSp>
                        <wpg:cNvPr id="104" name="Group 169"/>
                        <wpg:cNvGrpSpPr>
                          <a:grpSpLocks/>
                        </wpg:cNvGrpSpPr>
                        <wpg:grpSpPr bwMode="auto">
                          <a:xfrm>
                            <a:off x="8396" y="-899"/>
                            <a:ext cx="1575" cy="388"/>
                            <a:chOff x="8396" y="-899"/>
                            <a:chExt cx="1575" cy="388"/>
                          </a:xfrm>
                        </wpg:grpSpPr>
                        <wps:wsp>
                          <wps:cNvPr id="105" name="Freeform 170"/>
                          <wps:cNvSpPr>
                            <a:spLocks/>
                          </wps:cNvSpPr>
                          <wps:spPr bwMode="auto">
                            <a:xfrm>
                              <a:off x="8396" y="-899"/>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4505B" w:rsidRPr="00BD5B91" w:rsidRDefault="001147F1" w:rsidP="006D5D78">
                                <w:pPr>
                                  <w:jc w:val="center"/>
                                  <w:rPr>
                                    <w:sz w:val="18"/>
                                    <w:szCs w:val="18"/>
                                    <w:lang w:val="es-SV"/>
                                  </w:rPr>
                                </w:pPr>
                                <w:r>
                                  <w:rPr>
                                    <w:sz w:val="18"/>
                                    <w:szCs w:val="18"/>
                                    <w:lang w:val="es-SV"/>
                                  </w:rPr>
                                  <w:t>0</w:t>
                                </w:r>
                                <w:r w:rsidR="00C41A98">
                                  <w:rPr>
                                    <w:sz w:val="18"/>
                                    <w:szCs w:val="18"/>
                                    <w:lang w:val="es-SV"/>
                                  </w:rPr>
                                  <w:t>2</w:t>
                                </w:r>
                                <w:r w:rsidR="0073580C">
                                  <w:rPr>
                                    <w:sz w:val="18"/>
                                    <w:szCs w:val="18"/>
                                    <w:lang w:val="es-SV"/>
                                  </w:rPr>
                                  <w:t>4</w:t>
                                </w:r>
                                <w:r w:rsidR="0026499B">
                                  <w:rPr>
                                    <w:sz w:val="18"/>
                                    <w:szCs w:val="18"/>
                                    <w:lang w:val="es-SV"/>
                                  </w:rPr>
                                  <w:t>/201</w:t>
                                </w:r>
                                <w:r w:rsidR="00AF1772">
                                  <w:rPr>
                                    <w:sz w:val="18"/>
                                    <w:szCs w:val="18"/>
                                    <w:lang w:val="es-SV"/>
                                  </w:rPr>
                                  <w:t>9</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7E5E21" id="Group 166" o:spid="_x0000_s1027" style="position:absolute;left:0;text-align:left;margin-left:461.1pt;margin-top:13.25pt;width:82.7pt;height:24.6pt;z-index:-251673600;mso-position-horizontal-relative:page" coordorigin="8330,-899" coordsize="16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">
                <v:group id="Group 169" o:spid="_x0000_s1028" style="position:absolute;left:8396;top:-899;width:1575;height:388" coordorigin="8396,-899"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9" style="position:absolute;left:8396;top:-899;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rsidR="00B4505B" w:rsidRPr="00BD5B91" w:rsidRDefault="001147F1" w:rsidP="006D5D78">
                          <w:pPr>
                            <w:jc w:val="center"/>
                            <w:rPr>
                              <w:sz w:val="18"/>
                              <w:szCs w:val="18"/>
                              <w:lang w:val="es-SV"/>
                            </w:rPr>
                          </w:pPr>
                          <w:r>
                            <w:rPr>
                              <w:sz w:val="18"/>
                              <w:szCs w:val="18"/>
                              <w:lang w:val="es-SV"/>
                            </w:rPr>
                            <w:t>0</w:t>
                          </w:r>
                          <w:r w:rsidR="00C41A98">
                            <w:rPr>
                              <w:sz w:val="18"/>
                              <w:szCs w:val="18"/>
                              <w:lang w:val="es-SV"/>
                            </w:rPr>
                            <w:t>2</w:t>
                          </w:r>
                          <w:r w:rsidR="0073580C">
                            <w:rPr>
                              <w:sz w:val="18"/>
                              <w:szCs w:val="18"/>
                              <w:lang w:val="es-SV"/>
                            </w:rPr>
                            <w:t>4</w:t>
                          </w:r>
                          <w:r w:rsidR="0026499B">
                            <w:rPr>
                              <w:sz w:val="18"/>
                              <w:szCs w:val="18"/>
                              <w:lang w:val="es-SV"/>
                            </w:rPr>
                            <w:t>/201</w:t>
                          </w:r>
                          <w:r w:rsidR="00AF1772">
                            <w:rPr>
                              <w:sz w:val="18"/>
                              <w:szCs w:val="18"/>
                              <w:lang w:val="es-SV"/>
                            </w:rPr>
                            <w:t>9</w:t>
                          </w:r>
                        </w:p>
                      </w:txbxContent>
                    </v:textbox>
                  </v:shape>
                </v:group>
                <v:group id="Group 167" o:spid="_x0000_s1030"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1"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00AC15CA" w:rsidRPr="00E34D5C">
        <w:rPr>
          <w:rFonts w:asciiTheme="minorHAnsi" w:hAnsiTheme="minorHAnsi"/>
          <w:b w:val="0"/>
          <w:noProof/>
          <w:color w:val="000000" w:themeColor="text1"/>
          <w:sz w:val="40"/>
          <w:szCs w:val="40"/>
          <w:lang w:val="es-SV" w:eastAsia="es-SV"/>
        </w:rPr>
        <mc:AlternateContent>
          <mc:Choice Requires="wps">
            <w:drawing>
              <wp:anchor distT="45720" distB="45720" distL="114300" distR="114300" simplePos="0" relativeHeight="251736064" behindDoc="0" locked="0" layoutInCell="1" allowOverlap="1" wp14:anchorId="37DD0ED4" wp14:editId="368E9DDA">
                <wp:simplePos x="0" y="0"/>
                <wp:positionH relativeFrom="column">
                  <wp:posOffset>184150</wp:posOffset>
                </wp:positionH>
                <wp:positionV relativeFrom="paragraph">
                  <wp:posOffset>12065</wp:posOffset>
                </wp:positionV>
                <wp:extent cx="1343025" cy="752475"/>
                <wp:effectExtent l="0" t="0" r="28575" b="2857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52475"/>
                        </a:xfrm>
                        <a:prstGeom prst="rect">
                          <a:avLst/>
                        </a:prstGeom>
                        <a:solidFill>
                          <a:srgbClr val="FFFFFF"/>
                        </a:solidFill>
                        <a:ln w="3175">
                          <a:solidFill>
                            <a:schemeClr val="bg1"/>
                          </a:solidFill>
                          <a:miter lim="800000"/>
                          <a:headEnd/>
                          <a:tailEnd/>
                        </a:ln>
                      </wps:spPr>
                      <wps:txb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D0ED4" id="_x0000_s1032" type="#_x0000_t202" style="position:absolute;left:0;text-align:left;margin-left:14.5pt;margin-top:.95pt;width:105.75pt;height:59.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" strokecolor="white [3212]" strokeweight=".25pt">
                <v:textbo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v:textbox>
                <w10:wrap type="square"/>
              </v:shape>
            </w:pict>
          </mc:Fallback>
        </mc:AlternateContent>
      </w:r>
      <w:r w:rsidR="00E0456F">
        <w:rPr>
          <w:noProof/>
          <w:sz w:val="16"/>
          <w:szCs w:val="24"/>
          <w:lang w:val="es-SV" w:eastAsia="es-SV"/>
        </w:rPr>
        <mc:AlternateContent>
          <mc:Choice Requires="wpg">
            <w:drawing>
              <wp:anchor distT="0" distB="0" distL="114300" distR="114300" simplePos="0" relativeHeight="251731968" behindDoc="1" locked="0" layoutInCell="1" allowOverlap="1" wp14:anchorId="5D74892E" wp14:editId="5ABF8D97">
                <wp:simplePos x="0" y="0"/>
                <wp:positionH relativeFrom="page">
                  <wp:posOffset>4544471</wp:posOffset>
                </wp:positionH>
                <wp:positionV relativeFrom="paragraph">
                  <wp:posOffset>-234729</wp:posOffset>
                </wp:positionV>
                <wp:extent cx="2765033" cy="951949"/>
                <wp:effectExtent l="0" t="0" r="0" b="635"/>
                <wp:wrapNone/>
                <wp:docPr id="3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033" cy="951949"/>
                          <a:chOff x="8330" y="-863"/>
                          <a:chExt cx="1867" cy="988"/>
                        </a:xfrm>
                      </wpg:grpSpPr>
                      <wpg:grpSp>
                        <wpg:cNvPr id="39" name="Group 169"/>
                        <wpg:cNvGrpSpPr>
                          <a:grpSpLocks/>
                        </wpg:cNvGrpSpPr>
                        <wpg:grpSpPr bwMode="auto">
                          <a:xfrm>
                            <a:off x="8622" y="-201"/>
                            <a:ext cx="1575" cy="326"/>
                            <a:chOff x="8622" y="-201"/>
                            <a:chExt cx="1575" cy="326"/>
                          </a:xfrm>
                        </wpg:grpSpPr>
                        <wps:wsp>
                          <wps:cNvPr id="45" name="Freeform 170"/>
                          <wps:cNvSpPr>
                            <a:spLocks/>
                          </wps:cNvSpPr>
                          <wps:spPr bwMode="auto">
                            <a:xfrm>
                              <a:off x="8622" y="-201"/>
                              <a:ext cx="1575" cy="326"/>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noFill/>
                            <a:ln w="9525">
                              <a:noFill/>
                              <a:round/>
                              <a:headEnd/>
                              <a:tailEnd/>
                            </a:ln>
                            <a:extLst/>
                          </wps:spPr>
                          <wps:txbx>
                            <w:txbxContent>
                              <w:p w:rsidR="00E0456F" w:rsidRPr="00E0456F" w:rsidRDefault="00E0456F" w:rsidP="00E0456F">
                                <w:pPr>
                                  <w:jc w:val="center"/>
                                  <w:rPr>
                                    <w:color w:val="808080" w:themeColor="background1" w:themeShade="80"/>
                                    <w:sz w:val="18"/>
                                    <w:lang w:val="es-SV"/>
                                  </w:rPr>
                                </w:pPr>
                              </w:p>
                            </w:txbxContent>
                          </wps:txbx>
                          <wps:bodyPr rot="0" vert="horz" wrap="square" lIns="91440" tIns="45720" rIns="91440" bIns="45720" anchor="t" anchorCtr="0" upright="1">
                            <a:noAutofit/>
                          </wps:bodyPr>
                        </wps:wsp>
                      </wpg:grpSp>
                      <wpg:grpSp>
                        <wpg:cNvPr id="46" name="Group 167"/>
                        <wpg:cNvGrpSpPr>
                          <a:grpSpLocks/>
                        </wpg:cNvGrpSpPr>
                        <wpg:grpSpPr bwMode="auto">
                          <a:xfrm>
                            <a:off x="8330" y="-863"/>
                            <a:ext cx="1555" cy="306"/>
                            <a:chOff x="8330" y="-863"/>
                            <a:chExt cx="1555" cy="306"/>
                          </a:xfrm>
                        </wpg:grpSpPr>
                        <wps:wsp>
                          <wps:cNvPr id="4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74892E" id="_x0000_s1033" style="position:absolute;left:0;text-align:left;margin-left:357.85pt;margin-top:-18.5pt;width:217.7pt;height:74.95pt;z-index:-251584512;mso-position-horizontal-relative:page" coordorigin="8330,-863" coordsize="186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">
                <v:group id="Group 169" o:spid="_x0000_s1034" style="position:absolute;left:8622;top:-201;width:1575;height:326" coordorigin="8622,-201" coordsize="157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70" o:spid="_x0000_s1035" style="position:absolute;left:8622;top:-201;width:1575;height:326;visibility:visible;mso-wrap-style:square;v-text-anchor:top"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8UMQA&#10;AADbAAAADwAAAGRycy9kb3ducmV2LnhtbESPQWvCQBSE74X+h+UJvdWN0VaJrlK0BT2aSsDbI/tM&#10;0mbfht2txn/vCgWPw8x8wyxWvWnFmZxvLCsYDRMQxKXVDVcKDt9frzMQPiBrbC2Tgit5WC2fnxaY&#10;aXvhPZ3zUIkIYZ+hgjqELpPSlzUZ9EPbEUfvZJ3BEKWrpHZ4iXDTyjRJ3qXBhuNCjR2tayp/8z+j&#10;oJileer2x2vyU0w3Zjs+bIrdp1Ivg/5jDiJQHx7h//ZWK5i8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fFDEAAAA2wAAAA8AAAAAAAAAAAAAAAAAmAIAAGRycy9k&#10;b3ducmV2LnhtbFBLBQYAAAAABAAEAPUAAACJAwAAAAA=&#10;" adj="-11796480,,5400" path="m,325r1575,l1575,,,,,325xe" filled="f" stroked="f">
                    <v:stroke joinstyle="round"/>
                    <v:formulas/>
                    <v:path arrowok="t" o:connecttype="custom" o:connectlocs="0,-548;1575,-548;1575,-873;0,-873;0,-548" o:connectangles="0,0,0,0,0" textboxrect="0,0,1575,326"/>
                    <v:textbox>
                      <w:txbxContent>
                        <w:p w:rsidR="00E0456F" w:rsidRPr="00E0456F" w:rsidRDefault="00E0456F" w:rsidP="00E0456F">
                          <w:pPr>
                            <w:jc w:val="center"/>
                            <w:rPr>
                              <w:color w:val="808080" w:themeColor="background1" w:themeShade="80"/>
                              <w:sz w:val="18"/>
                              <w:lang w:val="es-SV"/>
                            </w:rPr>
                          </w:pPr>
                        </w:p>
                      </w:txbxContent>
                    </v:textbox>
                  </v:shape>
                </v:group>
                <v:group id="Group 167" o:spid="_x0000_s1036"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8" o:spid="_x0000_s1037"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y38EA&#10;AADbAAAADwAAAGRycy9kb3ducmV2LnhtbESPT4vCMBTE78J+h/AWvGm6/lmlGmURBMHT6iIeH82z&#10;KTYvJYm1fnsjCHscZuY3zHLd2Vq05EPlWMHXMANBXDhdcang77gdzEGEiKyxdkwKHhRgvfroLTHX&#10;7s6/1B5iKRKEQ44KTIxNLmUoDFkMQ9cQJ+/ivMWYpC+l9nhPcFvLUZZ9S4sVpwWDDW0MFdfDzSoI&#10;Z7ObZjgOJZ1aH/en7ZRHtVL9z+5nASJSF//D7/ZOK5jM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8t/BAAAA2wAAAA8AAAAAAAAAAAAAAAAAmAIAAGRycy9kb3du&#10;cmV2LnhtbFBLBQYAAAAABAAEAPUAAACGAwAAAAA=&#10;" path="m,305r1555,l1555,,,,,305xe" filled="f" stroked="f" strokeweight="1pt">
                    <v:path arrowok="t" o:connecttype="custom" o:connectlocs="0,-558;1555,-558;1555,-863;0,-863;0,-558" o:connectangles="0,0,0,0,0"/>
                  </v:shape>
                </v:group>
                <w10:wrap anchorx="page"/>
              </v:group>
            </w:pict>
          </mc:Fallback>
        </mc:AlternateContent>
      </w:r>
      <w:r w:rsidR="00E0456F">
        <w:rPr>
          <w:color w:val="023E87"/>
          <w:sz w:val="16"/>
          <w:szCs w:val="24"/>
          <w:lang w:val="es-SV"/>
        </w:rPr>
        <w:tab/>
      </w:r>
    </w:p>
    <w:p w:rsidR="005B578A" w:rsidRDefault="002B178D" w:rsidP="006C5F9D">
      <w:pPr>
        <w:pStyle w:val="Ttulo1"/>
        <w:spacing w:line="930" w:lineRule="exact"/>
        <w:ind w:left="0" w:right="103"/>
        <w:jc w:val="center"/>
        <w:rPr>
          <w:rFonts w:asciiTheme="minorHAnsi" w:hAnsiTheme="minorHAnsi"/>
          <w:color w:val="000000" w:themeColor="text1"/>
          <w:sz w:val="36"/>
          <w:szCs w:val="36"/>
          <w:lang w:val="es-SV"/>
        </w:rPr>
      </w:pPr>
      <w:r>
        <w:rPr>
          <w:rFonts w:asciiTheme="minorHAnsi" w:hAnsiTheme="minorHAnsi"/>
          <w:color w:val="000000" w:themeColor="text1"/>
          <w:sz w:val="36"/>
          <w:szCs w:val="36"/>
          <w:lang w:val="es-SV"/>
        </w:rPr>
        <w:t>R</w:t>
      </w:r>
      <w:r w:rsidRPr="002B178D">
        <w:rPr>
          <w:rFonts w:asciiTheme="minorHAnsi" w:hAnsiTheme="minorHAnsi"/>
          <w:color w:val="000000" w:themeColor="text1"/>
          <w:sz w:val="36"/>
          <w:szCs w:val="36"/>
          <w:lang w:val="es-SV"/>
        </w:rPr>
        <w:t xml:space="preserve">esolución de </w:t>
      </w:r>
      <w:r w:rsidR="00150518">
        <w:rPr>
          <w:rFonts w:asciiTheme="minorHAnsi" w:hAnsiTheme="minorHAnsi"/>
          <w:color w:val="000000" w:themeColor="text1"/>
          <w:sz w:val="36"/>
          <w:szCs w:val="36"/>
          <w:lang w:val="es-SV"/>
        </w:rPr>
        <w:t>Solicitud</w:t>
      </w:r>
      <w:r w:rsidRPr="002B178D">
        <w:rPr>
          <w:rFonts w:asciiTheme="minorHAnsi" w:hAnsiTheme="minorHAnsi"/>
          <w:color w:val="000000" w:themeColor="text1"/>
          <w:sz w:val="36"/>
          <w:szCs w:val="36"/>
          <w:lang w:val="es-SV"/>
        </w:rPr>
        <w:t xml:space="preserve"> </w:t>
      </w:r>
      <w:r w:rsidR="00150518">
        <w:rPr>
          <w:rFonts w:asciiTheme="minorHAnsi" w:hAnsiTheme="minorHAnsi"/>
          <w:color w:val="000000" w:themeColor="text1"/>
          <w:sz w:val="36"/>
          <w:szCs w:val="36"/>
          <w:lang w:val="es-SV"/>
        </w:rPr>
        <w:t>de I</w:t>
      </w:r>
      <w:r w:rsidRPr="002B178D">
        <w:rPr>
          <w:rFonts w:asciiTheme="minorHAnsi" w:hAnsiTheme="minorHAnsi"/>
          <w:color w:val="000000" w:themeColor="text1"/>
          <w:sz w:val="36"/>
          <w:szCs w:val="36"/>
          <w:lang w:val="es-SV"/>
        </w:rPr>
        <w:t>nformación</w:t>
      </w:r>
    </w:p>
    <w:p w:rsidR="00D0230D" w:rsidRPr="007F03F4" w:rsidRDefault="002B178D" w:rsidP="007762DC">
      <w:pPr>
        <w:pStyle w:val="Textosinformato"/>
        <w:jc w:val="both"/>
        <w:rPr>
          <w:rFonts w:cs="Calibri"/>
          <w:b/>
          <w:w w:val="102"/>
        </w:rPr>
      </w:pPr>
      <w:r>
        <w:rPr>
          <w:rFonts w:cs="Calibri"/>
          <w:w w:val="102"/>
        </w:rPr>
        <w:t xml:space="preserve">El Consejo Nacional de la Niñez y de la Adolescencia, </w:t>
      </w:r>
      <w:r w:rsidRPr="002B178D">
        <w:rPr>
          <w:rFonts w:cs="Calibri"/>
          <w:w w:val="102"/>
        </w:rPr>
        <w:t xml:space="preserve">luego de haber recibido y admitido la solicitud de información </w:t>
      </w:r>
      <w:r w:rsidRPr="009014BA">
        <w:rPr>
          <w:rFonts w:cs="Calibri"/>
          <w:b/>
          <w:w w:val="102"/>
        </w:rPr>
        <w:t>No. 0</w:t>
      </w:r>
      <w:r w:rsidR="005511A9">
        <w:rPr>
          <w:rFonts w:cs="Calibri"/>
          <w:b/>
          <w:w w:val="102"/>
        </w:rPr>
        <w:t>2</w:t>
      </w:r>
      <w:r w:rsidR="0073580C">
        <w:rPr>
          <w:rFonts w:cs="Calibri"/>
          <w:b/>
          <w:w w:val="102"/>
        </w:rPr>
        <w:t>4</w:t>
      </w:r>
      <w:r w:rsidRPr="009014BA">
        <w:rPr>
          <w:rFonts w:cs="Calibri"/>
          <w:b/>
          <w:w w:val="102"/>
        </w:rPr>
        <w:t>/201</w:t>
      </w:r>
      <w:r w:rsidR="00AF1772">
        <w:rPr>
          <w:rFonts w:cs="Calibri"/>
          <w:b/>
          <w:w w:val="102"/>
        </w:rPr>
        <w:t>9</w:t>
      </w:r>
      <w:r w:rsidRPr="002B178D">
        <w:rPr>
          <w:rFonts w:cs="Calibri"/>
          <w:w w:val="102"/>
        </w:rPr>
        <w:t xml:space="preserve">,  presentada ante la </w:t>
      </w:r>
      <w:r>
        <w:rPr>
          <w:rFonts w:cs="Calibri"/>
          <w:w w:val="102"/>
        </w:rPr>
        <w:t>Unidad de Acceso a la Información Pública</w:t>
      </w:r>
      <w:r w:rsidRPr="002B178D">
        <w:rPr>
          <w:rFonts w:cs="Calibri"/>
          <w:w w:val="102"/>
        </w:rPr>
        <w:t xml:space="preserve"> de esta dependencia </w:t>
      </w:r>
      <w:r w:rsidR="00D15B31">
        <w:rPr>
          <w:rFonts w:cs="Calibri"/>
          <w:w w:val="102"/>
        </w:rPr>
        <w:t xml:space="preserve">el </w:t>
      </w:r>
      <w:r w:rsidR="0073580C">
        <w:rPr>
          <w:rFonts w:cs="Calibri"/>
          <w:b/>
          <w:w w:val="102"/>
        </w:rPr>
        <w:t>12</w:t>
      </w:r>
      <w:r w:rsidR="005511A9">
        <w:rPr>
          <w:rFonts w:cs="Calibri"/>
          <w:b/>
          <w:w w:val="102"/>
        </w:rPr>
        <w:t xml:space="preserve"> de jul</w:t>
      </w:r>
      <w:r w:rsidR="00C5094C">
        <w:rPr>
          <w:rFonts w:cs="Calibri"/>
          <w:b/>
          <w:w w:val="102"/>
        </w:rPr>
        <w:t>io</w:t>
      </w:r>
      <w:r w:rsidR="00A05DD6" w:rsidRPr="00A05DD6">
        <w:rPr>
          <w:rFonts w:cs="Calibri"/>
          <w:b/>
          <w:w w:val="102"/>
        </w:rPr>
        <w:t xml:space="preserve"> </w:t>
      </w:r>
      <w:r w:rsidR="00F133DE" w:rsidRPr="00A05DD6">
        <w:rPr>
          <w:rFonts w:cs="Arial"/>
          <w:b/>
        </w:rPr>
        <w:t>de 201</w:t>
      </w:r>
      <w:r w:rsidR="00AF1772">
        <w:rPr>
          <w:rFonts w:cs="Arial"/>
          <w:b/>
        </w:rPr>
        <w:t>9</w:t>
      </w:r>
      <w:r w:rsidR="00C5094C">
        <w:rPr>
          <w:b/>
        </w:rPr>
        <w:t>,</w:t>
      </w:r>
      <w:r w:rsidR="001049BD">
        <w:rPr>
          <w:b/>
        </w:rPr>
        <w:t xml:space="preserve">                                                </w:t>
      </w:r>
      <w:bookmarkStart w:id="0" w:name="_GoBack"/>
      <w:bookmarkEnd w:id="0"/>
      <w:r w:rsidR="00C5094C">
        <w:rPr>
          <w:b/>
        </w:rPr>
        <w:t xml:space="preserve"> </w:t>
      </w:r>
      <w:r w:rsidR="00761777">
        <w:rPr>
          <w:rFonts w:ascii="Arial" w:hAnsi="Arial" w:cs="Arial"/>
          <w:sz w:val="20"/>
          <w:szCs w:val="20"/>
        </w:rPr>
        <w:t>mediante la cual</w:t>
      </w:r>
      <w:r w:rsidR="000D0F4B">
        <w:rPr>
          <w:rFonts w:ascii="Arial" w:hAnsi="Arial" w:cs="Arial"/>
          <w:sz w:val="20"/>
          <w:szCs w:val="20"/>
        </w:rPr>
        <w:t xml:space="preserve"> solicit</w:t>
      </w:r>
      <w:r w:rsidR="00A05DD6">
        <w:rPr>
          <w:rFonts w:ascii="Arial" w:hAnsi="Arial" w:cs="Arial"/>
          <w:sz w:val="20"/>
          <w:szCs w:val="20"/>
        </w:rPr>
        <w:t>a</w:t>
      </w:r>
      <w:r w:rsidR="000D0F4B">
        <w:rPr>
          <w:rFonts w:ascii="Arial" w:hAnsi="Arial" w:cs="Arial"/>
          <w:sz w:val="20"/>
          <w:szCs w:val="20"/>
        </w:rPr>
        <w:t xml:space="preserve"> </w:t>
      </w:r>
      <w:r w:rsidR="00006F54">
        <w:rPr>
          <w:rFonts w:ascii="Arial" w:hAnsi="Arial" w:cs="Arial"/>
          <w:sz w:val="20"/>
          <w:szCs w:val="20"/>
        </w:rPr>
        <w:t xml:space="preserve"> lo siguiente</w:t>
      </w:r>
      <w:r w:rsidR="00D77CF3">
        <w:rPr>
          <w:rFonts w:ascii="Arial" w:hAnsi="Arial" w:cs="Arial"/>
          <w:sz w:val="20"/>
          <w:szCs w:val="20"/>
        </w:rPr>
        <w:t>:</w:t>
      </w:r>
    </w:p>
    <w:p w:rsidR="002456B0" w:rsidRDefault="002456B0" w:rsidP="007762DC">
      <w:pPr>
        <w:jc w:val="both"/>
        <w:rPr>
          <w:rFonts w:ascii="Calibri" w:eastAsia="Calibri" w:hAnsi="Calibri" w:cs="Times New Roman"/>
          <w:i/>
          <w:szCs w:val="21"/>
          <w:lang w:val="es-SV"/>
        </w:rPr>
      </w:pPr>
    </w:p>
    <w:p w:rsidR="0073580C" w:rsidRDefault="0073580C" w:rsidP="0073580C">
      <w:pPr>
        <w:jc w:val="both"/>
        <w:rPr>
          <w:rFonts w:cs="Arial"/>
          <w:color w:val="000000"/>
          <w:lang w:val="es-SV"/>
        </w:rPr>
      </w:pPr>
      <w:r>
        <w:rPr>
          <w:rFonts w:cs="Arial"/>
          <w:color w:val="000000"/>
          <w:lang w:val="es-SV"/>
        </w:rPr>
        <w:t xml:space="preserve">Que tal como se establece en el capítulo III “Juntas de Protección de la Niñez y de la Adolescencia” –en adelante Juntas de Protección- que comprende los artículos 159 y siguientes de la Ley de Protección Integral de Niñez y Adolescencia (LEPINA)-, las Juntas de Protección son dependencias administrativas departamentales del CONNA, y que una de las competencias de las mismas es conocer dentro de su competencia, de oficio o a petición de parte de las amenazas o violaciones individualizadas o colectivas de los derechos de niñas, niños y adolescentes (artículo 161 LEPINA), así mismo en el artículo 199 se menciona que tendrán competencia las Juntas de Protección de la jurisdicción donde se cometió la violación por el particular o servidor público; o donde la acción lesiva produjo sus efectos. Por tanto, por medio de la presente solicito que se me extienda documento en formato electrónico la información de los años 2018 hasta la fecha del presente año que detallo a continuación: </w:t>
      </w:r>
    </w:p>
    <w:p w:rsidR="0073580C" w:rsidRDefault="0073580C" w:rsidP="0073580C">
      <w:pPr>
        <w:jc w:val="both"/>
        <w:rPr>
          <w:rFonts w:cs="Arial"/>
          <w:color w:val="000000"/>
          <w:lang w:val="es-SV"/>
        </w:rPr>
      </w:pPr>
    </w:p>
    <w:tbl>
      <w:tblPr>
        <w:tblStyle w:val="Tablaconcuadrcula"/>
        <w:tblW w:w="0" w:type="auto"/>
        <w:tblLook w:val="04A0" w:firstRow="1" w:lastRow="0" w:firstColumn="1" w:lastColumn="0" w:noHBand="0" w:noVBand="1"/>
      </w:tblPr>
      <w:tblGrid>
        <w:gridCol w:w="1454"/>
        <w:gridCol w:w="1434"/>
        <w:gridCol w:w="1616"/>
        <w:gridCol w:w="1502"/>
        <w:gridCol w:w="1614"/>
        <w:gridCol w:w="1614"/>
      </w:tblGrid>
      <w:tr w:rsidR="0073580C" w:rsidRPr="001049BD" w:rsidTr="0091261A">
        <w:tc>
          <w:tcPr>
            <w:tcW w:w="1628" w:type="dxa"/>
          </w:tcPr>
          <w:p w:rsidR="0073580C" w:rsidRPr="00D95D6E" w:rsidRDefault="0073580C" w:rsidP="0091261A">
            <w:pPr>
              <w:jc w:val="both"/>
              <w:rPr>
                <w:rFonts w:cs="Arial"/>
                <w:b/>
                <w:color w:val="000000"/>
                <w:lang w:val="es-SV"/>
              </w:rPr>
            </w:pPr>
            <w:r w:rsidRPr="00D95D6E">
              <w:rPr>
                <w:rFonts w:cs="Arial"/>
                <w:b/>
                <w:color w:val="000000"/>
                <w:lang w:val="es-SV"/>
              </w:rPr>
              <w:t xml:space="preserve">Número </w:t>
            </w:r>
          </w:p>
          <w:p w:rsidR="0073580C" w:rsidRPr="00D95D6E" w:rsidRDefault="0073580C" w:rsidP="0091261A">
            <w:pPr>
              <w:jc w:val="both"/>
              <w:rPr>
                <w:rFonts w:cs="Arial"/>
                <w:b/>
                <w:color w:val="000000"/>
                <w:lang w:val="es-SV"/>
              </w:rPr>
            </w:pPr>
            <w:r w:rsidRPr="00D95D6E">
              <w:rPr>
                <w:rFonts w:cs="Arial"/>
                <w:b/>
                <w:color w:val="000000"/>
                <w:lang w:val="es-SV"/>
              </w:rPr>
              <w:t>Correlativo</w:t>
            </w:r>
          </w:p>
        </w:tc>
        <w:tc>
          <w:tcPr>
            <w:tcW w:w="1628" w:type="dxa"/>
          </w:tcPr>
          <w:p w:rsidR="0073580C" w:rsidRPr="00D95D6E" w:rsidRDefault="0073580C" w:rsidP="0091261A">
            <w:pPr>
              <w:jc w:val="both"/>
              <w:rPr>
                <w:rFonts w:cs="Arial"/>
                <w:b/>
                <w:color w:val="000000"/>
                <w:lang w:val="es-SV"/>
              </w:rPr>
            </w:pPr>
            <w:r w:rsidRPr="00D95D6E">
              <w:rPr>
                <w:rFonts w:cs="Arial"/>
                <w:b/>
                <w:color w:val="000000"/>
                <w:lang w:val="es-SV"/>
              </w:rPr>
              <w:t>Referencia del</w:t>
            </w:r>
          </w:p>
          <w:p w:rsidR="0073580C" w:rsidRPr="00D95D6E" w:rsidRDefault="0073580C" w:rsidP="0091261A">
            <w:pPr>
              <w:jc w:val="both"/>
              <w:rPr>
                <w:rFonts w:cs="Arial"/>
                <w:b/>
                <w:color w:val="000000"/>
                <w:lang w:val="es-SV"/>
              </w:rPr>
            </w:pPr>
            <w:r w:rsidRPr="00D95D6E">
              <w:rPr>
                <w:rFonts w:cs="Arial"/>
                <w:b/>
                <w:color w:val="000000"/>
                <w:lang w:val="es-SV"/>
              </w:rPr>
              <w:t>proceso</w:t>
            </w:r>
          </w:p>
        </w:tc>
        <w:tc>
          <w:tcPr>
            <w:tcW w:w="1628" w:type="dxa"/>
          </w:tcPr>
          <w:p w:rsidR="0073580C" w:rsidRPr="00D95D6E" w:rsidRDefault="0073580C" w:rsidP="0091261A">
            <w:pPr>
              <w:jc w:val="both"/>
              <w:rPr>
                <w:rFonts w:cs="Arial"/>
                <w:b/>
                <w:color w:val="000000"/>
                <w:lang w:val="es-SV"/>
              </w:rPr>
            </w:pPr>
            <w:r w:rsidRPr="00D95D6E">
              <w:rPr>
                <w:rFonts w:cs="Arial"/>
                <w:b/>
                <w:color w:val="000000"/>
                <w:lang w:val="es-SV"/>
              </w:rPr>
              <w:t>Identificación de la Junta de Protección Departamental</w:t>
            </w:r>
          </w:p>
        </w:tc>
        <w:tc>
          <w:tcPr>
            <w:tcW w:w="1629" w:type="dxa"/>
          </w:tcPr>
          <w:p w:rsidR="0073580C" w:rsidRPr="00D95D6E" w:rsidRDefault="0073580C" w:rsidP="0091261A">
            <w:pPr>
              <w:jc w:val="both"/>
              <w:rPr>
                <w:rFonts w:cs="Arial"/>
                <w:b/>
                <w:color w:val="000000"/>
                <w:lang w:val="es-SV"/>
              </w:rPr>
            </w:pPr>
            <w:r w:rsidRPr="00D95D6E">
              <w:rPr>
                <w:rFonts w:cs="Arial"/>
                <w:b/>
                <w:color w:val="000000"/>
                <w:lang w:val="es-SV"/>
              </w:rPr>
              <w:t>Clasificación por tipo de infracción de cada caso</w:t>
            </w:r>
          </w:p>
        </w:tc>
        <w:tc>
          <w:tcPr>
            <w:tcW w:w="1629" w:type="dxa"/>
          </w:tcPr>
          <w:p w:rsidR="0073580C" w:rsidRPr="00D95D6E" w:rsidRDefault="0073580C" w:rsidP="0091261A">
            <w:pPr>
              <w:jc w:val="both"/>
              <w:rPr>
                <w:rFonts w:cs="Arial"/>
                <w:b/>
                <w:color w:val="000000"/>
                <w:lang w:val="es-SV"/>
              </w:rPr>
            </w:pPr>
            <w:r w:rsidRPr="00D95D6E">
              <w:rPr>
                <w:rFonts w:cs="Arial"/>
                <w:b/>
                <w:color w:val="000000"/>
                <w:lang w:val="es-SV"/>
              </w:rPr>
              <w:t xml:space="preserve">Forma de representación del menor de edad </w:t>
            </w:r>
          </w:p>
        </w:tc>
        <w:tc>
          <w:tcPr>
            <w:tcW w:w="1629" w:type="dxa"/>
          </w:tcPr>
          <w:p w:rsidR="0073580C" w:rsidRPr="00D95D6E" w:rsidRDefault="0073580C" w:rsidP="0091261A">
            <w:pPr>
              <w:jc w:val="both"/>
              <w:rPr>
                <w:rFonts w:cs="Arial"/>
                <w:b/>
                <w:color w:val="000000"/>
                <w:lang w:val="es-SV"/>
              </w:rPr>
            </w:pPr>
            <w:r w:rsidRPr="00D95D6E">
              <w:rPr>
                <w:rFonts w:cs="Arial"/>
                <w:b/>
                <w:color w:val="000000"/>
                <w:lang w:val="es-SV"/>
              </w:rPr>
              <w:t>Forma de representación del denunciado</w:t>
            </w:r>
          </w:p>
        </w:tc>
      </w:tr>
      <w:tr w:rsidR="0073580C" w:rsidTr="0091261A">
        <w:tc>
          <w:tcPr>
            <w:tcW w:w="1628" w:type="dxa"/>
          </w:tcPr>
          <w:p w:rsidR="0073580C" w:rsidRDefault="0073580C" w:rsidP="0091261A">
            <w:pPr>
              <w:jc w:val="center"/>
              <w:rPr>
                <w:rFonts w:cs="Arial"/>
                <w:color w:val="000000"/>
                <w:lang w:val="es-SV"/>
              </w:rPr>
            </w:pPr>
          </w:p>
          <w:p w:rsidR="0073580C" w:rsidRDefault="0073580C" w:rsidP="0091261A">
            <w:pPr>
              <w:jc w:val="center"/>
              <w:rPr>
                <w:rFonts w:cs="Arial"/>
                <w:color w:val="000000"/>
                <w:lang w:val="es-SV"/>
              </w:rPr>
            </w:pPr>
            <w:r>
              <w:rPr>
                <w:rFonts w:cs="Arial"/>
                <w:color w:val="000000"/>
                <w:lang w:val="es-SV"/>
              </w:rPr>
              <w:t>1</w:t>
            </w:r>
          </w:p>
          <w:p w:rsidR="0073580C" w:rsidRDefault="0073580C" w:rsidP="0091261A">
            <w:pPr>
              <w:jc w:val="center"/>
              <w:rPr>
                <w:rFonts w:cs="Arial"/>
                <w:color w:val="000000"/>
                <w:lang w:val="es-SV"/>
              </w:rPr>
            </w:pPr>
          </w:p>
        </w:tc>
        <w:tc>
          <w:tcPr>
            <w:tcW w:w="1628" w:type="dxa"/>
          </w:tcPr>
          <w:p w:rsidR="0073580C" w:rsidRDefault="0073580C" w:rsidP="0091261A">
            <w:pPr>
              <w:jc w:val="center"/>
              <w:rPr>
                <w:rFonts w:cs="Arial"/>
                <w:color w:val="000000"/>
                <w:lang w:val="es-SV"/>
              </w:rPr>
            </w:pPr>
          </w:p>
          <w:p w:rsidR="0073580C" w:rsidRDefault="0073580C" w:rsidP="0091261A">
            <w:pPr>
              <w:jc w:val="center"/>
              <w:rPr>
                <w:rFonts w:cs="Arial"/>
                <w:color w:val="000000"/>
                <w:lang w:val="es-SV"/>
              </w:rPr>
            </w:pPr>
            <w:r>
              <w:rPr>
                <w:rFonts w:cs="Arial"/>
                <w:color w:val="000000"/>
                <w:lang w:val="es-SV"/>
              </w:rPr>
              <w:t>001-208</w:t>
            </w:r>
          </w:p>
        </w:tc>
        <w:tc>
          <w:tcPr>
            <w:tcW w:w="1628" w:type="dxa"/>
          </w:tcPr>
          <w:p w:rsidR="0073580C" w:rsidRDefault="0073580C" w:rsidP="0091261A">
            <w:pPr>
              <w:jc w:val="center"/>
              <w:rPr>
                <w:rFonts w:cs="Arial"/>
                <w:color w:val="000000"/>
                <w:lang w:val="es-SV"/>
              </w:rPr>
            </w:pPr>
          </w:p>
          <w:p w:rsidR="0073580C" w:rsidRDefault="0073580C" w:rsidP="0091261A">
            <w:pPr>
              <w:jc w:val="center"/>
              <w:rPr>
                <w:rFonts w:cs="Arial"/>
                <w:color w:val="000000"/>
                <w:lang w:val="es-SV"/>
              </w:rPr>
            </w:pPr>
            <w:r>
              <w:rPr>
                <w:rFonts w:cs="Arial"/>
                <w:color w:val="000000"/>
                <w:lang w:val="es-SV"/>
              </w:rPr>
              <w:t>Junta de Protección de San Salvador</w:t>
            </w:r>
          </w:p>
        </w:tc>
        <w:tc>
          <w:tcPr>
            <w:tcW w:w="1629" w:type="dxa"/>
          </w:tcPr>
          <w:p w:rsidR="0073580C" w:rsidRDefault="0073580C" w:rsidP="0091261A">
            <w:pPr>
              <w:jc w:val="center"/>
              <w:rPr>
                <w:rFonts w:cs="Arial"/>
                <w:color w:val="000000"/>
                <w:lang w:val="es-SV"/>
              </w:rPr>
            </w:pPr>
          </w:p>
          <w:p w:rsidR="0073580C" w:rsidRDefault="0073580C" w:rsidP="0091261A">
            <w:pPr>
              <w:jc w:val="center"/>
              <w:rPr>
                <w:rFonts w:cs="Arial"/>
                <w:color w:val="000000"/>
                <w:lang w:val="es-SV"/>
              </w:rPr>
            </w:pPr>
            <w:r>
              <w:rPr>
                <w:rFonts w:cs="Arial"/>
                <w:color w:val="000000"/>
                <w:lang w:val="es-SV"/>
              </w:rPr>
              <w:t>Violación intrafamiliar</w:t>
            </w:r>
          </w:p>
        </w:tc>
        <w:tc>
          <w:tcPr>
            <w:tcW w:w="1629" w:type="dxa"/>
          </w:tcPr>
          <w:p w:rsidR="0073580C" w:rsidRDefault="0073580C" w:rsidP="0091261A">
            <w:pPr>
              <w:jc w:val="center"/>
              <w:rPr>
                <w:rFonts w:cs="Arial"/>
                <w:color w:val="000000"/>
                <w:lang w:val="es-SV"/>
              </w:rPr>
            </w:pPr>
          </w:p>
          <w:p w:rsidR="0073580C" w:rsidRDefault="0073580C" w:rsidP="0091261A">
            <w:pPr>
              <w:jc w:val="center"/>
              <w:rPr>
                <w:rFonts w:cs="Arial"/>
                <w:color w:val="000000"/>
                <w:lang w:val="es-SV"/>
              </w:rPr>
            </w:pPr>
            <w:r>
              <w:rPr>
                <w:rFonts w:cs="Arial"/>
                <w:color w:val="000000"/>
                <w:lang w:val="es-SV"/>
              </w:rPr>
              <w:t>Defensor de la Procuraduría General de la República</w:t>
            </w:r>
          </w:p>
        </w:tc>
        <w:tc>
          <w:tcPr>
            <w:tcW w:w="1629" w:type="dxa"/>
          </w:tcPr>
          <w:p w:rsidR="0073580C" w:rsidRDefault="0073580C" w:rsidP="0091261A">
            <w:pPr>
              <w:jc w:val="center"/>
              <w:rPr>
                <w:rFonts w:cs="Arial"/>
                <w:color w:val="000000"/>
                <w:lang w:val="es-SV"/>
              </w:rPr>
            </w:pPr>
          </w:p>
          <w:p w:rsidR="0073580C" w:rsidRDefault="0073580C" w:rsidP="0091261A">
            <w:pPr>
              <w:jc w:val="center"/>
              <w:rPr>
                <w:rFonts w:cs="Arial"/>
                <w:color w:val="000000"/>
                <w:lang w:val="es-SV"/>
              </w:rPr>
            </w:pPr>
            <w:r>
              <w:rPr>
                <w:rFonts w:cs="Arial"/>
                <w:color w:val="000000"/>
                <w:lang w:val="es-SV"/>
              </w:rPr>
              <w:t>Abogado particular</w:t>
            </w:r>
          </w:p>
        </w:tc>
      </w:tr>
    </w:tbl>
    <w:p w:rsidR="0073580C" w:rsidRDefault="0073580C" w:rsidP="0073580C">
      <w:pPr>
        <w:jc w:val="both"/>
        <w:rPr>
          <w:rFonts w:cs="Arial"/>
          <w:color w:val="000000"/>
          <w:lang w:val="es-SV"/>
        </w:rPr>
      </w:pPr>
      <w:r w:rsidRPr="00D95D6E">
        <w:rPr>
          <w:rFonts w:cs="Arial"/>
          <w:b/>
          <w:color w:val="000000"/>
          <w:lang w:val="es-SV"/>
        </w:rPr>
        <w:t>Nota:</w:t>
      </w:r>
      <w:r>
        <w:rPr>
          <w:rFonts w:cs="Arial"/>
          <w:color w:val="000000"/>
          <w:lang w:val="es-SV"/>
        </w:rPr>
        <w:t xml:space="preserve"> la información contenida es un ejemplo </w:t>
      </w:r>
    </w:p>
    <w:p w:rsidR="00556CD2" w:rsidRPr="00556CD2" w:rsidRDefault="00556CD2" w:rsidP="00556CD2">
      <w:pPr>
        <w:jc w:val="both"/>
        <w:rPr>
          <w:rFonts w:cs="Calibri"/>
          <w:sz w:val="20"/>
          <w:szCs w:val="20"/>
          <w:lang w:val="es-SV"/>
        </w:rPr>
      </w:pPr>
    </w:p>
    <w:p w:rsidR="00612ACA" w:rsidRDefault="00184863" w:rsidP="007762DC">
      <w:pPr>
        <w:jc w:val="both"/>
        <w:rPr>
          <w:rFonts w:cs="Calibri"/>
          <w:lang w:val="es-SV"/>
        </w:rPr>
      </w:pPr>
      <w:r w:rsidRPr="0073580C">
        <w:rPr>
          <w:rFonts w:cs="Calibri"/>
          <w:b/>
          <w:lang w:val="es-SV"/>
        </w:rPr>
        <w:t xml:space="preserve">Y </w:t>
      </w:r>
      <w:r w:rsidR="0073580C" w:rsidRPr="0073580C">
        <w:rPr>
          <w:rFonts w:cs="Calibri"/>
          <w:b/>
          <w:lang w:val="es-SV"/>
        </w:rPr>
        <w:t xml:space="preserve">luego de analizar la solicitud </w:t>
      </w:r>
      <w:r w:rsidR="0073580C">
        <w:rPr>
          <w:rFonts w:cs="Calibri"/>
          <w:b/>
          <w:lang w:val="es-SV"/>
        </w:rPr>
        <w:t>RESUELVE</w:t>
      </w:r>
      <w:r w:rsidR="00612ACA" w:rsidRPr="00612ACA">
        <w:rPr>
          <w:rFonts w:cs="Calibri"/>
          <w:lang w:val="es-SV"/>
        </w:rPr>
        <w:t>:</w:t>
      </w:r>
    </w:p>
    <w:p w:rsidR="00612ACA" w:rsidRDefault="00612ACA" w:rsidP="00612ACA">
      <w:pPr>
        <w:jc w:val="both"/>
        <w:rPr>
          <w:rFonts w:cs="Calibri"/>
          <w:lang w:val="es-SV"/>
        </w:rPr>
      </w:pPr>
    </w:p>
    <w:p w:rsidR="0073580C" w:rsidRPr="0073580C" w:rsidRDefault="0073580C" w:rsidP="0073580C">
      <w:pPr>
        <w:widowControl/>
        <w:spacing w:after="200" w:line="276" w:lineRule="auto"/>
        <w:jc w:val="both"/>
        <w:rPr>
          <w:rFonts w:ascii="Calibri" w:eastAsia="Calibri" w:hAnsi="Calibri" w:cs="Times New Roman"/>
          <w:lang w:val="es-ES"/>
        </w:rPr>
      </w:pPr>
      <w:r>
        <w:rPr>
          <w:rFonts w:ascii="Calibri" w:eastAsia="Calibri" w:hAnsi="Calibri" w:cs="Times New Roman"/>
          <w:lang w:val="es-SV"/>
        </w:rPr>
        <w:t>Que l</w:t>
      </w:r>
      <w:proofErr w:type="spellStart"/>
      <w:r w:rsidRPr="0073580C">
        <w:rPr>
          <w:rFonts w:ascii="Calibri" w:eastAsia="Calibri" w:hAnsi="Calibri" w:cs="Times New Roman"/>
          <w:lang w:val="es-ES"/>
        </w:rPr>
        <w:t>as</w:t>
      </w:r>
      <w:proofErr w:type="spellEnd"/>
      <w:r w:rsidRPr="0073580C">
        <w:rPr>
          <w:rFonts w:ascii="Calibri" w:eastAsia="Calibri" w:hAnsi="Calibri" w:cs="Times New Roman"/>
          <w:lang w:val="es-ES"/>
        </w:rPr>
        <w:t xml:space="preserve"> Juntas de Protección de la Niñez y de la Adolescencia, son las dependencias administrativas del Consejo Nacional de la Niñez y de la Adolescencia (CONNA) que al conocer una posible amenaza o vulneración a los derechos de las niñas, niños y adolescentes, ya sea por denuncia, aviso o de forma oficiosa, inicia el procedimiento administrativo con la finalidad de determinar si existe tal amenaza o vulneración, y de existir, dictar medidas administrativas para cesarla de forma inmediata buscando restituir el derechos o los derechos vulnerados, tal como lo estipula el artículo 161, b) de la LEPINA. </w:t>
      </w:r>
    </w:p>
    <w:p w:rsidR="0073580C" w:rsidRPr="0073580C" w:rsidRDefault="0073580C" w:rsidP="0073580C">
      <w:pPr>
        <w:widowControl/>
        <w:spacing w:after="200" w:line="276" w:lineRule="auto"/>
        <w:jc w:val="both"/>
        <w:rPr>
          <w:rFonts w:ascii="Calibri" w:eastAsia="Calibri" w:hAnsi="Calibri" w:cs="Times New Roman"/>
          <w:lang w:val="es-ES"/>
        </w:rPr>
      </w:pPr>
      <w:r w:rsidRPr="0073580C">
        <w:rPr>
          <w:rFonts w:ascii="Calibri" w:eastAsia="Calibri" w:hAnsi="Calibri" w:cs="Times New Roman"/>
          <w:lang w:val="es-ES"/>
        </w:rPr>
        <w:t xml:space="preserve">Todos los procedimientos que se encuentran en sede administrativa en las Juntas de Proteccion de la Niñez y de la Adolescencia, posee una serie de elementos procesales de protección hacia las niñas, niños y adolescentes, protegiéndolos durante el desarrollo de este y de las diferentes etapas del procedimiento. </w:t>
      </w:r>
    </w:p>
    <w:p w:rsidR="0073580C" w:rsidRPr="0073580C" w:rsidRDefault="0073580C" w:rsidP="0073580C">
      <w:pPr>
        <w:widowControl/>
        <w:spacing w:after="200" w:line="276" w:lineRule="auto"/>
        <w:jc w:val="both"/>
        <w:rPr>
          <w:rFonts w:ascii="Calibri" w:eastAsia="Calibri" w:hAnsi="Calibri" w:cs="Times New Roman"/>
          <w:lang w:val="es-ES"/>
        </w:rPr>
      </w:pPr>
      <w:r w:rsidRPr="0073580C">
        <w:rPr>
          <w:rFonts w:ascii="Calibri" w:eastAsia="Calibri" w:hAnsi="Calibri" w:cs="Times New Roman"/>
          <w:lang w:val="es-ES"/>
        </w:rPr>
        <w:lastRenderedPageBreak/>
        <w:t xml:space="preserve">El art. 51, letra c), LEPINA, otorga la garantía procesal a las niñas, niños y adolescentes de proteger su identidad, e incluso la de sus familiares. También las niñas, niños y adolescentes tienen derechos al Debido Proceso que es el derecho a que velen por sus garantías procesales de principio a fin en el proceso, como se establece en el art. 52 de la LEPINA. </w:t>
      </w:r>
    </w:p>
    <w:p w:rsidR="0073580C" w:rsidRPr="0073580C" w:rsidRDefault="0073580C" w:rsidP="0073580C">
      <w:pPr>
        <w:widowControl/>
        <w:spacing w:after="200" w:line="276" w:lineRule="auto"/>
        <w:jc w:val="both"/>
        <w:rPr>
          <w:rFonts w:ascii="Calibri" w:eastAsia="Calibri" w:hAnsi="Calibri" w:cs="Times New Roman"/>
          <w:lang w:val="es-ES"/>
        </w:rPr>
      </w:pPr>
      <w:r w:rsidRPr="0073580C">
        <w:rPr>
          <w:rFonts w:ascii="Calibri" w:eastAsia="Calibri" w:hAnsi="Calibri" w:cs="Times New Roman"/>
          <w:lang w:val="es-ES"/>
        </w:rPr>
        <w:t>Otro medio de protección hacia las niñas, niños y adolescentes dentro del procedimiento administrativo es El Derecho a la Garantía de Reserva, este estipula que como un medio de protección a las niñas, niños y adolescentes, se debe guardar confidencialidad de los detalles de los casos conocidos por las Juntas de Proteccion. Este Derecho fundamental se encuentra estipulado en el artículo 53 de la LEPINA: “Todas las autoridades o personas que intervengan en la investigación y decisión de asuntos judiciales o administrativos relativos a niñas, niños y adolescentes, así como la aplicación de las medidas que se adopten, están obligados a guardar secreto sobre los asuntos que conozcan, los que se consideren confidenciales, reservados y no podrán divulgarse en ningún caso. Sin embargo, las madres, padres, representantes legales y responsables tendrán acceso a las actuaciones y expedientes respectivos.”</w:t>
      </w:r>
    </w:p>
    <w:p w:rsidR="0073580C" w:rsidRPr="0073580C" w:rsidRDefault="0073580C" w:rsidP="0073580C">
      <w:pPr>
        <w:widowControl/>
        <w:spacing w:after="200" w:line="276" w:lineRule="auto"/>
        <w:jc w:val="both"/>
        <w:rPr>
          <w:rFonts w:ascii="Calibri" w:eastAsia="Calibri" w:hAnsi="Calibri" w:cs="Times New Roman"/>
          <w:lang w:val="es-ES"/>
        </w:rPr>
      </w:pPr>
      <w:r w:rsidRPr="0073580C">
        <w:rPr>
          <w:rFonts w:ascii="Calibri" w:eastAsia="Calibri" w:hAnsi="Calibri" w:cs="Times New Roman"/>
          <w:lang w:val="es-ES"/>
        </w:rPr>
        <w:t xml:space="preserve">Esto lo refuerza el art. 3. d) – Ley Procesal de Familia: “En la aplicación de esta ley debe tenerse en cuenta los siguientes principios: d) Las audiencias serán verbales y orales, el juez de oficio o a instancia de parte, podrá ordenar la reserva de la audiencia. </w:t>
      </w:r>
    </w:p>
    <w:p w:rsidR="0073580C" w:rsidRPr="00C0740C" w:rsidRDefault="0073580C" w:rsidP="0073580C">
      <w:pPr>
        <w:widowControl/>
        <w:spacing w:after="200" w:line="276" w:lineRule="auto"/>
        <w:jc w:val="both"/>
        <w:rPr>
          <w:rFonts w:ascii="Calibri" w:eastAsia="Calibri" w:hAnsi="Calibri" w:cs="Times New Roman"/>
          <w:b/>
          <w:lang w:val="es-ES"/>
        </w:rPr>
      </w:pPr>
      <w:r w:rsidRPr="00C0740C">
        <w:rPr>
          <w:rFonts w:ascii="Calibri" w:eastAsia="Calibri" w:hAnsi="Calibri" w:cs="Times New Roman"/>
          <w:b/>
          <w:lang w:val="es-ES"/>
        </w:rPr>
        <w:t>Todo lo anterior, son mecanismos procesales de protección para las niñas, niños y adolescentes que se encuentran dentro del procedimiento administrativo. En este caso en particular, según informa la Subdirección de Política del CONNA,  la información solicitada son elementos propios e inherentes del procedimiento administrativo, que de conocerse fuera de las partes involucradas, pueden poner en riesgo la identidad de las niñas, niños y adolescentes y por ende su esfera de derechos, pudiendo llegar incluso a entorpecer el desarrollo del procedimiento como tal, por lo que esta institución carece de competencia para brindar la información requerida.</w:t>
      </w:r>
    </w:p>
    <w:p w:rsidR="00F06D03" w:rsidRDefault="00F06D03" w:rsidP="00612ACA">
      <w:pPr>
        <w:jc w:val="both"/>
        <w:rPr>
          <w:rFonts w:cs="Calibri"/>
          <w:lang w:val="es-SV"/>
        </w:rPr>
      </w:pPr>
    </w:p>
    <w:p w:rsidR="001147F1" w:rsidRDefault="001147F1" w:rsidP="001147F1">
      <w:pPr>
        <w:jc w:val="both"/>
        <w:rPr>
          <w:rFonts w:cs="Calibri"/>
          <w:w w:val="102"/>
          <w:lang w:val="es-SV"/>
        </w:rPr>
      </w:pPr>
      <w:r w:rsidRPr="002B178D">
        <w:rPr>
          <w:rFonts w:cs="Calibri"/>
          <w:w w:val="102"/>
          <w:lang w:val="es-SV"/>
        </w:rPr>
        <w:t>San</w:t>
      </w:r>
      <w:r w:rsidRPr="002B178D">
        <w:rPr>
          <w:lang w:val="es-SV"/>
        </w:rPr>
        <w:t xml:space="preserve"> </w:t>
      </w:r>
      <w:r w:rsidRPr="002B178D">
        <w:rPr>
          <w:rFonts w:cs="Calibri"/>
          <w:w w:val="102"/>
          <w:lang w:val="es-SV"/>
        </w:rPr>
        <w:t>Sa</w:t>
      </w:r>
      <w:r w:rsidRPr="002B178D">
        <w:rPr>
          <w:rFonts w:cs="Calibri"/>
          <w:spacing w:val="1"/>
          <w:w w:val="102"/>
          <w:lang w:val="es-SV"/>
        </w:rPr>
        <w:t>lv</w:t>
      </w:r>
      <w:r w:rsidRPr="002B178D">
        <w:rPr>
          <w:rFonts w:cs="Calibri"/>
          <w:w w:val="102"/>
          <w:lang w:val="es-SV"/>
        </w:rPr>
        <w:t>ad</w:t>
      </w:r>
      <w:r w:rsidRPr="002B178D">
        <w:rPr>
          <w:rFonts w:cs="Calibri"/>
          <w:spacing w:val="-3"/>
          <w:w w:val="102"/>
          <w:lang w:val="es-SV"/>
        </w:rPr>
        <w:t>o</w:t>
      </w:r>
      <w:r w:rsidRPr="002B178D">
        <w:rPr>
          <w:rFonts w:cs="Calibri"/>
          <w:spacing w:val="2"/>
          <w:w w:val="102"/>
          <w:lang w:val="es-SV"/>
        </w:rPr>
        <w:t>r</w:t>
      </w:r>
      <w:r w:rsidRPr="002B178D">
        <w:rPr>
          <w:rFonts w:cs="Calibri"/>
          <w:w w:val="102"/>
          <w:lang w:val="es-SV"/>
        </w:rPr>
        <w:t>,</w:t>
      </w:r>
      <w:r w:rsidRPr="002B178D">
        <w:rPr>
          <w:lang w:val="es-SV"/>
        </w:rPr>
        <w:t xml:space="preserve"> </w:t>
      </w:r>
      <w:r w:rsidRPr="002B178D">
        <w:rPr>
          <w:rFonts w:cs="Calibri"/>
          <w:w w:val="102"/>
          <w:lang w:val="es-SV"/>
        </w:rPr>
        <w:t>a</w:t>
      </w:r>
      <w:r>
        <w:rPr>
          <w:rFonts w:cs="Calibri"/>
          <w:w w:val="102"/>
          <w:lang w:val="es-SV"/>
        </w:rPr>
        <w:t xml:space="preserve"> </w:t>
      </w:r>
      <w:r w:rsidR="00FD3271">
        <w:rPr>
          <w:rFonts w:cs="Calibri"/>
          <w:w w:val="102"/>
          <w:lang w:val="es-SV"/>
        </w:rPr>
        <w:t xml:space="preserve">las </w:t>
      </w:r>
      <w:r w:rsidR="0073580C">
        <w:rPr>
          <w:rFonts w:cs="Calibri"/>
          <w:w w:val="102"/>
          <w:lang w:val="es-SV"/>
        </w:rPr>
        <w:t>trece</w:t>
      </w:r>
      <w:r w:rsidR="00495A2F" w:rsidRPr="00495A2F">
        <w:rPr>
          <w:rFonts w:cs="Calibri"/>
          <w:color w:val="000000" w:themeColor="text1"/>
          <w:w w:val="102"/>
          <w:lang w:val="es-SV"/>
        </w:rPr>
        <w:t xml:space="preserve"> horas del </w:t>
      </w:r>
      <w:r w:rsidR="00C47121">
        <w:rPr>
          <w:rFonts w:cs="Calibri"/>
          <w:color w:val="000000" w:themeColor="text1"/>
          <w:w w:val="102"/>
          <w:lang w:val="es-SV"/>
        </w:rPr>
        <w:t xml:space="preserve"> </w:t>
      </w:r>
      <w:r w:rsidR="0073580C">
        <w:rPr>
          <w:rFonts w:cs="Calibri"/>
          <w:color w:val="000000" w:themeColor="text1"/>
          <w:w w:val="102"/>
          <w:lang w:val="es-SV"/>
        </w:rPr>
        <w:t xml:space="preserve">veinticinco </w:t>
      </w:r>
      <w:r w:rsidR="00C41A98">
        <w:rPr>
          <w:rFonts w:cs="Calibri"/>
          <w:color w:val="000000" w:themeColor="text1"/>
          <w:w w:val="102"/>
          <w:lang w:val="es-SV"/>
        </w:rPr>
        <w:t>de julio</w:t>
      </w:r>
      <w:r w:rsidR="006C33BB">
        <w:rPr>
          <w:rFonts w:cs="Calibri"/>
          <w:color w:val="000000" w:themeColor="text1"/>
          <w:w w:val="102"/>
          <w:lang w:val="es-SV"/>
        </w:rPr>
        <w:t xml:space="preserve"> de dos mil diecinueve</w:t>
      </w:r>
      <w:r w:rsidR="00F133DE">
        <w:rPr>
          <w:rFonts w:cs="Calibri"/>
          <w:w w:val="102"/>
          <w:lang w:val="es-SV"/>
        </w:rPr>
        <w:t>.</w:t>
      </w:r>
    </w:p>
    <w:p w:rsidR="00556CD2" w:rsidRDefault="00556CD2" w:rsidP="001147F1">
      <w:pPr>
        <w:jc w:val="both"/>
        <w:rPr>
          <w:rFonts w:cs="Calibri"/>
          <w:w w:val="102"/>
          <w:lang w:val="es-SV"/>
        </w:rPr>
      </w:pPr>
    </w:p>
    <w:p w:rsidR="00556CD2" w:rsidRDefault="00556CD2" w:rsidP="001147F1">
      <w:pPr>
        <w:jc w:val="both"/>
        <w:rPr>
          <w:rFonts w:cs="Calibri"/>
          <w:w w:val="102"/>
          <w:lang w:val="es-SV"/>
        </w:rPr>
      </w:pPr>
    </w:p>
    <w:p w:rsidR="0073580C" w:rsidRDefault="0073580C" w:rsidP="001147F1">
      <w:pPr>
        <w:jc w:val="both"/>
        <w:rPr>
          <w:rFonts w:cs="Calibri"/>
          <w:w w:val="102"/>
          <w:lang w:val="es-SV"/>
        </w:rPr>
      </w:pPr>
    </w:p>
    <w:p w:rsidR="0073580C" w:rsidRDefault="0073580C" w:rsidP="001147F1">
      <w:pPr>
        <w:jc w:val="both"/>
        <w:rPr>
          <w:rFonts w:cs="Calibri"/>
          <w:w w:val="102"/>
          <w:lang w:val="es-SV"/>
        </w:rPr>
      </w:pPr>
    </w:p>
    <w:p w:rsidR="0073580C" w:rsidRDefault="0073580C" w:rsidP="001147F1">
      <w:pPr>
        <w:jc w:val="both"/>
        <w:rPr>
          <w:rFonts w:cs="Calibri"/>
          <w:w w:val="102"/>
          <w:lang w:val="es-SV"/>
        </w:rPr>
      </w:pPr>
    </w:p>
    <w:p w:rsidR="00467912" w:rsidRDefault="00467912" w:rsidP="001147F1">
      <w:pPr>
        <w:autoSpaceDE w:val="0"/>
        <w:autoSpaceDN w:val="0"/>
        <w:adjustRightInd w:val="0"/>
        <w:jc w:val="center"/>
        <w:rPr>
          <w:rFonts w:cs="Calibri"/>
          <w:spacing w:val="2"/>
          <w:sz w:val="21"/>
          <w:szCs w:val="21"/>
          <w:lang w:val="es-SV"/>
        </w:rPr>
      </w:pPr>
    </w:p>
    <w:p w:rsidR="001147F1" w:rsidRPr="002B178D" w:rsidRDefault="001147F1" w:rsidP="001147F1">
      <w:pPr>
        <w:autoSpaceDE w:val="0"/>
        <w:autoSpaceDN w:val="0"/>
        <w:adjustRightInd w:val="0"/>
        <w:jc w:val="center"/>
        <w:rPr>
          <w:rFonts w:cs="Calibri"/>
          <w:spacing w:val="2"/>
          <w:sz w:val="21"/>
          <w:szCs w:val="21"/>
          <w:lang w:val="es-SV"/>
        </w:rPr>
      </w:pPr>
      <w:r w:rsidRPr="002B178D">
        <w:rPr>
          <w:rFonts w:cs="Calibri"/>
          <w:spacing w:val="2"/>
          <w:sz w:val="21"/>
          <w:szCs w:val="21"/>
          <w:lang w:val="es-SV"/>
        </w:rPr>
        <w:t>_________________________________</w:t>
      </w:r>
    </w:p>
    <w:p w:rsidR="006C5F9D" w:rsidRPr="006C5F9D" w:rsidRDefault="001147F1" w:rsidP="00F133DE">
      <w:pPr>
        <w:autoSpaceDE w:val="0"/>
        <w:autoSpaceDN w:val="0"/>
        <w:adjustRightInd w:val="0"/>
        <w:ind w:left="2670"/>
        <w:rPr>
          <w:rFonts w:cs="Calibri"/>
          <w:b/>
          <w:spacing w:val="2"/>
          <w:sz w:val="21"/>
          <w:szCs w:val="21"/>
          <w:lang w:val="es-SV"/>
        </w:rPr>
      </w:pPr>
      <w:r>
        <w:rPr>
          <w:rFonts w:cs="Calibri"/>
          <w:spacing w:val="2"/>
          <w:sz w:val="21"/>
          <w:szCs w:val="21"/>
          <w:lang w:val="es-SV"/>
        </w:rPr>
        <w:t xml:space="preserve">         </w:t>
      </w:r>
      <w:r w:rsidRPr="002B178D">
        <w:rPr>
          <w:rFonts w:cs="Calibri"/>
          <w:spacing w:val="2"/>
          <w:sz w:val="21"/>
          <w:szCs w:val="21"/>
          <w:lang w:val="es-SV"/>
        </w:rPr>
        <w:t xml:space="preserve">  </w:t>
      </w:r>
      <w:r w:rsidR="00612ACA">
        <w:rPr>
          <w:rFonts w:cs="Calibri"/>
          <w:spacing w:val="2"/>
          <w:sz w:val="21"/>
          <w:szCs w:val="21"/>
          <w:lang w:val="es-SV"/>
        </w:rPr>
        <w:tab/>
      </w:r>
      <w:r w:rsidR="0073173B" w:rsidRPr="006C5F9D">
        <w:rPr>
          <w:rFonts w:cs="Calibri"/>
          <w:b/>
          <w:spacing w:val="2"/>
          <w:sz w:val="21"/>
          <w:szCs w:val="21"/>
          <w:lang w:val="es-SV"/>
        </w:rPr>
        <w:t>Silvia Soledad Orellana Guillén</w:t>
      </w:r>
    </w:p>
    <w:p w:rsidR="00BE1378" w:rsidRPr="006C5F9D" w:rsidRDefault="001147F1" w:rsidP="00F133DE">
      <w:pPr>
        <w:autoSpaceDE w:val="0"/>
        <w:autoSpaceDN w:val="0"/>
        <w:adjustRightInd w:val="0"/>
        <w:ind w:left="2670"/>
        <w:rPr>
          <w:rFonts w:ascii="Times New Roman" w:hAnsi="Times New Roman"/>
          <w:b/>
          <w:spacing w:val="16"/>
          <w:sz w:val="21"/>
          <w:szCs w:val="21"/>
          <w:lang w:val="es-SV"/>
        </w:rPr>
      </w:pPr>
      <w:r w:rsidRPr="006C5F9D">
        <w:rPr>
          <w:rFonts w:cs="Calibri"/>
          <w:b/>
          <w:spacing w:val="2"/>
          <w:sz w:val="21"/>
          <w:szCs w:val="21"/>
          <w:lang w:val="es-SV"/>
        </w:rPr>
        <w:t xml:space="preserve">         </w:t>
      </w:r>
      <w:r w:rsidR="0073173B" w:rsidRPr="006C5F9D">
        <w:rPr>
          <w:rFonts w:cs="Calibri"/>
          <w:b/>
          <w:spacing w:val="2"/>
          <w:sz w:val="21"/>
          <w:szCs w:val="21"/>
          <w:lang w:val="es-SV"/>
        </w:rPr>
        <w:t xml:space="preserve">             </w:t>
      </w:r>
      <w:r w:rsidRPr="006C5F9D">
        <w:rPr>
          <w:rFonts w:cs="Calibri"/>
          <w:b/>
          <w:spacing w:val="2"/>
          <w:sz w:val="21"/>
          <w:szCs w:val="21"/>
          <w:lang w:val="es-SV"/>
        </w:rPr>
        <w:t xml:space="preserve">  O</w:t>
      </w:r>
      <w:r w:rsidRPr="006C5F9D">
        <w:rPr>
          <w:rFonts w:cs="Calibri"/>
          <w:b/>
          <w:spacing w:val="-3"/>
          <w:sz w:val="21"/>
          <w:szCs w:val="21"/>
          <w:lang w:val="es-SV"/>
        </w:rPr>
        <w:t>f</w:t>
      </w:r>
      <w:r w:rsidRPr="006C5F9D">
        <w:rPr>
          <w:rFonts w:cs="Calibri"/>
          <w:b/>
          <w:spacing w:val="3"/>
          <w:sz w:val="21"/>
          <w:szCs w:val="21"/>
          <w:lang w:val="es-SV"/>
        </w:rPr>
        <w:t>i</w:t>
      </w:r>
      <w:r w:rsidRPr="006C5F9D">
        <w:rPr>
          <w:rFonts w:cs="Calibri"/>
          <w:b/>
          <w:spacing w:val="-2"/>
          <w:sz w:val="21"/>
          <w:szCs w:val="21"/>
          <w:lang w:val="es-SV"/>
        </w:rPr>
        <w:t>c</w:t>
      </w:r>
      <w:r w:rsidRPr="006C5F9D">
        <w:rPr>
          <w:rFonts w:cs="Calibri"/>
          <w:b/>
          <w:spacing w:val="1"/>
          <w:sz w:val="21"/>
          <w:szCs w:val="21"/>
          <w:lang w:val="es-SV"/>
        </w:rPr>
        <w:t>i</w:t>
      </w:r>
      <w:r w:rsidRPr="006C5F9D">
        <w:rPr>
          <w:rFonts w:cs="Calibri"/>
          <w:b/>
          <w:spacing w:val="-2"/>
          <w:sz w:val="21"/>
          <w:szCs w:val="21"/>
          <w:lang w:val="es-SV"/>
        </w:rPr>
        <w:t>a</w:t>
      </w:r>
      <w:r w:rsidRPr="006C5F9D">
        <w:rPr>
          <w:rFonts w:cs="Calibri"/>
          <w:b/>
          <w:sz w:val="21"/>
          <w:szCs w:val="21"/>
          <w:lang w:val="es-SV"/>
        </w:rPr>
        <w:t>l</w:t>
      </w:r>
      <w:r w:rsidRPr="006C5F9D">
        <w:rPr>
          <w:rFonts w:ascii="Times New Roman" w:hAnsi="Times New Roman"/>
          <w:b/>
          <w:spacing w:val="7"/>
          <w:sz w:val="21"/>
          <w:szCs w:val="21"/>
          <w:lang w:val="es-SV"/>
        </w:rPr>
        <w:t xml:space="preserve"> </w:t>
      </w:r>
      <w:r w:rsidRPr="006C5F9D">
        <w:rPr>
          <w:rFonts w:cs="Calibri"/>
          <w:b/>
          <w:sz w:val="21"/>
          <w:szCs w:val="21"/>
          <w:lang w:val="es-SV"/>
        </w:rPr>
        <w:t>de</w:t>
      </w:r>
      <w:r w:rsidRPr="006C5F9D">
        <w:rPr>
          <w:rFonts w:ascii="Times New Roman" w:hAnsi="Times New Roman"/>
          <w:b/>
          <w:spacing w:val="-2"/>
          <w:sz w:val="21"/>
          <w:szCs w:val="21"/>
          <w:lang w:val="es-SV"/>
        </w:rPr>
        <w:t xml:space="preserve"> </w:t>
      </w:r>
      <w:r w:rsidRPr="006C5F9D">
        <w:rPr>
          <w:rFonts w:cs="Calibri"/>
          <w:b/>
          <w:spacing w:val="1"/>
          <w:sz w:val="21"/>
          <w:szCs w:val="21"/>
          <w:lang w:val="es-SV"/>
        </w:rPr>
        <w:t>I</w:t>
      </w:r>
      <w:r w:rsidRPr="006C5F9D">
        <w:rPr>
          <w:rFonts w:cs="Calibri"/>
          <w:b/>
          <w:sz w:val="21"/>
          <w:szCs w:val="21"/>
          <w:lang w:val="es-SV"/>
        </w:rPr>
        <w:t>n</w:t>
      </w:r>
      <w:r w:rsidRPr="006C5F9D">
        <w:rPr>
          <w:rFonts w:cs="Calibri"/>
          <w:b/>
          <w:spacing w:val="-1"/>
          <w:sz w:val="21"/>
          <w:szCs w:val="21"/>
          <w:lang w:val="es-SV"/>
        </w:rPr>
        <w:t>fo</w:t>
      </w:r>
      <w:r w:rsidRPr="006C5F9D">
        <w:rPr>
          <w:rFonts w:cs="Calibri"/>
          <w:b/>
          <w:sz w:val="21"/>
          <w:szCs w:val="21"/>
          <w:lang w:val="es-SV"/>
        </w:rPr>
        <w:t>r</w:t>
      </w:r>
      <w:r w:rsidRPr="006C5F9D">
        <w:rPr>
          <w:rFonts w:cs="Calibri"/>
          <w:b/>
          <w:spacing w:val="1"/>
          <w:sz w:val="21"/>
          <w:szCs w:val="21"/>
          <w:lang w:val="es-SV"/>
        </w:rPr>
        <w:t>m</w:t>
      </w:r>
      <w:r w:rsidRPr="006C5F9D">
        <w:rPr>
          <w:rFonts w:cs="Calibri"/>
          <w:b/>
          <w:spacing w:val="-2"/>
          <w:sz w:val="21"/>
          <w:szCs w:val="21"/>
          <w:lang w:val="es-SV"/>
        </w:rPr>
        <w:t>ac</w:t>
      </w:r>
      <w:r w:rsidRPr="006C5F9D">
        <w:rPr>
          <w:rFonts w:cs="Calibri"/>
          <w:b/>
          <w:spacing w:val="1"/>
          <w:sz w:val="21"/>
          <w:szCs w:val="21"/>
          <w:lang w:val="es-SV"/>
        </w:rPr>
        <w:t>i</w:t>
      </w:r>
      <w:r w:rsidRPr="006C5F9D">
        <w:rPr>
          <w:rFonts w:cs="Calibri"/>
          <w:b/>
          <w:spacing w:val="-1"/>
          <w:sz w:val="21"/>
          <w:szCs w:val="21"/>
          <w:lang w:val="es-SV"/>
        </w:rPr>
        <w:t>ó</w:t>
      </w:r>
      <w:r w:rsidRPr="006C5F9D">
        <w:rPr>
          <w:rFonts w:cs="Calibri"/>
          <w:b/>
          <w:sz w:val="21"/>
          <w:szCs w:val="21"/>
          <w:lang w:val="es-SV"/>
        </w:rPr>
        <w:t>n</w:t>
      </w:r>
      <w:r w:rsidR="00612ACA" w:rsidRPr="006C5F9D">
        <w:rPr>
          <w:rFonts w:cs="Calibri"/>
          <w:b/>
          <w:sz w:val="21"/>
          <w:szCs w:val="21"/>
          <w:lang w:val="es-SV"/>
        </w:rPr>
        <w:t xml:space="preserve"> </w:t>
      </w:r>
    </w:p>
    <w:sectPr w:rsidR="00BE1378" w:rsidRPr="006C5F9D" w:rsidSect="00675671">
      <w:headerReference w:type="default" r:id="rId10"/>
      <w:footerReference w:type="default" r:id="rId11"/>
      <w:pgSz w:w="12240" w:h="15840"/>
      <w:pgMar w:top="993" w:right="1720" w:bottom="1985"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105" w:rsidRDefault="00EF2105" w:rsidP="007E276E">
      <w:r>
        <w:separator/>
      </w:r>
    </w:p>
  </w:endnote>
  <w:endnote w:type="continuationSeparator" w:id="0">
    <w:p w:rsidR="00EF2105" w:rsidRDefault="00EF2105" w:rsidP="007E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6E" w:rsidRDefault="007D4F64">
    <w:pPr>
      <w:pStyle w:val="Piedepgina"/>
    </w:pPr>
    <w:r>
      <w:rPr>
        <w:noProof/>
        <w:lang w:val="es-SV" w:eastAsia="es-SV"/>
      </w:rPr>
      <w:drawing>
        <wp:anchor distT="0" distB="0" distL="114300" distR="114300" simplePos="0" relativeHeight="251659264" behindDoc="0" locked="0" layoutInCell="1" allowOverlap="1" wp14:anchorId="5BE4A809" wp14:editId="6E0F4718">
          <wp:simplePos x="0" y="0"/>
          <wp:positionH relativeFrom="column">
            <wp:posOffset>-941705</wp:posOffset>
          </wp:positionH>
          <wp:positionV relativeFrom="paragraph">
            <wp:posOffset>-4344035</wp:posOffset>
          </wp:positionV>
          <wp:extent cx="7998460" cy="4859020"/>
          <wp:effectExtent l="0" t="0" r="2540" b="0"/>
          <wp:wrapNone/>
          <wp:docPr id="13" name="Imagen 13" descr="vECTORES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ES 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8460" cy="4859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105" w:rsidRDefault="00EF2105" w:rsidP="007E276E">
      <w:r>
        <w:separator/>
      </w:r>
    </w:p>
  </w:footnote>
  <w:footnote w:type="continuationSeparator" w:id="0">
    <w:p w:rsidR="00EF2105" w:rsidRDefault="00EF2105" w:rsidP="007E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78A" w:rsidRDefault="005B57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543"/>
    <w:multiLevelType w:val="hybridMultilevel"/>
    <w:tmpl w:val="0128D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C94781"/>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E1F0A1C"/>
    <w:multiLevelType w:val="hybridMultilevel"/>
    <w:tmpl w:val="EBDE3B6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34EA2185"/>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D2D33C3"/>
    <w:multiLevelType w:val="hybridMultilevel"/>
    <w:tmpl w:val="1FB4A0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DA35C0F"/>
    <w:multiLevelType w:val="hybridMultilevel"/>
    <w:tmpl w:val="FE6ADD0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F962F28"/>
    <w:multiLevelType w:val="hybridMultilevel"/>
    <w:tmpl w:val="5FCC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0902B7"/>
    <w:multiLevelType w:val="hybridMultilevel"/>
    <w:tmpl w:val="F08CC80C"/>
    <w:lvl w:ilvl="0" w:tplc="E32EFEC6">
      <w:start w:val="1"/>
      <w:numFmt w:val="upperRoman"/>
      <w:lvlText w:val="%1."/>
      <w:lvlJc w:val="left"/>
      <w:pPr>
        <w:ind w:left="1080" w:hanging="720"/>
      </w:pPr>
      <w:rPr>
        <w:rFonts w:hint="default"/>
      </w:rPr>
    </w:lvl>
    <w:lvl w:ilvl="1" w:tplc="2838413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2434C43"/>
    <w:multiLevelType w:val="hybridMultilevel"/>
    <w:tmpl w:val="C85C0DF2"/>
    <w:lvl w:ilvl="0" w:tplc="A30A441E">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446C33EA"/>
    <w:multiLevelType w:val="hybridMultilevel"/>
    <w:tmpl w:val="896C80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787565A"/>
    <w:multiLevelType w:val="hybridMultilevel"/>
    <w:tmpl w:val="58922B50"/>
    <w:lvl w:ilvl="0" w:tplc="E7CAF44A">
      <w:numFmt w:val="bullet"/>
      <w:lvlText w:val=""/>
      <w:lvlJc w:val="left"/>
      <w:pPr>
        <w:ind w:left="464" w:hanging="360"/>
      </w:pPr>
      <w:rPr>
        <w:rFonts w:ascii="Symbol" w:eastAsiaTheme="minorHAnsi" w:hAnsi="Symbol" w:cstheme="minorBidi" w:hint="default"/>
      </w:rPr>
    </w:lvl>
    <w:lvl w:ilvl="1" w:tplc="440A0003" w:tentative="1">
      <w:start w:val="1"/>
      <w:numFmt w:val="bullet"/>
      <w:lvlText w:val="o"/>
      <w:lvlJc w:val="left"/>
      <w:pPr>
        <w:ind w:left="1184" w:hanging="360"/>
      </w:pPr>
      <w:rPr>
        <w:rFonts w:ascii="Courier New" w:hAnsi="Courier New" w:cs="Courier New" w:hint="default"/>
      </w:rPr>
    </w:lvl>
    <w:lvl w:ilvl="2" w:tplc="440A0005" w:tentative="1">
      <w:start w:val="1"/>
      <w:numFmt w:val="bullet"/>
      <w:lvlText w:val=""/>
      <w:lvlJc w:val="left"/>
      <w:pPr>
        <w:ind w:left="1904" w:hanging="360"/>
      </w:pPr>
      <w:rPr>
        <w:rFonts w:ascii="Wingdings" w:hAnsi="Wingdings" w:hint="default"/>
      </w:rPr>
    </w:lvl>
    <w:lvl w:ilvl="3" w:tplc="440A0001" w:tentative="1">
      <w:start w:val="1"/>
      <w:numFmt w:val="bullet"/>
      <w:lvlText w:val=""/>
      <w:lvlJc w:val="left"/>
      <w:pPr>
        <w:ind w:left="2624" w:hanging="360"/>
      </w:pPr>
      <w:rPr>
        <w:rFonts w:ascii="Symbol" w:hAnsi="Symbol" w:hint="default"/>
      </w:rPr>
    </w:lvl>
    <w:lvl w:ilvl="4" w:tplc="440A0003" w:tentative="1">
      <w:start w:val="1"/>
      <w:numFmt w:val="bullet"/>
      <w:lvlText w:val="o"/>
      <w:lvlJc w:val="left"/>
      <w:pPr>
        <w:ind w:left="3344" w:hanging="360"/>
      </w:pPr>
      <w:rPr>
        <w:rFonts w:ascii="Courier New" w:hAnsi="Courier New" w:cs="Courier New" w:hint="default"/>
      </w:rPr>
    </w:lvl>
    <w:lvl w:ilvl="5" w:tplc="440A0005" w:tentative="1">
      <w:start w:val="1"/>
      <w:numFmt w:val="bullet"/>
      <w:lvlText w:val=""/>
      <w:lvlJc w:val="left"/>
      <w:pPr>
        <w:ind w:left="4064" w:hanging="360"/>
      </w:pPr>
      <w:rPr>
        <w:rFonts w:ascii="Wingdings" w:hAnsi="Wingdings" w:hint="default"/>
      </w:rPr>
    </w:lvl>
    <w:lvl w:ilvl="6" w:tplc="440A0001" w:tentative="1">
      <w:start w:val="1"/>
      <w:numFmt w:val="bullet"/>
      <w:lvlText w:val=""/>
      <w:lvlJc w:val="left"/>
      <w:pPr>
        <w:ind w:left="4784" w:hanging="360"/>
      </w:pPr>
      <w:rPr>
        <w:rFonts w:ascii="Symbol" w:hAnsi="Symbol" w:hint="default"/>
      </w:rPr>
    </w:lvl>
    <w:lvl w:ilvl="7" w:tplc="440A0003" w:tentative="1">
      <w:start w:val="1"/>
      <w:numFmt w:val="bullet"/>
      <w:lvlText w:val="o"/>
      <w:lvlJc w:val="left"/>
      <w:pPr>
        <w:ind w:left="5504" w:hanging="360"/>
      </w:pPr>
      <w:rPr>
        <w:rFonts w:ascii="Courier New" w:hAnsi="Courier New" w:cs="Courier New" w:hint="default"/>
      </w:rPr>
    </w:lvl>
    <w:lvl w:ilvl="8" w:tplc="440A0005" w:tentative="1">
      <w:start w:val="1"/>
      <w:numFmt w:val="bullet"/>
      <w:lvlText w:val=""/>
      <w:lvlJc w:val="left"/>
      <w:pPr>
        <w:ind w:left="6224" w:hanging="360"/>
      </w:pPr>
      <w:rPr>
        <w:rFonts w:ascii="Wingdings" w:hAnsi="Wingdings" w:hint="default"/>
      </w:rPr>
    </w:lvl>
  </w:abstractNum>
  <w:abstractNum w:abstractNumId="11" w15:restartNumberingAfterBreak="0">
    <w:nsid w:val="4BE716B5"/>
    <w:multiLevelType w:val="hybridMultilevel"/>
    <w:tmpl w:val="6F30E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6B3A95"/>
    <w:multiLevelType w:val="hybridMultilevel"/>
    <w:tmpl w:val="1654E7C0"/>
    <w:lvl w:ilvl="0" w:tplc="89D887D2">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3" w15:restartNumberingAfterBreak="0">
    <w:nsid w:val="6B8C152E"/>
    <w:multiLevelType w:val="hybridMultilevel"/>
    <w:tmpl w:val="82045D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21E48D9"/>
    <w:multiLevelType w:val="hybridMultilevel"/>
    <w:tmpl w:val="0C0A5246"/>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A7943FB"/>
    <w:multiLevelType w:val="hybridMultilevel"/>
    <w:tmpl w:val="658C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CBA328E"/>
    <w:multiLevelType w:val="hybridMultilevel"/>
    <w:tmpl w:val="776C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FDA18EF"/>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6"/>
  </w:num>
  <w:num w:numId="3">
    <w:abstractNumId w:val="14"/>
  </w:num>
  <w:num w:numId="4">
    <w:abstractNumId w:val="15"/>
  </w:num>
  <w:num w:numId="5">
    <w:abstractNumId w:val="4"/>
  </w:num>
  <w:num w:numId="6">
    <w:abstractNumId w:val="1"/>
  </w:num>
  <w:num w:numId="7">
    <w:abstractNumId w:val="17"/>
  </w:num>
  <w:num w:numId="8">
    <w:abstractNumId w:val="8"/>
  </w:num>
  <w:num w:numId="9">
    <w:abstractNumId w:val="5"/>
  </w:num>
  <w:num w:numId="10">
    <w:abstractNumId w:val="3"/>
  </w:num>
  <w:num w:numId="11">
    <w:abstractNumId w:val="16"/>
  </w:num>
  <w:num w:numId="12">
    <w:abstractNumId w:val="13"/>
  </w:num>
  <w:num w:numId="13">
    <w:abstractNumId w:val="11"/>
  </w:num>
  <w:num w:numId="14">
    <w:abstractNumId w:val="7"/>
  </w:num>
  <w:num w:numId="15">
    <w:abstractNumId w:val="2"/>
  </w:num>
  <w:num w:numId="16">
    <w:abstractNumId w:val="0"/>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D2"/>
    <w:rsid w:val="00006F54"/>
    <w:rsid w:val="00015472"/>
    <w:rsid w:val="00020222"/>
    <w:rsid w:val="0003453A"/>
    <w:rsid w:val="000361BE"/>
    <w:rsid w:val="00046FCE"/>
    <w:rsid w:val="0005173A"/>
    <w:rsid w:val="00051747"/>
    <w:rsid w:val="00052482"/>
    <w:rsid w:val="00055A27"/>
    <w:rsid w:val="00081A5B"/>
    <w:rsid w:val="000965EA"/>
    <w:rsid w:val="00096782"/>
    <w:rsid w:val="000A2B58"/>
    <w:rsid w:val="000A2D61"/>
    <w:rsid w:val="000A72DC"/>
    <w:rsid w:val="000D0F4B"/>
    <w:rsid w:val="000D5BDA"/>
    <w:rsid w:val="001049BD"/>
    <w:rsid w:val="00105A00"/>
    <w:rsid w:val="001147F1"/>
    <w:rsid w:val="001256F7"/>
    <w:rsid w:val="001464EF"/>
    <w:rsid w:val="00150518"/>
    <w:rsid w:val="00163016"/>
    <w:rsid w:val="00184863"/>
    <w:rsid w:val="001A22FA"/>
    <w:rsid w:val="001C0BBD"/>
    <w:rsid w:val="001C351F"/>
    <w:rsid w:val="001C5E53"/>
    <w:rsid w:val="001D2912"/>
    <w:rsid w:val="001D5EFF"/>
    <w:rsid w:val="001E0AA7"/>
    <w:rsid w:val="001E335B"/>
    <w:rsid w:val="001E4AD8"/>
    <w:rsid w:val="001E591B"/>
    <w:rsid w:val="001F05CB"/>
    <w:rsid w:val="00207442"/>
    <w:rsid w:val="002316D4"/>
    <w:rsid w:val="002372EA"/>
    <w:rsid w:val="002456B0"/>
    <w:rsid w:val="00252640"/>
    <w:rsid w:val="00254309"/>
    <w:rsid w:val="0026271A"/>
    <w:rsid w:val="0026499B"/>
    <w:rsid w:val="002767B1"/>
    <w:rsid w:val="00285D57"/>
    <w:rsid w:val="00293E4B"/>
    <w:rsid w:val="002A1289"/>
    <w:rsid w:val="002B178D"/>
    <w:rsid w:val="002C0EC1"/>
    <w:rsid w:val="002E70D2"/>
    <w:rsid w:val="0034392B"/>
    <w:rsid w:val="003575C6"/>
    <w:rsid w:val="00371612"/>
    <w:rsid w:val="003A08F2"/>
    <w:rsid w:val="003A7B16"/>
    <w:rsid w:val="003C5D56"/>
    <w:rsid w:val="003E3EE1"/>
    <w:rsid w:val="003F696C"/>
    <w:rsid w:val="00416A1E"/>
    <w:rsid w:val="00417BB1"/>
    <w:rsid w:val="00422CB9"/>
    <w:rsid w:val="0043049B"/>
    <w:rsid w:val="00430738"/>
    <w:rsid w:val="004351EB"/>
    <w:rsid w:val="00440A88"/>
    <w:rsid w:val="004540C9"/>
    <w:rsid w:val="0046221D"/>
    <w:rsid w:val="004669E2"/>
    <w:rsid w:val="004678D2"/>
    <w:rsid w:val="00467912"/>
    <w:rsid w:val="00484F76"/>
    <w:rsid w:val="004859D3"/>
    <w:rsid w:val="00495A2F"/>
    <w:rsid w:val="004C3E1D"/>
    <w:rsid w:val="004D1042"/>
    <w:rsid w:val="004D1BCA"/>
    <w:rsid w:val="004E6E4E"/>
    <w:rsid w:val="00512309"/>
    <w:rsid w:val="005140B7"/>
    <w:rsid w:val="00514C0F"/>
    <w:rsid w:val="005156D8"/>
    <w:rsid w:val="005511A9"/>
    <w:rsid w:val="00556CD2"/>
    <w:rsid w:val="00586D90"/>
    <w:rsid w:val="005B578A"/>
    <w:rsid w:val="005E5B11"/>
    <w:rsid w:val="005F011C"/>
    <w:rsid w:val="005F1463"/>
    <w:rsid w:val="00612ACA"/>
    <w:rsid w:val="00616F0D"/>
    <w:rsid w:val="0063215A"/>
    <w:rsid w:val="0064326D"/>
    <w:rsid w:val="00665608"/>
    <w:rsid w:val="00675671"/>
    <w:rsid w:val="006867D6"/>
    <w:rsid w:val="006B2B0E"/>
    <w:rsid w:val="006B4F95"/>
    <w:rsid w:val="006C33BB"/>
    <w:rsid w:val="006C4D59"/>
    <w:rsid w:val="006C5F9D"/>
    <w:rsid w:val="006C6494"/>
    <w:rsid w:val="006D0271"/>
    <w:rsid w:val="006D5D78"/>
    <w:rsid w:val="006E6F6C"/>
    <w:rsid w:val="006F35F5"/>
    <w:rsid w:val="0070301A"/>
    <w:rsid w:val="00727D8F"/>
    <w:rsid w:val="0073173B"/>
    <w:rsid w:val="0073503F"/>
    <w:rsid w:val="0073580C"/>
    <w:rsid w:val="00742E7B"/>
    <w:rsid w:val="00761777"/>
    <w:rsid w:val="007647A8"/>
    <w:rsid w:val="007758A8"/>
    <w:rsid w:val="007762DC"/>
    <w:rsid w:val="007901EC"/>
    <w:rsid w:val="00792346"/>
    <w:rsid w:val="007A766D"/>
    <w:rsid w:val="007B66BC"/>
    <w:rsid w:val="007B7C9B"/>
    <w:rsid w:val="007D4F64"/>
    <w:rsid w:val="007E1986"/>
    <w:rsid w:val="007E276E"/>
    <w:rsid w:val="007E54D9"/>
    <w:rsid w:val="007F03F4"/>
    <w:rsid w:val="00805F14"/>
    <w:rsid w:val="008120A0"/>
    <w:rsid w:val="00877C28"/>
    <w:rsid w:val="008B3842"/>
    <w:rsid w:val="008B3DEA"/>
    <w:rsid w:val="008B6C44"/>
    <w:rsid w:val="008C5D7D"/>
    <w:rsid w:val="008D7594"/>
    <w:rsid w:val="008E1BDE"/>
    <w:rsid w:val="008E7FF0"/>
    <w:rsid w:val="009014BA"/>
    <w:rsid w:val="00902182"/>
    <w:rsid w:val="00917DA7"/>
    <w:rsid w:val="00925BF5"/>
    <w:rsid w:val="00932C84"/>
    <w:rsid w:val="00932E41"/>
    <w:rsid w:val="00980737"/>
    <w:rsid w:val="00984312"/>
    <w:rsid w:val="009A071C"/>
    <w:rsid w:val="009A713B"/>
    <w:rsid w:val="009B0A35"/>
    <w:rsid w:val="009B76DF"/>
    <w:rsid w:val="009D54DF"/>
    <w:rsid w:val="009F0417"/>
    <w:rsid w:val="009F5AF7"/>
    <w:rsid w:val="00A03C39"/>
    <w:rsid w:val="00A05DD6"/>
    <w:rsid w:val="00A209C5"/>
    <w:rsid w:val="00A21ECB"/>
    <w:rsid w:val="00A337C2"/>
    <w:rsid w:val="00A512E7"/>
    <w:rsid w:val="00A5262C"/>
    <w:rsid w:val="00A63AE1"/>
    <w:rsid w:val="00A70ED6"/>
    <w:rsid w:val="00A82FD1"/>
    <w:rsid w:val="00AA1344"/>
    <w:rsid w:val="00AA4D93"/>
    <w:rsid w:val="00AA718D"/>
    <w:rsid w:val="00AA7A7D"/>
    <w:rsid w:val="00AC15CA"/>
    <w:rsid w:val="00AD6A44"/>
    <w:rsid w:val="00AF1772"/>
    <w:rsid w:val="00AF20E0"/>
    <w:rsid w:val="00B207B2"/>
    <w:rsid w:val="00B22AF7"/>
    <w:rsid w:val="00B24FBB"/>
    <w:rsid w:val="00B32250"/>
    <w:rsid w:val="00B41897"/>
    <w:rsid w:val="00B4505B"/>
    <w:rsid w:val="00B6051C"/>
    <w:rsid w:val="00B7409D"/>
    <w:rsid w:val="00BD5B91"/>
    <w:rsid w:val="00BE1378"/>
    <w:rsid w:val="00BE196B"/>
    <w:rsid w:val="00BF1126"/>
    <w:rsid w:val="00BF3C38"/>
    <w:rsid w:val="00BF5267"/>
    <w:rsid w:val="00C02E78"/>
    <w:rsid w:val="00C0740C"/>
    <w:rsid w:val="00C12068"/>
    <w:rsid w:val="00C26BB0"/>
    <w:rsid w:val="00C3534C"/>
    <w:rsid w:val="00C35BFE"/>
    <w:rsid w:val="00C41A98"/>
    <w:rsid w:val="00C47121"/>
    <w:rsid w:val="00C50524"/>
    <w:rsid w:val="00C5094C"/>
    <w:rsid w:val="00C6607B"/>
    <w:rsid w:val="00C84D2C"/>
    <w:rsid w:val="00C94E57"/>
    <w:rsid w:val="00CA2A45"/>
    <w:rsid w:val="00CA592B"/>
    <w:rsid w:val="00CB335E"/>
    <w:rsid w:val="00CE5ABF"/>
    <w:rsid w:val="00CF2DCF"/>
    <w:rsid w:val="00D0230D"/>
    <w:rsid w:val="00D02C9F"/>
    <w:rsid w:val="00D0633F"/>
    <w:rsid w:val="00D136C5"/>
    <w:rsid w:val="00D15B31"/>
    <w:rsid w:val="00D26111"/>
    <w:rsid w:val="00D3357F"/>
    <w:rsid w:val="00D519B0"/>
    <w:rsid w:val="00D61F2D"/>
    <w:rsid w:val="00D622AE"/>
    <w:rsid w:val="00D7233E"/>
    <w:rsid w:val="00D74407"/>
    <w:rsid w:val="00D77CF3"/>
    <w:rsid w:val="00D83B46"/>
    <w:rsid w:val="00DA6E2D"/>
    <w:rsid w:val="00DA78EF"/>
    <w:rsid w:val="00DA7E8E"/>
    <w:rsid w:val="00DB05F2"/>
    <w:rsid w:val="00DD70AF"/>
    <w:rsid w:val="00E0456F"/>
    <w:rsid w:val="00E2765A"/>
    <w:rsid w:val="00E34D5C"/>
    <w:rsid w:val="00E43607"/>
    <w:rsid w:val="00E629DD"/>
    <w:rsid w:val="00E90941"/>
    <w:rsid w:val="00EC21C7"/>
    <w:rsid w:val="00EF2105"/>
    <w:rsid w:val="00F06D03"/>
    <w:rsid w:val="00F1171C"/>
    <w:rsid w:val="00F133DE"/>
    <w:rsid w:val="00F17025"/>
    <w:rsid w:val="00F336B6"/>
    <w:rsid w:val="00F41BE6"/>
    <w:rsid w:val="00F4237B"/>
    <w:rsid w:val="00F54A5A"/>
    <w:rsid w:val="00F673A2"/>
    <w:rsid w:val="00F677F4"/>
    <w:rsid w:val="00F72D8E"/>
    <w:rsid w:val="00F84268"/>
    <w:rsid w:val="00FA53C4"/>
    <w:rsid w:val="00FB36C4"/>
    <w:rsid w:val="00FD3271"/>
    <w:rsid w:val="00FD7EA0"/>
    <w:rsid w:val="00FE7F3B"/>
    <w:rsid w:val="00FF51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7702DE-531F-4CD0-A8B0-149A1DC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5702"/>
      <w:outlineLvl w:val="0"/>
    </w:pPr>
    <w:rPr>
      <w:rFonts w:ascii="Trebuchet MS" w:eastAsia="Trebuchet MS" w:hAnsi="Trebuchet MS"/>
      <w:b/>
      <w:bCs/>
      <w:sz w:val="82"/>
      <w:szCs w:val="82"/>
    </w:rPr>
  </w:style>
  <w:style w:type="paragraph" w:styleId="Ttulo2">
    <w:name w:val="heading 2"/>
    <w:basedOn w:val="Normal"/>
    <w:uiPriority w:val="1"/>
    <w:qFormat/>
    <w:pPr>
      <w:spacing w:before="43"/>
      <w:ind w:left="104"/>
      <w:outlineLvl w:val="1"/>
    </w:pPr>
    <w:rPr>
      <w:rFonts w:ascii="Verdana" w:eastAsia="Verdana" w:hAnsi="Verdana"/>
      <w:b/>
      <w:bCs/>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4"/>
    </w:pPr>
    <w:rPr>
      <w:rFonts w:ascii="Verdana" w:eastAsia="Verdana" w:hAnsi="Verdana"/>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7E276E"/>
    <w:pPr>
      <w:autoSpaceDE w:val="0"/>
      <w:autoSpaceDN w:val="0"/>
      <w:adjustRightInd w:val="0"/>
    </w:pPr>
    <w:rPr>
      <w:rFonts w:ascii="Calibri" w:eastAsiaTheme="minorEastAsia" w:hAnsi="Calibri" w:cs="Calibri"/>
      <w:color w:val="000000"/>
      <w:sz w:val="24"/>
      <w:szCs w:val="24"/>
      <w:lang w:val="es-SV" w:eastAsia="es-SV"/>
    </w:rPr>
  </w:style>
  <w:style w:type="character" w:styleId="Hipervnculo">
    <w:name w:val="Hyperlink"/>
    <w:basedOn w:val="Fuentedeprrafopredeter"/>
    <w:uiPriority w:val="99"/>
    <w:unhideWhenUsed/>
    <w:rsid w:val="007E276E"/>
    <w:rPr>
      <w:rFonts w:cs="Times New Roman"/>
      <w:color w:val="0000FF" w:themeColor="hyperlink"/>
      <w:u w:val="single"/>
    </w:rPr>
  </w:style>
  <w:style w:type="character" w:styleId="Hipervnculovisitado">
    <w:name w:val="FollowedHyperlink"/>
    <w:basedOn w:val="Fuentedeprrafopredeter"/>
    <w:uiPriority w:val="99"/>
    <w:semiHidden/>
    <w:unhideWhenUsed/>
    <w:rsid w:val="007E276E"/>
    <w:rPr>
      <w:color w:val="800080" w:themeColor="followedHyperlink"/>
      <w:u w:val="single"/>
    </w:rPr>
  </w:style>
  <w:style w:type="paragraph" w:styleId="Encabezado">
    <w:name w:val="header"/>
    <w:basedOn w:val="Normal"/>
    <w:link w:val="EncabezadoCar"/>
    <w:uiPriority w:val="99"/>
    <w:unhideWhenUsed/>
    <w:rsid w:val="007E276E"/>
    <w:pPr>
      <w:tabs>
        <w:tab w:val="center" w:pos="4419"/>
        <w:tab w:val="right" w:pos="8838"/>
      </w:tabs>
    </w:pPr>
  </w:style>
  <w:style w:type="character" w:customStyle="1" w:styleId="EncabezadoCar">
    <w:name w:val="Encabezado Car"/>
    <w:basedOn w:val="Fuentedeprrafopredeter"/>
    <w:link w:val="Encabezado"/>
    <w:uiPriority w:val="99"/>
    <w:rsid w:val="007E276E"/>
  </w:style>
  <w:style w:type="paragraph" w:styleId="Piedepgina">
    <w:name w:val="footer"/>
    <w:basedOn w:val="Normal"/>
    <w:link w:val="PiedepginaCar"/>
    <w:uiPriority w:val="99"/>
    <w:unhideWhenUsed/>
    <w:rsid w:val="007E276E"/>
    <w:pPr>
      <w:tabs>
        <w:tab w:val="center" w:pos="4419"/>
        <w:tab w:val="right" w:pos="8838"/>
      </w:tabs>
    </w:pPr>
  </w:style>
  <w:style w:type="character" w:customStyle="1" w:styleId="PiedepginaCar">
    <w:name w:val="Pie de página Car"/>
    <w:basedOn w:val="Fuentedeprrafopredeter"/>
    <w:link w:val="Piedepgina"/>
    <w:uiPriority w:val="99"/>
    <w:rsid w:val="007E276E"/>
  </w:style>
  <w:style w:type="paragraph" w:styleId="Textodeglobo">
    <w:name w:val="Balloon Text"/>
    <w:basedOn w:val="Normal"/>
    <w:link w:val="TextodegloboCar"/>
    <w:uiPriority w:val="99"/>
    <w:semiHidden/>
    <w:unhideWhenUsed/>
    <w:rsid w:val="007D4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F64"/>
    <w:rPr>
      <w:rFonts w:ascii="Segoe UI" w:hAnsi="Segoe UI" w:cs="Segoe UI"/>
      <w:sz w:val="18"/>
      <w:szCs w:val="18"/>
    </w:rPr>
  </w:style>
  <w:style w:type="character" w:styleId="Refdecomentario">
    <w:name w:val="annotation reference"/>
    <w:basedOn w:val="Fuentedeprrafopredeter"/>
    <w:uiPriority w:val="99"/>
    <w:semiHidden/>
    <w:unhideWhenUsed/>
    <w:rsid w:val="00E0456F"/>
    <w:rPr>
      <w:sz w:val="16"/>
      <w:szCs w:val="16"/>
    </w:rPr>
  </w:style>
  <w:style w:type="paragraph" w:styleId="Textocomentario">
    <w:name w:val="annotation text"/>
    <w:basedOn w:val="Normal"/>
    <w:link w:val="TextocomentarioCar"/>
    <w:uiPriority w:val="99"/>
    <w:semiHidden/>
    <w:unhideWhenUsed/>
    <w:rsid w:val="00E0456F"/>
    <w:rPr>
      <w:sz w:val="20"/>
      <w:szCs w:val="20"/>
    </w:rPr>
  </w:style>
  <w:style w:type="character" w:customStyle="1" w:styleId="TextocomentarioCar">
    <w:name w:val="Texto comentario Car"/>
    <w:basedOn w:val="Fuentedeprrafopredeter"/>
    <w:link w:val="Textocomentario"/>
    <w:uiPriority w:val="99"/>
    <w:semiHidden/>
    <w:rsid w:val="00E0456F"/>
    <w:rPr>
      <w:sz w:val="20"/>
      <w:szCs w:val="20"/>
    </w:rPr>
  </w:style>
  <w:style w:type="paragraph" w:styleId="Asuntodelcomentario">
    <w:name w:val="annotation subject"/>
    <w:basedOn w:val="Textocomentario"/>
    <w:next w:val="Textocomentario"/>
    <w:link w:val="AsuntodelcomentarioCar"/>
    <w:uiPriority w:val="99"/>
    <w:semiHidden/>
    <w:unhideWhenUsed/>
    <w:rsid w:val="00E0456F"/>
    <w:rPr>
      <w:b/>
      <w:bCs/>
    </w:rPr>
  </w:style>
  <w:style w:type="character" w:customStyle="1" w:styleId="AsuntodelcomentarioCar">
    <w:name w:val="Asunto del comentario Car"/>
    <w:basedOn w:val="TextocomentarioCar"/>
    <w:link w:val="Asuntodelcomentario"/>
    <w:uiPriority w:val="99"/>
    <w:semiHidden/>
    <w:rsid w:val="00E0456F"/>
    <w:rPr>
      <w:b/>
      <w:bCs/>
      <w:sz w:val="20"/>
      <w:szCs w:val="20"/>
    </w:rPr>
  </w:style>
  <w:style w:type="table" w:styleId="Tablaconcuadrcula">
    <w:name w:val="Table Grid"/>
    <w:basedOn w:val="Tablanormal"/>
    <w:uiPriority w:val="39"/>
    <w:rsid w:val="007E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6D5D78"/>
    <w:pPr>
      <w:widowControl/>
    </w:pPr>
    <w:rPr>
      <w:rFonts w:ascii="Calibri" w:eastAsia="Calibri" w:hAnsi="Calibri" w:cs="Times New Roman"/>
      <w:szCs w:val="21"/>
      <w:lang w:val="es-SV"/>
    </w:rPr>
  </w:style>
  <w:style w:type="character" w:customStyle="1" w:styleId="TextosinformatoCar">
    <w:name w:val="Texto sin formato Car"/>
    <w:basedOn w:val="Fuentedeprrafopredeter"/>
    <w:link w:val="Textosinformato"/>
    <w:uiPriority w:val="99"/>
    <w:rsid w:val="006D5D78"/>
    <w:rPr>
      <w:rFonts w:ascii="Calibri" w:eastAsia="Calibri" w:hAnsi="Calibri" w:cs="Times New Roman"/>
      <w:szCs w:val="21"/>
      <w:lang w:val="es-SV"/>
    </w:rPr>
  </w:style>
  <w:style w:type="paragraph" w:customStyle="1" w:styleId="Standard">
    <w:name w:val="Standard"/>
    <w:rsid w:val="009F0417"/>
    <w:pPr>
      <w:suppressAutoHyphens/>
      <w:autoSpaceDN w:val="0"/>
      <w:textAlignment w:val="baseline"/>
    </w:pPr>
    <w:rPr>
      <w:rFonts w:ascii="Liberation Serif" w:eastAsia="SimSun" w:hAnsi="Liberation Serif" w:cs="Mangal"/>
      <w:kern w:val="3"/>
      <w:sz w:val="24"/>
      <w:szCs w:val="24"/>
      <w:lang w:val="es-SV" w:eastAsia="zh-CN" w:bidi="hi-IN"/>
    </w:rPr>
  </w:style>
  <w:style w:type="paragraph" w:styleId="Textonotapie">
    <w:name w:val="footnote text"/>
    <w:basedOn w:val="Normal"/>
    <w:link w:val="TextonotapieCar"/>
    <w:uiPriority w:val="99"/>
    <w:semiHidden/>
    <w:unhideWhenUsed/>
    <w:rsid w:val="001A22FA"/>
    <w:pPr>
      <w:widowControl/>
    </w:pPr>
    <w:rPr>
      <w:sz w:val="20"/>
      <w:szCs w:val="20"/>
      <w:lang w:val="es-ES"/>
    </w:rPr>
  </w:style>
  <w:style w:type="character" w:customStyle="1" w:styleId="TextonotapieCar">
    <w:name w:val="Texto nota pie Car"/>
    <w:basedOn w:val="Fuentedeprrafopredeter"/>
    <w:link w:val="Textonotapie"/>
    <w:uiPriority w:val="99"/>
    <w:semiHidden/>
    <w:rsid w:val="001A22FA"/>
    <w:rPr>
      <w:sz w:val="20"/>
      <w:szCs w:val="20"/>
      <w:lang w:val="es-ES"/>
    </w:rPr>
  </w:style>
  <w:style w:type="character" w:styleId="Refdenotaalpie">
    <w:name w:val="footnote reference"/>
    <w:basedOn w:val="Fuentedeprrafopredeter"/>
    <w:uiPriority w:val="99"/>
    <w:semiHidden/>
    <w:unhideWhenUsed/>
    <w:rsid w:val="001A2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68605">
      <w:bodyDiv w:val="1"/>
      <w:marLeft w:val="0"/>
      <w:marRight w:val="0"/>
      <w:marTop w:val="0"/>
      <w:marBottom w:val="0"/>
      <w:divBdr>
        <w:top w:val="none" w:sz="0" w:space="0" w:color="auto"/>
        <w:left w:val="none" w:sz="0" w:space="0" w:color="auto"/>
        <w:bottom w:val="none" w:sz="0" w:space="0" w:color="auto"/>
        <w:right w:val="none" w:sz="0" w:space="0" w:color="auto"/>
      </w:divBdr>
    </w:div>
    <w:div w:id="180612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E9E3-89D5-4C56-8DF5-316293A2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4369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IAIP-A</dc:creator>
  <cp:lastModifiedBy>Maria Ines MH. Hernandez Vidal</cp:lastModifiedBy>
  <cp:revision>2</cp:revision>
  <cp:lastPrinted>2019-07-25T19:33:00Z</cp:lastPrinted>
  <dcterms:created xsi:type="dcterms:W3CDTF">2019-08-14T17:08:00Z</dcterms:created>
  <dcterms:modified xsi:type="dcterms:W3CDTF">2019-08-14T17:08:00Z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2014-03-10T00:00:00Z</vt:filetime>
  </property>
</Properties>
</file>