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Default="004F2086" w:rsidP="00BA3AE1">
      <w:pPr>
        <w:spacing w:after="0" w:line="240" w:lineRule="auto"/>
        <w:jc w:val="both"/>
        <w:rPr>
          <w:b/>
          <w:sz w:val="28"/>
          <w:u w:val="single"/>
        </w:rPr>
      </w:pPr>
    </w:p>
    <w:p w:rsidR="004F2086" w:rsidRDefault="004F2086" w:rsidP="00BA3AE1">
      <w:pPr>
        <w:spacing w:after="0" w:line="240" w:lineRule="auto"/>
        <w:jc w:val="both"/>
        <w:rPr>
          <w:b/>
          <w:sz w:val="28"/>
          <w:u w:val="single"/>
        </w:rPr>
      </w:pPr>
    </w:p>
    <w:p w:rsidR="004F2086" w:rsidRPr="004F2086" w:rsidRDefault="004F2086" w:rsidP="00BA3AE1">
      <w:pPr>
        <w:spacing w:after="0" w:line="240" w:lineRule="auto"/>
        <w:jc w:val="both"/>
        <w:rPr>
          <w:b/>
          <w:sz w:val="24"/>
          <w:szCs w:val="24"/>
        </w:rPr>
      </w:pPr>
      <w:r w:rsidRPr="004F2086">
        <w:rPr>
          <w:b/>
          <w:sz w:val="24"/>
          <w:szCs w:val="24"/>
        </w:rPr>
        <w:t>San Salvador, 1 de julio de 2019</w:t>
      </w:r>
    </w:p>
    <w:p w:rsidR="004F2086" w:rsidRPr="004F2086" w:rsidRDefault="004F2086" w:rsidP="00BA3AE1">
      <w:pPr>
        <w:spacing w:after="0" w:line="240" w:lineRule="auto"/>
        <w:jc w:val="both"/>
        <w:rPr>
          <w:b/>
          <w:sz w:val="24"/>
          <w:szCs w:val="24"/>
        </w:rPr>
      </w:pP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Pr="004F2086" w:rsidRDefault="004F2086" w:rsidP="00BA3AE1">
      <w:pPr>
        <w:spacing w:after="0" w:line="240" w:lineRule="auto"/>
        <w:jc w:val="both"/>
        <w:rPr>
          <w:sz w:val="24"/>
          <w:szCs w:val="24"/>
        </w:rPr>
      </w:pPr>
      <w:r>
        <w:rPr>
          <w:sz w:val="24"/>
          <w:szCs w:val="24"/>
        </w:rPr>
        <w:t xml:space="preserve">Atendiendo la solicitud de información No 021/2019, le envío la información proporcionada por la Subdirección de Derechos Individuales: </w:t>
      </w:r>
    </w:p>
    <w:p w:rsidR="004F2086" w:rsidRDefault="004F2086" w:rsidP="00BA3AE1">
      <w:pPr>
        <w:spacing w:after="0" w:line="240" w:lineRule="auto"/>
        <w:jc w:val="both"/>
      </w:pPr>
    </w:p>
    <w:p w:rsidR="004F2086" w:rsidRDefault="004F2086" w:rsidP="00BA3AE1">
      <w:pPr>
        <w:spacing w:after="0" w:line="240" w:lineRule="auto"/>
        <w:jc w:val="both"/>
      </w:pPr>
    </w:p>
    <w:p w:rsidR="008E502C" w:rsidRDefault="008E502C" w:rsidP="008E502C">
      <w:pPr>
        <w:pStyle w:val="Prrafodelista"/>
        <w:spacing w:after="0" w:line="240" w:lineRule="auto"/>
        <w:jc w:val="both"/>
      </w:pPr>
    </w:p>
    <w:p w:rsidR="00B15DE7" w:rsidRPr="00394399" w:rsidRDefault="00B15DE7" w:rsidP="00B15DE7">
      <w:pPr>
        <w:shd w:val="clear" w:color="auto" w:fill="DEEAF6" w:themeFill="accent1" w:themeFillTint="33"/>
        <w:spacing w:after="0" w:line="240" w:lineRule="auto"/>
        <w:ind w:left="360"/>
        <w:jc w:val="center"/>
        <w:rPr>
          <w:b/>
          <w:i/>
          <w:sz w:val="26"/>
          <w:szCs w:val="26"/>
        </w:rPr>
      </w:pPr>
      <w:r w:rsidRPr="00394399">
        <w:rPr>
          <w:b/>
          <w:i/>
          <w:sz w:val="26"/>
          <w:szCs w:val="26"/>
        </w:rPr>
        <w:t xml:space="preserve">  </w:t>
      </w:r>
      <w:r>
        <w:rPr>
          <w:b/>
          <w:i/>
          <w:sz w:val="26"/>
          <w:szCs w:val="26"/>
        </w:rPr>
        <w:t>¿Quiénes son los vulneradores</w:t>
      </w:r>
      <w:r w:rsidRPr="00394399">
        <w:rPr>
          <w:b/>
          <w:i/>
          <w:sz w:val="26"/>
          <w:szCs w:val="26"/>
        </w:rPr>
        <w:t>?</w:t>
      </w:r>
    </w:p>
    <w:p w:rsidR="00B15DE7" w:rsidRDefault="00B15DE7" w:rsidP="00BA3AE1">
      <w:pPr>
        <w:spacing w:after="0" w:line="240" w:lineRule="auto"/>
        <w:jc w:val="both"/>
      </w:pPr>
    </w:p>
    <w:p w:rsidR="005035F6" w:rsidRDefault="00B15DE7" w:rsidP="00B15DE7">
      <w:pPr>
        <w:spacing w:after="0" w:line="240" w:lineRule="auto"/>
        <w:jc w:val="both"/>
        <w:rPr>
          <w:rFonts w:asciiTheme="minorHAnsi" w:eastAsiaTheme="minorHAnsi" w:hAnsiTheme="minorHAnsi" w:cstheme="minorBidi"/>
          <w:lang w:val="es-SV"/>
        </w:rPr>
      </w:pPr>
      <w:r>
        <w:rPr>
          <w:rFonts w:asciiTheme="minorHAnsi" w:eastAsiaTheme="minorHAnsi" w:hAnsiTheme="minorHAnsi" w:cstheme="minorBidi"/>
          <w:lang w:val="es-SV"/>
        </w:rPr>
        <w:t xml:space="preserve">La garantía </w:t>
      </w:r>
      <w:r w:rsidR="00F62D62">
        <w:rPr>
          <w:rFonts w:asciiTheme="minorHAnsi" w:eastAsiaTheme="minorHAnsi" w:hAnsiTheme="minorHAnsi" w:cstheme="minorBidi"/>
          <w:lang w:val="es-SV"/>
        </w:rPr>
        <w:t xml:space="preserve">y protección </w:t>
      </w:r>
      <w:r>
        <w:rPr>
          <w:rFonts w:asciiTheme="minorHAnsi" w:eastAsiaTheme="minorHAnsi" w:hAnsiTheme="minorHAnsi" w:cstheme="minorBidi"/>
          <w:lang w:val="es-SV"/>
        </w:rPr>
        <w:t xml:space="preserve">de los derechos de las niñas, niños y adolescentes le corresponde </w:t>
      </w:r>
      <w:r w:rsidR="00F62D62">
        <w:rPr>
          <w:rFonts w:asciiTheme="minorHAnsi" w:eastAsiaTheme="minorHAnsi" w:hAnsiTheme="minorHAnsi" w:cstheme="minorBidi"/>
          <w:lang w:val="es-SV"/>
        </w:rPr>
        <w:t xml:space="preserve">principalmente </w:t>
      </w:r>
      <w:r>
        <w:rPr>
          <w:rFonts w:asciiTheme="minorHAnsi" w:eastAsiaTheme="minorHAnsi" w:hAnsiTheme="minorHAnsi" w:cstheme="minorBidi"/>
          <w:lang w:val="es-SV"/>
        </w:rPr>
        <w:t>a la familia,</w:t>
      </w:r>
      <w:r w:rsidR="00F62D62">
        <w:rPr>
          <w:rFonts w:asciiTheme="minorHAnsi" w:eastAsiaTheme="minorHAnsi" w:hAnsiTheme="minorHAnsi" w:cstheme="minorBidi"/>
          <w:lang w:val="es-SV"/>
        </w:rPr>
        <w:t xml:space="preserve"> </w:t>
      </w:r>
      <w:r w:rsidR="005035F6">
        <w:rPr>
          <w:rFonts w:asciiTheme="minorHAnsi" w:eastAsiaTheme="minorHAnsi" w:hAnsiTheme="minorHAnsi" w:cstheme="minorBidi"/>
          <w:lang w:val="es-SV"/>
        </w:rPr>
        <w:t xml:space="preserve">es decir, </w:t>
      </w:r>
      <w:r w:rsidR="005035F6" w:rsidRPr="00B15DE7">
        <w:rPr>
          <w:rFonts w:asciiTheme="minorHAnsi" w:eastAsiaTheme="minorHAnsi" w:hAnsiTheme="minorHAnsi" w:cstheme="minorBidi"/>
          <w:lang w:val="es-SV"/>
        </w:rPr>
        <w:t>padres, madres</w:t>
      </w:r>
      <w:r w:rsidR="005035F6">
        <w:rPr>
          <w:rFonts w:asciiTheme="minorHAnsi" w:eastAsiaTheme="minorHAnsi" w:hAnsiTheme="minorHAnsi" w:cstheme="minorBidi"/>
          <w:lang w:val="es-SV"/>
        </w:rPr>
        <w:t xml:space="preserve">, representantes o responsables. Pero, en muchos casos tramitados por Juntas de Protección de la Niñez y de la Adolescencia son quienes más vulneran “el derecho a la integridad personal” entre otros. </w:t>
      </w:r>
      <w:r w:rsidR="00F62D62">
        <w:rPr>
          <w:rFonts w:asciiTheme="minorHAnsi" w:eastAsiaTheme="minorHAnsi" w:hAnsiTheme="minorHAnsi" w:cstheme="minorBidi"/>
          <w:lang w:val="es-SV"/>
        </w:rPr>
        <w:t xml:space="preserve"> </w:t>
      </w:r>
    </w:p>
    <w:p w:rsidR="00B15DE7" w:rsidRDefault="00B15DE7" w:rsidP="00B15DE7">
      <w:pPr>
        <w:spacing w:after="0" w:line="240" w:lineRule="auto"/>
        <w:jc w:val="both"/>
        <w:rPr>
          <w:rFonts w:asciiTheme="minorHAnsi" w:eastAsiaTheme="minorHAnsi" w:hAnsiTheme="minorHAnsi" w:cstheme="minorBidi"/>
          <w:lang w:val="es-SV"/>
        </w:rPr>
      </w:pPr>
      <w:r w:rsidRPr="00B15DE7">
        <w:rPr>
          <w:rFonts w:asciiTheme="minorHAnsi" w:eastAsiaTheme="minorHAnsi" w:hAnsiTheme="minorHAnsi" w:cstheme="minorBidi"/>
          <w:lang w:val="es-SV"/>
        </w:rPr>
        <w:t xml:space="preserve"> </w:t>
      </w:r>
    </w:p>
    <w:p w:rsidR="00F02F41" w:rsidRDefault="00F02F41" w:rsidP="00B15DE7">
      <w:pPr>
        <w:spacing w:after="0" w:line="240" w:lineRule="auto"/>
        <w:jc w:val="both"/>
        <w:rPr>
          <w:rFonts w:asciiTheme="minorHAnsi" w:eastAsiaTheme="minorHAnsi" w:hAnsiTheme="minorHAnsi" w:cstheme="minorBidi"/>
          <w:lang w:val="es-SV"/>
        </w:rPr>
      </w:pPr>
      <w:r>
        <w:rPr>
          <w:rFonts w:asciiTheme="minorHAnsi" w:eastAsiaTheme="minorHAnsi" w:hAnsiTheme="minorHAnsi" w:cstheme="minorBidi"/>
          <w:lang w:val="es-SV"/>
        </w:rPr>
        <w:t xml:space="preserve">*Se adjunta información estadística. </w:t>
      </w:r>
    </w:p>
    <w:p w:rsidR="00F02F41" w:rsidRPr="00B15DE7" w:rsidRDefault="00F02F41" w:rsidP="00B15DE7">
      <w:pPr>
        <w:spacing w:after="0" w:line="240" w:lineRule="auto"/>
        <w:jc w:val="both"/>
        <w:rPr>
          <w:rFonts w:asciiTheme="minorHAnsi" w:eastAsiaTheme="minorHAnsi" w:hAnsiTheme="minorHAnsi" w:cstheme="minorBidi"/>
          <w:lang w:val="es-SV"/>
        </w:rPr>
      </w:pPr>
    </w:p>
    <w:p w:rsidR="00BA3AE1" w:rsidRPr="00394399" w:rsidRDefault="00BA3AE1" w:rsidP="00BA3AE1">
      <w:pPr>
        <w:shd w:val="clear" w:color="auto" w:fill="DEEAF6" w:themeFill="accent1" w:themeFillTint="33"/>
        <w:spacing w:after="0" w:line="240" w:lineRule="auto"/>
        <w:ind w:left="360"/>
        <w:jc w:val="center"/>
        <w:rPr>
          <w:b/>
          <w:i/>
          <w:sz w:val="26"/>
          <w:szCs w:val="26"/>
        </w:rPr>
      </w:pPr>
      <w:r w:rsidRPr="00394399">
        <w:rPr>
          <w:b/>
          <w:i/>
          <w:sz w:val="26"/>
          <w:szCs w:val="26"/>
        </w:rPr>
        <w:t xml:space="preserve"> ¿</w:t>
      </w:r>
      <w:r>
        <w:rPr>
          <w:b/>
          <w:i/>
          <w:sz w:val="26"/>
          <w:szCs w:val="26"/>
        </w:rPr>
        <w:t>Procedimiento de atención de casos de amenaza o vulneración</w:t>
      </w:r>
      <w:r w:rsidRPr="00394399">
        <w:rPr>
          <w:b/>
          <w:i/>
          <w:sz w:val="26"/>
          <w:szCs w:val="26"/>
        </w:rPr>
        <w:t>?</w:t>
      </w:r>
    </w:p>
    <w:p w:rsidR="00BA3AE1" w:rsidRDefault="00BA3AE1" w:rsidP="00BA3AE1">
      <w:pPr>
        <w:shd w:val="clear" w:color="auto" w:fill="F5F5F5"/>
        <w:spacing w:before="225" w:after="225" w:line="288" w:lineRule="atLeast"/>
        <w:jc w:val="center"/>
        <w:outlineLvl w:val="0"/>
        <w:rPr>
          <w:rFonts w:eastAsia="Times New Roman" w:cs="Arial"/>
          <w:b/>
          <w:bCs/>
          <w:caps/>
          <w:color w:val="000000"/>
          <w:spacing w:val="15"/>
          <w:kern w:val="36"/>
          <w:sz w:val="24"/>
          <w:lang w:eastAsia="es-SV"/>
        </w:rPr>
      </w:pPr>
      <w:r>
        <w:rPr>
          <w:rFonts w:eastAsia="Times New Roman" w:cs="Arial"/>
          <w:b/>
          <w:bCs/>
          <w:caps/>
          <w:color w:val="000000"/>
          <w:spacing w:val="15"/>
          <w:kern w:val="36"/>
          <w:sz w:val="24"/>
          <w:lang w:eastAsia="es-SV"/>
        </w:rPr>
        <w:t>JUNTAS DE PROTECCIÓN</w:t>
      </w:r>
    </w:p>
    <w:p w:rsidR="00BA3AE1" w:rsidRDefault="00BA3AE1" w:rsidP="00BA3AE1">
      <w:pPr>
        <w:spacing w:after="225" w:line="225" w:lineRule="atLeast"/>
        <w:jc w:val="both"/>
        <w:rPr>
          <w:rFonts w:eastAsia="Times New Roman"/>
          <w:lang w:eastAsia="es-SV"/>
        </w:rPr>
      </w:pPr>
      <w:r w:rsidRPr="00AB6995">
        <w:rPr>
          <w:rFonts w:eastAsia="Times New Roman"/>
          <w:b/>
          <w:lang w:eastAsia="es-SV"/>
        </w:rPr>
        <w:t>Procedimiento en Juntas de Protección ante la vulneración a d</w:t>
      </w:r>
      <w:r w:rsidR="00C2494E">
        <w:rPr>
          <w:rFonts w:eastAsia="Times New Roman"/>
          <w:b/>
          <w:lang w:eastAsia="es-SV"/>
        </w:rPr>
        <w:t>erecho de un NNA. Arts. 203 a 2</w:t>
      </w:r>
      <w:r w:rsidRPr="00AB6995">
        <w:rPr>
          <w:rFonts w:eastAsia="Times New Roman"/>
          <w:b/>
          <w:lang w:eastAsia="es-SV"/>
        </w:rPr>
        <w:t>13 LEPINA</w:t>
      </w:r>
      <w:r w:rsidRPr="00AB6995">
        <w:rPr>
          <w:rFonts w:eastAsia="Times New Roman"/>
          <w:lang w:eastAsia="es-SV"/>
        </w:rPr>
        <w:t>.</w:t>
      </w:r>
    </w:p>
    <w:p w:rsidR="00BA3AE1" w:rsidRPr="00FF3226" w:rsidRDefault="00BA3AE1" w:rsidP="00BA3AE1">
      <w:pPr>
        <w:pStyle w:val="Prrafodelista"/>
        <w:spacing w:after="225" w:line="225" w:lineRule="atLeast"/>
        <w:jc w:val="both"/>
        <w:rPr>
          <w:rFonts w:eastAsia="Times New Roman"/>
          <w:b/>
          <w:bCs/>
          <w:lang w:eastAsia="es-SV"/>
        </w:rPr>
      </w:pPr>
      <w:r>
        <w:rPr>
          <w:rFonts w:eastAsia="Times New Roman"/>
          <w:b/>
          <w:bCs/>
          <w:lang w:eastAsia="es-SV"/>
        </w:rPr>
        <w:t xml:space="preserve">PASO 1. </w:t>
      </w:r>
    </w:p>
    <w:p w:rsidR="00BA3AE1" w:rsidRPr="00B15DE7" w:rsidRDefault="00BA3AE1" w:rsidP="00AD73E6">
      <w:pPr>
        <w:pStyle w:val="Prrafodelista"/>
        <w:numPr>
          <w:ilvl w:val="0"/>
          <w:numId w:val="17"/>
        </w:numPr>
        <w:spacing w:after="225" w:line="225" w:lineRule="atLeast"/>
        <w:jc w:val="both"/>
        <w:rPr>
          <w:rFonts w:eastAsia="Times New Roman"/>
          <w:bCs/>
          <w:lang w:eastAsia="es-SV"/>
        </w:rPr>
      </w:pPr>
      <w:r w:rsidRPr="00B15DE7">
        <w:rPr>
          <w:rFonts w:eastAsia="Times New Roman"/>
          <w:bCs/>
          <w:u w:val="single"/>
          <w:lang w:eastAsia="es-SV"/>
        </w:rPr>
        <w:t>Aviso</w:t>
      </w:r>
      <w:r w:rsidRPr="00B15DE7">
        <w:rPr>
          <w:rFonts w:eastAsia="Times New Roman"/>
          <w:bCs/>
          <w:lang w:eastAsia="es-SV"/>
        </w:rPr>
        <w:t>: cualquier persona que tuviere noticia de haberse cometido una infracción podrá dar aviso a la autoridad competente o a la Policía Nacional Civil, la cual informará de su recibo a aquélla dentro de un plazo máximo de ocho horas; el aviso podrá ser verbal o escrito.</w:t>
      </w:r>
    </w:p>
    <w:p w:rsidR="00BA3AE1" w:rsidRPr="00FF3226" w:rsidRDefault="00BA3AE1" w:rsidP="00BA3AE1">
      <w:pPr>
        <w:pStyle w:val="Prrafodelista"/>
        <w:spacing w:after="225" w:line="225" w:lineRule="atLeast"/>
        <w:jc w:val="both"/>
        <w:rPr>
          <w:rFonts w:eastAsia="Times New Roman"/>
          <w:bCs/>
          <w:lang w:eastAsia="es-SV"/>
        </w:rPr>
      </w:pPr>
    </w:p>
    <w:p w:rsidR="00BA3AE1" w:rsidRDefault="00BA3AE1" w:rsidP="00BA3AE1">
      <w:pPr>
        <w:pStyle w:val="Prrafodelista"/>
        <w:numPr>
          <w:ilvl w:val="0"/>
          <w:numId w:val="17"/>
        </w:numPr>
        <w:spacing w:after="225" w:line="225" w:lineRule="atLeast"/>
        <w:jc w:val="both"/>
        <w:rPr>
          <w:rFonts w:eastAsia="Times New Roman"/>
          <w:bCs/>
          <w:lang w:eastAsia="es-SV"/>
        </w:rPr>
      </w:pPr>
      <w:r w:rsidRPr="00394399">
        <w:rPr>
          <w:rFonts w:eastAsia="Times New Roman"/>
          <w:bCs/>
          <w:u w:val="single"/>
          <w:lang w:eastAsia="es-SV"/>
        </w:rPr>
        <w:t>Denuncia</w:t>
      </w:r>
      <w:r>
        <w:rPr>
          <w:rFonts w:eastAsia="Times New Roman"/>
          <w:bCs/>
          <w:lang w:eastAsia="es-SV"/>
        </w:rPr>
        <w:t>: deberá contener una serie de requisitos como: identificación del denunciante y la calidad en la que denuncia; identificación de la niña, niño o adolescente cuyos derechos hayan sido vulnerado o se encuentren amenazados; identificación de la persona denunciada a quien se atribuye una vulneración o amenaza de los derechos e indicación del lugar donde pueden ser citadas; descripción de los hechos que permitan establecer la vulneración o amenazas a los derechos de la niña, niño o adolescente; elementos de prueba de las infracciones alegadas o el lugar donde se encuentren y la designación del lugar donde puede ser notificado. La denuncia debe ser en forma oral.</w:t>
      </w:r>
    </w:p>
    <w:p w:rsidR="00BA3AE1" w:rsidRPr="00FF3226" w:rsidRDefault="00BA3AE1" w:rsidP="00BA3AE1">
      <w:pPr>
        <w:pStyle w:val="Prrafodelista"/>
        <w:spacing w:after="225" w:line="225" w:lineRule="atLeast"/>
        <w:jc w:val="both"/>
        <w:rPr>
          <w:rFonts w:eastAsia="Times New Roman"/>
          <w:bCs/>
          <w:lang w:eastAsia="es-SV"/>
        </w:rPr>
      </w:pPr>
    </w:p>
    <w:p w:rsidR="00BA3AE1" w:rsidRDefault="00BA3AE1" w:rsidP="00BA3AE1">
      <w:pPr>
        <w:pStyle w:val="Prrafodelista"/>
        <w:numPr>
          <w:ilvl w:val="0"/>
          <w:numId w:val="17"/>
        </w:numPr>
        <w:spacing w:after="225" w:line="225" w:lineRule="atLeast"/>
        <w:jc w:val="both"/>
        <w:rPr>
          <w:rFonts w:eastAsia="Times New Roman"/>
          <w:bCs/>
          <w:lang w:eastAsia="es-SV"/>
        </w:rPr>
      </w:pPr>
      <w:r w:rsidRPr="00394399">
        <w:rPr>
          <w:rFonts w:eastAsia="Times New Roman"/>
          <w:bCs/>
          <w:u w:val="single"/>
          <w:lang w:eastAsia="es-SV"/>
        </w:rPr>
        <w:lastRenderedPageBreak/>
        <w:t>Oficiosidad</w:t>
      </w:r>
      <w:r>
        <w:rPr>
          <w:rFonts w:eastAsia="Times New Roman"/>
          <w:bCs/>
          <w:lang w:eastAsia="es-SV"/>
        </w:rPr>
        <w:t xml:space="preserve">: los procedimientos administrativos se rigen por el Principio de oficiosidad; lo cual, son impulsados de oficio en todos sus trámites por la Junta de Protección. </w:t>
      </w:r>
    </w:p>
    <w:p w:rsidR="00BA3AE1" w:rsidRDefault="00BA3AE1" w:rsidP="00BA3AE1">
      <w:pPr>
        <w:pStyle w:val="Prrafodelista"/>
        <w:spacing w:after="225" w:line="225" w:lineRule="atLeast"/>
        <w:jc w:val="both"/>
        <w:rPr>
          <w:rFonts w:eastAsia="Times New Roman"/>
          <w:bCs/>
          <w:lang w:eastAsia="es-SV"/>
        </w:rPr>
      </w:pPr>
      <w:r>
        <w:rPr>
          <w:rFonts w:eastAsia="Times New Roman"/>
          <w:bCs/>
          <w:lang w:eastAsia="es-SV"/>
        </w:rPr>
        <w:t>Las autoridades competentes podrán de oficio o a petición de interesado ordenar diligencias y recolectar pruebas necesarias para determinar la existencia de las circunstancias debatidas. (Art. 31 RIFJP)</w:t>
      </w:r>
    </w:p>
    <w:p w:rsidR="00BA3AE1" w:rsidRDefault="00BA3AE1" w:rsidP="00BA3AE1">
      <w:pPr>
        <w:pStyle w:val="Prrafodelista"/>
        <w:spacing w:after="225" w:line="225" w:lineRule="atLeast"/>
        <w:jc w:val="both"/>
        <w:rPr>
          <w:rFonts w:eastAsia="Times New Roman"/>
          <w:bCs/>
          <w:lang w:eastAsia="es-SV"/>
        </w:rPr>
      </w:pPr>
    </w:p>
    <w:p w:rsidR="00BA3AE1" w:rsidRDefault="00BA3AE1" w:rsidP="00BA3AE1">
      <w:pPr>
        <w:pStyle w:val="Prrafodelista"/>
        <w:spacing w:after="225" w:line="225" w:lineRule="atLeast"/>
        <w:jc w:val="both"/>
        <w:rPr>
          <w:rFonts w:eastAsia="Times New Roman"/>
          <w:b/>
          <w:bCs/>
          <w:lang w:eastAsia="es-SV"/>
        </w:rPr>
      </w:pPr>
      <w:r w:rsidRPr="00AB6995">
        <w:rPr>
          <w:rFonts w:eastAsia="Times New Roman"/>
          <w:b/>
          <w:bCs/>
          <w:lang w:eastAsia="es-SV"/>
        </w:rPr>
        <w:t xml:space="preserve">PASO 2 </w:t>
      </w:r>
    </w:p>
    <w:p w:rsidR="00BA3AE1" w:rsidRPr="009D07D8" w:rsidRDefault="00BA3AE1" w:rsidP="00BA3AE1">
      <w:pPr>
        <w:pStyle w:val="Prrafodelista"/>
        <w:spacing w:after="225" w:line="225" w:lineRule="atLeast"/>
        <w:jc w:val="both"/>
        <w:rPr>
          <w:rFonts w:eastAsia="Times New Roman"/>
          <w:bCs/>
          <w:u w:val="single"/>
          <w:lang w:eastAsia="es-SV"/>
        </w:rPr>
      </w:pPr>
      <w:r w:rsidRPr="009D07D8">
        <w:rPr>
          <w:rFonts w:eastAsia="Times New Roman"/>
          <w:bCs/>
          <w:u w:val="single"/>
          <w:lang w:eastAsia="es-SV"/>
        </w:rPr>
        <w:t>Auto de apertura</w:t>
      </w:r>
    </w:p>
    <w:p w:rsidR="00BA3AE1" w:rsidRPr="00AB6995" w:rsidRDefault="00BA3AE1" w:rsidP="00BA3AE1">
      <w:pPr>
        <w:pStyle w:val="Prrafodelista"/>
        <w:spacing w:after="225" w:line="225" w:lineRule="atLeast"/>
        <w:jc w:val="both"/>
        <w:rPr>
          <w:rFonts w:eastAsia="Times New Roman"/>
          <w:bCs/>
          <w:lang w:eastAsia="es-SV"/>
        </w:rPr>
      </w:pPr>
      <w:r>
        <w:rPr>
          <w:rFonts w:eastAsia="Times New Roman"/>
          <w:bCs/>
          <w:lang w:eastAsia="es-SV"/>
        </w:rPr>
        <w:t>Se ordena la apertura del procedimiento o en su caso</w:t>
      </w:r>
      <w:r w:rsidRPr="009D07D8">
        <w:rPr>
          <w:rFonts w:eastAsia="Times New Roman"/>
          <w:bCs/>
          <w:lang w:eastAsia="es-SV"/>
        </w:rPr>
        <w:t xml:space="preserve"> </w:t>
      </w:r>
      <w:r>
        <w:rPr>
          <w:rFonts w:eastAsia="Times New Roman"/>
          <w:bCs/>
          <w:lang w:eastAsia="es-SV"/>
        </w:rPr>
        <w:t xml:space="preserve">se dictan posibles medidas cautelares o se declarará la improcedencia o improponibilidad de la petición. </w:t>
      </w:r>
      <w:r w:rsidRPr="00AB6995">
        <w:rPr>
          <w:rFonts w:eastAsia="Times New Roman"/>
          <w:bCs/>
          <w:lang w:eastAsia="es-SV"/>
        </w:rPr>
        <w:t xml:space="preserve"> </w:t>
      </w:r>
    </w:p>
    <w:p w:rsidR="00BA3AE1" w:rsidRDefault="00BA3AE1" w:rsidP="00BA3AE1">
      <w:pPr>
        <w:pStyle w:val="Prrafodelista"/>
        <w:spacing w:after="225" w:line="225" w:lineRule="atLeast"/>
        <w:jc w:val="both"/>
        <w:rPr>
          <w:rFonts w:eastAsia="Times New Roman"/>
          <w:b/>
          <w:bCs/>
          <w:lang w:eastAsia="es-SV"/>
        </w:rPr>
      </w:pPr>
    </w:p>
    <w:p w:rsidR="00BA3AE1" w:rsidRDefault="00BA3AE1" w:rsidP="00BA3AE1">
      <w:pPr>
        <w:pStyle w:val="Prrafodelista"/>
        <w:spacing w:after="225" w:line="225" w:lineRule="atLeast"/>
        <w:jc w:val="both"/>
        <w:rPr>
          <w:rFonts w:eastAsia="Times New Roman"/>
          <w:b/>
          <w:bCs/>
          <w:lang w:eastAsia="es-SV"/>
        </w:rPr>
      </w:pPr>
      <w:r>
        <w:rPr>
          <w:rFonts w:eastAsia="Times New Roman"/>
          <w:b/>
          <w:bCs/>
          <w:lang w:eastAsia="es-SV"/>
        </w:rPr>
        <w:t xml:space="preserve">PASO 3 </w:t>
      </w:r>
    </w:p>
    <w:p w:rsidR="00BA3AE1" w:rsidRDefault="00BA3AE1" w:rsidP="00BA3AE1">
      <w:pPr>
        <w:pStyle w:val="Prrafodelista"/>
        <w:spacing w:after="225" w:line="225" w:lineRule="atLeast"/>
        <w:jc w:val="both"/>
        <w:rPr>
          <w:rFonts w:eastAsia="Times New Roman"/>
          <w:bCs/>
          <w:lang w:eastAsia="es-SV"/>
        </w:rPr>
      </w:pPr>
      <w:r>
        <w:rPr>
          <w:rFonts w:eastAsia="Times New Roman"/>
          <w:bCs/>
          <w:u w:val="single"/>
          <w:lang w:eastAsia="es-SV"/>
        </w:rPr>
        <w:t>Notificación</w:t>
      </w:r>
      <w:r>
        <w:rPr>
          <w:rFonts w:eastAsia="Times New Roman"/>
          <w:bCs/>
          <w:lang w:eastAsia="es-SV"/>
        </w:rPr>
        <w:t xml:space="preserve"> esta diligencia se realiza en la dirección conocida de los interesados y si se encontraré a la persona que deba ser notificada, dejando constancia de la actuación para garantizar el derecho de defensa. </w:t>
      </w:r>
    </w:p>
    <w:p w:rsidR="00BA3AE1" w:rsidRDefault="00BA3AE1" w:rsidP="00BA3AE1">
      <w:pPr>
        <w:pStyle w:val="Prrafodelista"/>
        <w:spacing w:after="225" w:line="225" w:lineRule="atLeast"/>
        <w:jc w:val="both"/>
        <w:rPr>
          <w:rFonts w:eastAsia="Times New Roman"/>
          <w:b/>
          <w:bCs/>
          <w:u w:val="single"/>
          <w:lang w:eastAsia="es-SV"/>
        </w:rPr>
      </w:pPr>
    </w:p>
    <w:p w:rsidR="00BA3AE1" w:rsidRPr="009635DC" w:rsidRDefault="00BA3AE1" w:rsidP="00BA3AE1">
      <w:pPr>
        <w:pStyle w:val="Prrafodelista"/>
        <w:spacing w:after="225" w:line="225" w:lineRule="atLeast"/>
        <w:jc w:val="both"/>
        <w:rPr>
          <w:rFonts w:eastAsia="Times New Roman"/>
          <w:b/>
          <w:bCs/>
          <w:lang w:eastAsia="es-SV"/>
        </w:rPr>
      </w:pPr>
      <w:r w:rsidRPr="009635DC">
        <w:rPr>
          <w:rFonts w:eastAsia="Times New Roman"/>
          <w:b/>
          <w:bCs/>
          <w:lang w:eastAsia="es-SV"/>
        </w:rPr>
        <w:t>PASO 4</w:t>
      </w:r>
    </w:p>
    <w:p w:rsidR="00BA3AE1" w:rsidRDefault="00BA3AE1" w:rsidP="00BA3AE1">
      <w:pPr>
        <w:pStyle w:val="Prrafodelista"/>
        <w:spacing w:after="225" w:line="225" w:lineRule="atLeast"/>
        <w:jc w:val="both"/>
        <w:rPr>
          <w:rFonts w:eastAsia="Times New Roman"/>
          <w:bCs/>
          <w:lang w:eastAsia="es-SV"/>
        </w:rPr>
      </w:pPr>
      <w:r w:rsidRPr="00990AB4">
        <w:rPr>
          <w:rFonts w:eastAsia="Times New Roman"/>
          <w:bCs/>
          <w:u w:val="single"/>
          <w:lang w:eastAsia="es-SV"/>
        </w:rPr>
        <w:t>Investigaciones del equipo multidisciplinario</w:t>
      </w:r>
      <w:r>
        <w:rPr>
          <w:rFonts w:eastAsia="Times New Roman"/>
          <w:bCs/>
          <w:u w:val="single"/>
          <w:lang w:eastAsia="es-SV"/>
        </w:rPr>
        <w:t xml:space="preserve"> y aportación de pruebas</w:t>
      </w:r>
      <w:r w:rsidRPr="00990AB4">
        <w:rPr>
          <w:rFonts w:eastAsia="Times New Roman"/>
          <w:bCs/>
          <w:lang w:eastAsia="es-SV"/>
        </w:rPr>
        <w:t xml:space="preserve"> </w:t>
      </w:r>
      <w:r>
        <w:rPr>
          <w:rFonts w:eastAsia="Times New Roman"/>
          <w:bCs/>
          <w:lang w:eastAsia="es-SV"/>
        </w:rPr>
        <w:t xml:space="preserve">se realiza a través de un equipo multidisciplinario compuesto por profesionales en ciencias de la psicología, trabajo social y ciencias jurídicas a fin de efectuar estudios psicosociales o peritajes. </w:t>
      </w:r>
    </w:p>
    <w:p w:rsidR="00BA3AE1" w:rsidRDefault="00BA3AE1" w:rsidP="00BA3AE1">
      <w:pPr>
        <w:pStyle w:val="Prrafodelista"/>
        <w:spacing w:after="225" w:line="225" w:lineRule="atLeast"/>
        <w:jc w:val="both"/>
        <w:rPr>
          <w:rFonts w:eastAsia="Times New Roman"/>
          <w:bCs/>
          <w:lang w:eastAsia="es-SV"/>
        </w:rPr>
      </w:pPr>
    </w:p>
    <w:p w:rsidR="00BA3AE1" w:rsidRDefault="00BA3AE1" w:rsidP="00BA3AE1">
      <w:pPr>
        <w:pStyle w:val="Prrafodelista"/>
        <w:spacing w:after="225" w:line="225" w:lineRule="atLeast"/>
        <w:jc w:val="both"/>
        <w:rPr>
          <w:rFonts w:eastAsia="Times New Roman"/>
          <w:b/>
          <w:bCs/>
          <w:lang w:eastAsia="es-SV"/>
        </w:rPr>
      </w:pPr>
      <w:r>
        <w:rPr>
          <w:rFonts w:eastAsia="Times New Roman"/>
          <w:b/>
          <w:bCs/>
          <w:lang w:eastAsia="es-SV"/>
        </w:rPr>
        <w:t>PASO 5</w:t>
      </w:r>
    </w:p>
    <w:p w:rsidR="00BA3AE1" w:rsidRDefault="00BA3AE1" w:rsidP="00BA3AE1">
      <w:pPr>
        <w:pStyle w:val="Prrafodelista"/>
        <w:spacing w:after="225" w:line="225" w:lineRule="atLeast"/>
        <w:jc w:val="both"/>
        <w:rPr>
          <w:rFonts w:eastAsia="Times New Roman"/>
          <w:bCs/>
          <w:lang w:eastAsia="es-SV"/>
        </w:rPr>
      </w:pPr>
      <w:r w:rsidRPr="009635DC">
        <w:rPr>
          <w:rFonts w:eastAsia="Times New Roman"/>
          <w:bCs/>
          <w:u w:val="single"/>
          <w:lang w:eastAsia="es-SV"/>
        </w:rPr>
        <w:t>Audiencia Única</w:t>
      </w:r>
      <w:r>
        <w:rPr>
          <w:rFonts w:eastAsia="Times New Roman"/>
          <w:bCs/>
          <w:u w:val="single"/>
          <w:lang w:eastAsia="es-SV"/>
        </w:rPr>
        <w:t xml:space="preserve"> y resolución de medidas </w:t>
      </w:r>
      <w:r>
        <w:rPr>
          <w:rFonts w:eastAsia="Times New Roman"/>
          <w:bCs/>
          <w:lang w:eastAsia="es-SV"/>
        </w:rPr>
        <w:t xml:space="preserve"> el espacio está coordinado por tres Miembros Propietarios o Suplentes de las Juntas de Protección, junto a las partes que interviene en el procedimiento, en dicho espacio se exponen los hechos objeto del procedimiento, se reciben pruebas sobre los hechos y se escuchan alegatos, finalmente, se pronunciara la resolución definitiva sobre la adopción de las medidas administrativas de protección. </w:t>
      </w:r>
    </w:p>
    <w:p w:rsidR="00BA3AE1" w:rsidRDefault="00BA3AE1" w:rsidP="00BA3AE1">
      <w:pPr>
        <w:pStyle w:val="Prrafodelista"/>
        <w:spacing w:after="225" w:line="225" w:lineRule="atLeast"/>
        <w:jc w:val="both"/>
        <w:rPr>
          <w:rFonts w:eastAsia="Times New Roman"/>
          <w:bCs/>
          <w:lang w:eastAsia="es-SV"/>
        </w:rPr>
      </w:pPr>
    </w:p>
    <w:p w:rsidR="00BA3AE1" w:rsidRDefault="00BA3AE1" w:rsidP="00BA3AE1">
      <w:pPr>
        <w:pStyle w:val="Prrafodelista"/>
        <w:spacing w:after="225" w:line="225" w:lineRule="atLeast"/>
        <w:jc w:val="both"/>
        <w:rPr>
          <w:rFonts w:eastAsia="Times New Roman"/>
          <w:b/>
          <w:bCs/>
          <w:lang w:eastAsia="es-SV"/>
        </w:rPr>
      </w:pPr>
      <w:r>
        <w:rPr>
          <w:rFonts w:eastAsia="Times New Roman"/>
          <w:b/>
          <w:bCs/>
          <w:lang w:eastAsia="es-SV"/>
        </w:rPr>
        <w:t xml:space="preserve">PASO 6 </w:t>
      </w:r>
    </w:p>
    <w:p w:rsidR="00BA3AE1" w:rsidRDefault="00BA3AE1" w:rsidP="00BA3AE1">
      <w:pPr>
        <w:pStyle w:val="Prrafodelista"/>
        <w:spacing w:after="225" w:line="225" w:lineRule="atLeast"/>
        <w:jc w:val="both"/>
        <w:rPr>
          <w:rFonts w:eastAsia="Times New Roman"/>
          <w:bCs/>
          <w:u w:val="single"/>
          <w:lang w:eastAsia="es-SV"/>
        </w:rPr>
      </w:pPr>
      <w:r>
        <w:rPr>
          <w:rFonts w:eastAsia="Times New Roman"/>
          <w:bCs/>
          <w:u w:val="single"/>
          <w:lang w:eastAsia="es-SV"/>
        </w:rPr>
        <w:t>Recurso de revisión</w:t>
      </w:r>
    </w:p>
    <w:p w:rsidR="00BA3AE1" w:rsidRDefault="00BA3AE1" w:rsidP="00BA3AE1">
      <w:pPr>
        <w:pStyle w:val="Prrafodelista"/>
        <w:spacing w:after="225" w:line="225" w:lineRule="atLeast"/>
        <w:jc w:val="both"/>
        <w:rPr>
          <w:rFonts w:eastAsia="Times New Roman"/>
          <w:bCs/>
          <w:lang w:eastAsia="es-SV"/>
        </w:rPr>
      </w:pPr>
      <w:r>
        <w:rPr>
          <w:rFonts w:eastAsia="Times New Roman"/>
          <w:bCs/>
          <w:lang w:eastAsia="es-SV"/>
        </w:rPr>
        <w:t>Todas las decisiones pronunciadas en Juntas de Protección, podrán ser recurridas en recurso de revisión, el cual se resolverá de conformidad con las reglas del procedimiento administrativo establecido en la LEPINA.</w:t>
      </w:r>
    </w:p>
    <w:p w:rsidR="00BA3AE1" w:rsidRDefault="00BA3AE1" w:rsidP="00BA3AE1">
      <w:pPr>
        <w:pStyle w:val="Prrafodelista"/>
        <w:spacing w:after="225" w:line="225" w:lineRule="atLeast"/>
        <w:jc w:val="both"/>
        <w:rPr>
          <w:rFonts w:eastAsia="Times New Roman"/>
          <w:bCs/>
          <w:lang w:eastAsia="es-SV"/>
        </w:rPr>
      </w:pPr>
    </w:p>
    <w:p w:rsidR="00BA3AE1" w:rsidRDefault="00BA3AE1" w:rsidP="00BA3AE1">
      <w:pPr>
        <w:pStyle w:val="Prrafodelista"/>
        <w:spacing w:after="225" w:line="225" w:lineRule="atLeast"/>
        <w:jc w:val="both"/>
        <w:rPr>
          <w:rFonts w:eastAsia="Times New Roman"/>
          <w:b/>
          <w:bCs/>
          <w:lang w:eastAsia="es-SV"/>
        </w:rPr>
      </w:pPr>
      <w:r>
        <w:rPr>
          <w:rFonts w:eastAsia="Times New Roman"/>
          <w:b/>
          <w:bCs/>
          <w:lang w:eastAsia="es-SV"/>
        </w:rPr>
        <w:t>PASO 7</w:t>
      </w:r>
    </w:p>
    <w:p w:rsidR="00BA3AE1" w:rsidRPr="00FE5B56" w:rsidRDefault="00BA3AE1" w:rsidP="00BA3AE1">
      <w:pPr>
        <w:pStyle w:val="Prrafodelista"/>
        <w:spacing w:after="225" w:line="225" w:lineRule="atLeast"/>
        <w:jc w:val="both"/>
        <w:rPr>
          <w:rFonts w:eastAsia="Times New Roman"/>
          <w:bCs/>
          <w:lang w:eastAsia="es-SV"/>
        </w:rPr>
      </w:pPr>
      <w:r w:rsidRPr="00FE5B56">
        <w:rPr>
          <w:rFonts w:eastAsia="Times New Roman"/>
          <w:bCs/>
          <w:u w:val="single"/>
          <w:lang w:eastAsia="es-SV"/>
        </w:rPr>
        <w:t xml:space="preserve">Ejecución de medidas de </w:t>
      </w:r>
      <w:r>
        <w:rPr>
          <w:rFonts w:eastAsia="Times New Roman"/>
          <w:bCs/>
          <w:u w:val="single"/>
          <w:lang w:eastAsia="es-SV"/>
        </w:rPr>
        <w:t>protección y s</w:t>
      </w:r>
      <w:r w:rsidRPr="00FE5B56">
        <w:rPr>
          <w:rFonts w:eastAsia="Times New Roman"/>
          <w:bCs/>
          <w:u w:val="single"/>
          <w:lang w:eastAsia="es-SV"/>
        </w:rPr>
        <w:t>eguimiento de medidas de protección</w:t>
      </w:r>
      <w:r>
        <w:rPr>
          <w:rFonts w:eastAsia="Times New Roman"/>
          <w:bCs/>
          <w:lang w:eastAsia="es-SV"/>
        </w:rPr>
        <w:t xml:space="preserve">.  </w:t>
      </w:r>
    </w:p>
    <w:p w:rsidR="00BA3AE1" w:rsidRDefault="00BA3AE1" w:rsidP="005035F6">
      <w:pPr>
        <w:pStyle w:val="Prrafodelista"/>
        <w:spacing w:after="225" w:line="225" w:lineRule="atLeast"/>
        <w:jc w:val="both"/>
        <w:rPr>
          <w:rFonts w:eastAsia="Times New Roman"/>
          <w:bCs/>
          <w:lang w:eastAsia="es-SV"/>
        </w:rPr>
      </w:pPr>
      <w:r>
        <w:rPr>
          <w:rFonts w:eastAsia="Times New Roman"/>
          <w:bCs/>
          <w:lang w:eastAsia="es-SV"/>
        </w:rPr>
        <w:t>Las medidas de protección son de obligatorio cumplimiento, en caso de incumplirlas la Junta de Protección deberá remitir la resolución respectiva, con la información pertinente al tribunal competente para que éste lo haga ejecutar.</w:t>
      </w:r>
    </w:p>
    <w:p w:rsidR="00B15DE7" w:rsidRPr="00394399" w:rsidRDefault="00B15DE7" w:rsidP="00B15DE7">
      <w:pPr>
        <w:shd w:val="clear" w:color="auto" w:fill="DEEAF6" w:themeFill="accent1" w:themeFillTint="33"/>
        <w:spacing w:after="0" w:line="240" w:lineRule="auto"/>
        <w:ind w:left="360"/>
        <w:jc w:val="center"/>
        <w:rPr>
          <w:b/>
          <w:i/>
          <w:sz w:val="26"/>
          <w:szCs w:val="26"/>
        </w:rPr>
      </w:pPr>
      <w:r>
        <w:rPr>
          <w:b/>
          <w:i/>
          <w:sz w:val="26"/>
          <w:szCs w:val="26"/>
        </w:rPr>
        <w:t>Servicios o programas de atención que se brinda en esos casos</w:t>
      </w:r>
    </w:p>
    <w:p w:rsidR="009C7671" w:rsidRDefault="009C7671" w:rsidP="009C7671">
      <w:pPr>
        <w:spacing w:after="225" w:line="225" w:lineRule="atLeast"/>
        <w:jc w:val="both"/>
        <w:rPr>
          <w:rFonts w:eastAsia="Times New Roman"/>
          <w:bCs/>
          <w:lang w:eastAsia="es-SV"/>
        </w:rPr>
      </w:pPr>
    </w:p>
    <w:p w:rsidR="005035F6" w:rsidRDefault="009C7671" w:rsidP="00FF6248">
      <w:pPr>
        <w:spacing w:after="225"/>
        <w:jc w:val="both"/>
        <w:rPr>
          <w:rFonts w:eastAsia="Times New Roman"/>
          <w:bCs/>
          <w:lang w:eastAsia="es-SV"/>
        </w:rPr>
      </w:pPr>
      <w:r>
        <w:rPr>
          <w:rFonts w:eastAsia="Times New Roman"/>
          <w:bCs/>
          <w:lang w:eastAsia="es-SV"/>
        </w:rPr>
        <w:t xml:space="preserve">Con respecto a esta interrogante, es necesario mencionar que: según el artículo 179 y 180 d) y e) de la LEPINA, determina la naturaleza y las competencias del Instituto Salvadoreño para el </w:t>
      </w:r>
      <w:r>
        <w:rPr>
          <w:rFonts w:eastAsia="Times New Roman"/>
          <w:bCs/>
          <w:lang w:eastAsia="es-SV"/>
        </w:rPr>
        <w:lastRenderedPageBreak/>
        <w:t xml:space="preserve">Desarrollo Integral de la Niñez y la Adolescencia “ISNA”. Entre las cuales se encuentra el </w:t>
      </w:r>
      <w:r w:rsidRPr="005035F6">
        <w:rPr>
          <w:rFonts w:eastAsia="Times New Roman"/>
          <w:bCs/>
          <w:u w:val="single"/>
          <w:lang w:eastAsia="es-SV"/>
        </w:rPr>
        <w:t>desarrollo de programas de protección, asistencia y educación</w:t>
      </w:r>
      <w:r>
        <w:rPr>
          <w:rFonts w:eastAsia="Times New Roman"/>
          <w:bCs/>
          <w:lang w:eastAsia="es-SV"/>
        </w:rPr>
        <w:t xml:space="preserve"> para las niñas, niños y adolescentes cuyos derechos hayan sido vulnera</w:t>
      </w:r>
      <w:r w:rsidR="005035F6">
        <w:rPr>
          <w:rFonts w:eastAsia="Times New Roman"/>
          <w:bCs/>
          <w:lang w:eastAsia="es-SV"/>
        </w:rPr>
        <w:t xml:space="preserve">dos o se encuentren amenazados. </w:t>
      </w:r>
      <w:r w:rsidR="00B45348">
        <w:rPr>
          <w:rFonts w:eastAsia="Times New Roman"/>
          <w:bCs/>
          <w:lang w:eastAsia="es-SV"/>
        </w:rPr>
        <w:t>Sin embargo, el artículo 172 de la LEPINA, refiere que todas las entidades de atención deberán registrar sus programas y acreditarlos ante el CONNA.</w:t>
      </w:r>
    </w:p>
    <w:p w:rsidR="00FF6248" w:rsidRDefault="005035F6" w:rsidP="00FF6248">
      <w:pPr>
        <w:spacing w:after="225"/>
        <w:jc w:val="both"/>
        <w:rPr>
          <w:rFonts w:eastAsia="Times New Roman"/>
          <w:bCs/>
          <w:lang w:eastAsia="es-SV"/>
        </w:rPr>
      </w:pPr>
      <w:r>
        <w:rPr>
          <w:rFonts w:eastAsia="Times New Roman"/>
          <w:bCs/>
          <w:lang w:eastAsia="es-SV"/>
        </w:rPr>
        <w:t xml:space="preserve">Es decir, brindar los servicios  o programas </w:t>
      </w:r>
      <w:r w:rsidR="00FF6248">
        <w:rPr>
          <w:rFonts w:eastAsia="Times New Roman"/>
          <w:bCs/>
          <w:lang w:eastAsia="es-SV"/>
        </w:rPr>
        <w:t>es</w:t>
      </w:r>
      <w:r>
        <w:rPr>
          <w:rFonts w:eastAsia="Times New Roman"/>
          <w:bCs/>
          <w:lang w:eastAsia="es-SV"/>
        </w:rPr>
        <w:t xml:space="preserve"> competencia de ISNA</w:t>
      </w:r>
      <w:r w:rsidR="00FF6248">
        <w:rPr>
          <w:rFonts w:eastAsia="Times New Roman"/>
          <w:bCs/>
          <w:lang w:eastAsia="es-SV"/>
        </w:rPr>
        <w:t xml:space="preserve"> entre otras instituciones y/o organizaciones de la Sociedad Civil. No obstante, en el </w:t>
      </w:r>
      <w:r>
        <w:rPr>
          <w:rFonts w:eastAsia="Times New Roman"/>
          <w:bCs/>
          <w:lang w:eastAsia="es-SV"/>
        </w:rPr>
        <w:t xml:space="preserve">Sistema de Protección </w:t>
      </w:r>
      <w:r w:rsidR="00FF6248">
        <w:rPr>
          <w:rFonts w:eastAsia="Times New Roman"/>
          <w:bCs/>
          <w:lang w:eastAsia="es-SV"/>
        </w:rPr>
        <w:t>Integral,</w:t>
      </w:r>
      <w:r>
        <w:rPr>
          <w:rFonts w:eastAsia="Times New Roman"/>
          <w:bCs/>
          <w:lang w:eastAsia="es-SV"/>
        </w:rPr>
        <w:t xml:space="preserve"> se encuentra</w:t>
      </w:r>
      <w:r w:rsidR="00FF6248">
        <w:rPr>
          <w:rFonts w:eastAsia="Times New Roman"/>
          <w:bCs/>
          <w:lang w:eastAsia="es-SV"/>
        </w:rPr>
        <w:t>,</w:t>
      </w:r>
      <w:r>
        <w:rPr>
          <w:rFonts w:eastAsia="Times New Roman"/>
          <w:bCs/>
          <w:lang w:eastAsia="es-SV"/>
        </w:rPr>
        <w:t xml:space="preserve"> la Red de Atención Compartida (RAC) </w:t>
      </w:r>
      <w:r w:rsidR="00FF6248">
        <w:rPr>
          <w:rFonts w:eastAsia="Times New Roman"/>
          <w:bCs/>
          <w:lang w:eastAsia="es-SV"/>
        </w:rPr>
        <w:t xml:space="preserve">cuyas funciones principales es coordinar programas, servicios y actividades para garantizar la mejor cobertura nacional y local, para la protección de derechos de la niñez y de la adolescencia. </w:t>
      </w:r>
      <w:r w:rsidR="00B45348">
        <w:rPr>
          <w:rFonts w:eastAsia="Times New Roman"/>
          <w:bCs/>
          <w:lang w:eastAsia="es-SV"/>
        </w:rPr>
        <w:t xml:space="preserve">  </w:t>
      </w:r>
      <w:r w:rsidR="009C7671">
        <w:rPr>
          <w:rFonts w:eastAsia="Times New Roman"/>
          <w:bCs/>
          <w:lang w:eastAsia="es-SV"/>
        </w:rPr>
        <w:t xml:space="preserve">       </w:t>
      </w:r>
    </w:p>
    <w:p w:rsidR="00B15DE7" w:rsidRPr="009C7671" w:rsidRDefault="00FF6248" w:rsidP="00FF6248">
      <w:pPr>
        <w:spacing w:after="225"/>
        <w:jc w:val="both"/>
        <w:rPr>
          <w:rFonts w:eastAsia="Times New Roman"/>
          <w:bCs/>
          <w:lang w:eastAsia="es-SV"/>
        </w:rPr>
      </w:pPr>
      <w:r>
        <w:rPr>
          <w:rFonts w:eastAsia="Times New Roman"/>
          <w:bCs/>
          <w:lang w:eastAsia="es-SV"/>
        </w:rPr>
        <w:t xml:space="preserve">Para mayor información referida a los programas se sugiere consultar </w:t>
      </w:r>
      <w:hyperlink r:id="rId8" w:history="1">
        <w:r w:rsidRPr="009B762D">
          <w:rPr>
            <w:rStyle w:val="Hipervnculo"/>
            <w:rFonts w:eastAsia="Times New Roman"/>
            <w:bCs/>
            <w:lang w:eastAsia="es-SV"/>
          </w:rPr>
          <w:t>www.isna.gob.sv</w:t>
        </w:r>
      </w:hyperlink>
      <w:r>
        <w:rPr>
          <w:rFonts w:eastAsia="Times New Roman"/>
          <w:bCs/>
          <w:lang w:eastAsia="es-SV"/>
        </w:rPr>
        <w:t xml:space="preserve"> </w:t>
      </w:r>
      <w:r w:rsidR="009C7671">
        <w:rPr>
          <w:rFonts w:eastAsia="Times New Roman"/>
          <w:bCs/>
          <w:lang w:eastAsia="es-SV"/>
        </w:rPr>
        <w:t xml:space="preserve">                                                                                                                                                                                                                                                                                                                                   </w:t>
      </w:r>
    </w:p>
    <w:p w:rsidR="00BA3AE1" w:rsidRPr="00B45348" w:rsidRDefault="00BA3AE1" w:rsidP="00BA3AE1">
      <w:pPr>
        <w:shd w:val="clear" w:color="auto" w:fill="DEEAF6" w:themeFill="accent1" w:themeFillTint="33"/>
        <w:spacing w:after="0" w:line="240" w:lineRule="auto"/>
        <w:ind w:left="360"/>
        <w:jc w:val="center"/>
        <w:rPr>
          <w:b/>
          <w:i/>
          <w:sz w:val="26"/>
          <w:szCs w:val="26"/>
        </w:rPr>
      </w:pPr>
      <w:r w:rsidRPr="00B45348">
        <w:rPr>
          <w:b/>
          <w:i/>
          <w:sz w:val="26"/>
          <w:szCs w:val="26"/>
        </w:rPr>
        <w:t>¿Coordinación interinstitucional para la atención de los casos de maltrato?</w:t>
      </w:r>
    </w:p>
    <w:p w:rsidR="00F62D62" w:rsidRDefault="00F62D62" w:rsidP="00C2494E">
      <w:pPr>
        <w:spacing w:after="225" w:line="225" w:lineRule="atLeast"/>
        <w:jc w:val="both"/>
        <w:rPr>
          <w:rFonts w:eastAsia="Times New Roman"/>
          <w:b/>
          <w:bCs/>
          <w:lang w:eastAsia="es-SV"/>
        </w:rPr>
      </w:pPr>
    </w:p>
    <w:p w:rsidR="00C2494E" w:rsidRPr="00C2494E" w:rsidRDefault="00C2494E" w:rsidP="00C2494E">
      <w:pPr>
        <w:spacing w:after="225" w:line="225" w:lineRule="atLeast"/>
        <w:jc w:val="both"/>
        <w:rPr>
          <w:rFonts w:eastAsia="Times New Roman"/>
          <w:bCs/>
          <w:lang w:eastAsia="es-SV"/>
        </w:rPr>
      </w:pPr>
      <w:r>
        <w:rPr>
          <w:rFonts w:eastAsia="Times New Roman"/>
          <w:bCs/>
          <w:lang w:eastAsia="es-SV"/>
        </w:rPr>
        <w:t xml:space="preserve">Las Juntas de Protección establecen relaciones de coordinación para la efectividad de las medidas de protección que dictan en cada departamento con las siguientes instituciones: </w:t>
      </w:r>
    </w:p>
    <w:p w:rsidR="00F62D62" w:rsidRPr="00FF6248" w:rsidRDefault="00F62D62" w:rsidP="00FF6248">
      <w:pPr>
        <w:spacing w:after="225" w:line="225" w:lineRule="atLeast"/>
        <w:jc w:val="both"/>
        <w:rPr>
          <w:rFonts w:eastAsia="Times New Roman"/>
          <w:b/>
          <w:bCs/>
          <w:lang w:eastAsia="es-SV"/>
        </w:rPr>
      </w:pPr>
      <w:r w:rsidRPr="00FF6248">
        <w:rPr>
          <w:rFonts w:eastAsia="Times New Roman"/>
          <w:b/>
          <w:bCs/>
          <w:lang w:eastAsia="es-SV"/>
        </w:rPr>
        <w:t xml:space="preserve">Sistema de Protección Integral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Los comités Locales de Derechos de la Niñez y de la Adolescencia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Las Asociaciones de Promoción y Asistencia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El Instituto Salvadoreño para el Desarrollo Integral de la Niñez y de la Adolescencia (ISNA)</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El Órgano Judicial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La Procuraduría General de la República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La Procuraduría para la Defensa de los Derechos Humanos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Los miembros de la Red de Atención Compartida </w:t>
      </w:r>
    </w:p>
    <w:p w:rsidR="00F62D62" w:rsidRDefault="00F62D62" w:rsidP="00FF6248">
      <w:pPr>
        <w:pStyle w:val="Prrafodelista"/>
        <w:spacing w:after="225"/>
        <w:jc w:val="both"/>
        <w:rPr>
          <w:rFonts w:eastAsia="Times New Roman"/>
          <w:b/>
          <w:bCs/>
          <w:lang w:eastAsia="es-SV"/>
        </w:rPr>
      </w:pPr>
    </w:p>
    <w:p w:rsidR="00F62D62" w:rsidRDefault="00F62D62" w:rsidP="00FF6248">
      <w:pPr>
        <w:pStyle w:val="Prrafodelista"/>
        <w:spacing w:after="225"/>
        <w:jc w:val="both"/>
        <w:rPr>
          <w:rFonts w:eastAsia="Times New Roman"/>
          <w:b/>
          <w:bCs/>
          <w:lang w:eastAsia="es-SV"/>
        </w:rPr>
      </w:pPr>
      <w:r>
        <w:rPr>
          <w:rFonts w:eastAsia="Times New Roman"/>
          <w:b/>
          <w:bCs/>
          <w:lang w:eastAsia="es-SV"/>
        </w:rPr>
        <w:t xml:space="preserve">Otras Instituciones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Fiscalía General de la República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Policía Nacional de la Niñez y de la Adolescencia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Municipales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Registro Nacional de las Personas Naturales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Dirección General de Migración y extranjería </w:t>
      </w:r>
    </w:p>
    <w:p w:rsidR="00F62D62" w:rsidRPr="00FC1EEA" w:rsidRDefault="00F62D62" w:rsidP="00FF6248">
      <w:pPr>
        <w:pStyle w:val="Prrafodelista"/>
        <w:numPr>
          <w:ilvl w:val="0"/>
          <w:numId w:val="17"/>
        </w:numPr>
        <w:spacing w:after="225"/>
        <w:jc w:val="both"/>
        <w:rPr>
          <w:rFonts w:eastAsia="Times New Roman"/>
          <w:b/>
          <w:bCs/>
          <w:lang w:eastAsia="es-SV"/>
        </w:rPr>
      </w:pPr>
      <w:r>
        <w:rPr>
          <w:rFonts w:eastAsia="Times New Roman"/>
          <w:bCs/>
          <w:lang w:eastAsia="es-SV"/>
        </w:rPr>
        <w:t xml:space="preserve">Ministerio de Relaciones Exteriores </w:t>
      </w:r>
    </w:p>
    <w:p w:rsidR="00F62D62" w:rsidRDefault="00F62D62" w:rsidP="00FF6248">
      <w:pPr>
        <w:pStyle w:val="Prrafodelista"/>
        <w:spacing w:after="225"/>
        <w:jc w:val="both"/>
        <w:rPr>
          <w:rFonts w:eastAsia="Times New Roman"/>
          <w:b/>
          <w:bCs/>
          <w:lang w:eastAsia="es-SV"/>
        </w:rPr>
      </w:pPr>
    </w:p>
    <w:p w:rsidR="00F41C2A" w:rsidRDefault="00F41C2A" w:rsidP="00FF6248">
      <w:pPr>
        <w:pStyle w:val="Prrafodelista"/>
        <w:spacing w:after="225"/>
        <w:jc w:val="both"/>
        <w:rPr>
          <w:rFonts w:eastAsia="Times New Roman"/>
          <w:b/>
          <w:bCs/>
          <w:lang w:eastAsia="es-SV"/>
        </w:rPr>
      </w:pPr>
    </w:p>
    <w:p w:rsidR="00F41C2A" w:rsidRDefault="00F41C2A" w:rsidP="00FF6248">
      <w:pPr>
        <w:pStyle w:val="Prrafodelista"/>
        <w:spacing w:after="225"/>
        <w:jc w:val="both"/>
        <w:rPr>
          <w:rFonts w:eastAsia="Times New Roman"/>
          <w:b/>
          <w:bCs/>
          <w:lang w:eastAsia="es-SV"/>
        </w:rPr>
      </w:pPr>
      <w:bookmarkStart w:id="0" w:name="_GoBack"/>
      <w:bookmarkEnd w:id="0"/>
    </w:p>
    <w:p w:rsidR="00B15DE7" w:rsidRPr="00394399" w:rsidRDefault="00B15DE7" w:rsidP="00B15DE7">
      <w:pPr>
        <w:shd w:val="clear" w:color="auto" w:fill="DEEAF6" w:themeFill="accent1" w:themeFillTint="33"/>
        <w:spacing w:after="0" w:line="240" w:lineRule="auto"/>
        <w:ind w:left="360"/>
        <w:jc w:val="center"/>
        <w:rPr>
          <w:b/>
          <w:i/>
          <w:sz w:val="26"/>
          <w:szCs w:val="26"/>
        </w:rPr>
      </w:pPr>
      <w:r>
        <w:rPr>
          <w:b/>
          <w:i/>
          <w:sz w:val="26"/>
          <w:szCs w:val="26"/>
        </w:rPr>
        <w:lastRenderedPageBreak/>
        <w:t xml:space="preserve">Cuantos casos de vulneración en el departamento de Usulután </w:t>
      </w:r>
    </w:p>
    <w:tbl>
      <w:tblPr>
        <w:tblW w:w="0" w:type="auto"/>
        <w:jc w:val="center"/>
        <w:tblCellMar>
          <w:left w:w="70" w:type="dxa"/>
          <w:right w:w="70" w:type="dxa"/>
        </w:tblCellMar>
        <w:tblLook w:val="04A0" w:firstRow="1" w:lastRow="0" w:firstColumn="1" w:lastColumn="0" w:noHBand="0" w:noVBand="1"/>
      </w:tblPr>
      <w:tblGrid>
        <w:gridCol w:w="5862"/>
        <w:gridCol w:w="772"/>
        <w:gridCol w:w="1730"/>
      </w:tblGrid>
      <w:tr w:rsidR="00B45348" w:rsidRPr="00B45348" w:rsidTr="00B90379">
        <w:trPr>
          <w:gridAfter w:val="1"/>
          <w:wAfter w:w="1064" w:type="dxa"/>
          <w:trHeight w:val="285"/>
          <w:jc w:val="center"/>
        </w:trPr>
        <w:tc>
          <w:tcPr>
            <w:tcW w:w="0" w:type="auto"/>
            <w:gridSpan w:val="2"/>
            <w:tcBorders>
              <w:top w:val="nil"/>
              <w:left w:val="nil"/>
              <w:bottom w:val="nil"/>
              <w:right w:val="nil"/>
            </w:tcBorders>
            <w:shd w:val="clear" w:color="auto" w:fill="auto"/>
            <w:hideMark/>
          </w:tcPr>
          <w:p w:rsidR="00B45348" w:rsidRPr="00B45348" w:rsidRDefault="00B45348" w:rsidP="0084056B">
            <w:pPr>
              <w:spacing w:after="0" w:line="240" w:lineRule="auto"/>
              <w:rPr>
                <w:rFonts w:eastAsia="Times New Roman"/>
                <w:b/>
                <w:bCs/>
                <w:color w:val="000000"/>
                <w:lang w:val="es-SV" w:eastAsia="es-SV"/>
              </w:rPr>
            </w:pPr>
          </w:p>
        </w:tc>
      </w:tr>
      <w:tr w:rsidR="0084056B" w:rsidRPr="00B45348" w:rsidTr="0084056B">
        <w:trPr>
          <w:trHeight w:val="522"/>
          <w:jc w:val="center"/>
        </w:trPr>
        <w:tc>
          <w:tcPr>
            <w:tcW w:w="8364"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rsidR="0084056B" w:rsidRPr="00B45348" w:rsidRDefault="0084056B" w:rsidP="00B90379">
            <w:pPr>
              <w:spacing w:after="0" w:line="240" w:lineRule="auto"/>
              <w:rPr>
                <w:rFonts w:eastAsia="Times New Roman"/>
                <w:b/>
                <w:bCs/>
                <w:color w:val="000000"/>
                <w:lang w:val="es-SV" w:eastAsia="es-SV"/>
              </w:rPr>
            </w:pPr>
            <w:r w:rsidRPr="00B45348">
              <w:rPr>
                <w:rFonts w:eastAsia="Times New Roman"/>
                <w:b/>
                <w:bCs/>
                <w:color w:val="000000"/>
                <w:lang w:val="es-SV" w:eastAsia="es-SV"/>
              </w:rPr>
              <w:t xml:space="preserve">Presuntas amenazas o vulneraciones a derechos por Junta de Protección.                                                                              </w:t>
            </w:r>
          </w:p>
        </w:tc>
      </w:tr>
      <w:tr w:rsidR="0084056B" w:rsidRPr="00B45348" w:rsidTr="00B90379">
        <w:trPr>
          <w:trHeight w:val="33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90379" w:rsidRPr="00B45348" w:rsidRDefault="00B90379" w:rsidP="00B90379">
            <w:pPr>
              <w:spacing w:after="0" w:line="240" w:lineRule="auto"/>
              <w:rPr>
                <w:rFonts w:eastAsia="Times New Roman"/>
                <w:b/>
                <w:bCs/>
                <w:color w:val="000000"/>
                <w:lang w:val="es-SV" w:eastAsia="es-SV"/>
              </w:rPr>
            </w:pPr>
            <w:r w:rsidRPr="00B45348">
              <w:rPr>
                <w:rFonts w:eastAsia="Times New Roman"/>
                <w:b/>
                <w:bCs/>
                <w:color w:val="000000"/>
                <w:lang w:val="es-SV" w:eastAsia="es-SV"/>
              </w:rPr>
              <w:t>De enero a diciembre 2018</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DCE6F1"/>
            <w:noWrap/>
            <w:textDirection w:val="btLr"/>
            <w:vAlign w:val="bottom"/>
            <w:hideMark/>
          </w:tcPr>
          <w:p w:rsidR="00B90379" w:rsidRPr="00B45348" w:rsidRDefault="00B90379" w:rsidP="00B90379">
            <w:pPr>
              <w:spacing w:after="0" w:line="240" w:lineRule="auto"/>
              <w:jc w:val="center"/>
              <w:rPr>
                <w:rFonts w:eastAsia="Times New Roman"/>
                <w:b/>
                <w:bCs/>
                <w:color w:val="000000"/>
                <w:sz w:val="20"/>
                <w:szCs w:val="14"/>
                <w:lang w:val="es-SV" w:eastAsia="es-SV"/>
              </w:rPr>
            </w:pPr>
            <w:r w:rsidRPr="00B45348">
              <w:rPr>
                <w:rFonts w:eastAsia="Times New Roman"/>
                <w:b/>
                <w:bCs/>
                <w:color w:val="000000"/>
                <w:sz w:val="20"/>
                <w:szCs w:val="14"/>
                <w:lang w:val="es-SV" w:eastAsia="es-SV"/>
              </w:rPr>
              <w:t>Usulután</w:t>
            </w:r>
          </w:p>
        </w:tc>
        <w:tc>
          <w:tcPr>
            <w:tcW w:w="1064" w:type="dxa"/>
            <w:vMerge w:val="restart"/>
            <w:tcBorders>
              <w:top w:val="single" w:sz="4" w:space="0" w:color="auto"/>
              <w:left w:val="single" w:sz="4" w:space="0" w:color="auto"/>
              <w:bottom w:val="single" w:sz="4" w:space="0" w:color="auto"/>
              <w:right w:val="single" w:sz="4" w:space="0" w:color="auto"/>
            </w:tcBorders>
            <w:shd w:val="clear" w:color="000000" w:fill="DEEAF6"/>
            <w:textDirection w:val="btLr"/>
            <w:vAlign w:val="bottom"/>
            <w:hideMark/>
          </w:tcPr>
          <w:p w:rsidR="00B90379" w:rsidRPr="00B45348" w:rsidRDefault="00B90379" w:rsidP="00B90379">
            <w:pPr>
              <w:spacing w:after="0" w:line="240" w:lineRule="auto"/>
              <w:jc w:val="center"/>
              <w:rPr>
                <w:rFonts w:eastAsia="Times New Roman"/>
                <w:b/>
                <w:bCs/>
                <w:color w:val="000000"/>
                <w:sz w:val="20"/>
                <w:szCs w:val="14"/>
                <w:lang w:val="es-SV" w:eastAsia="es-SV"/>
              </w:rPr>
            </w:pPr>
            <w:r w:rsidRPr="00B45348">
              <w:rPr>
                <w:rFonts w:eastAsia="Times New Roman"/>
                <w:b/>
                <w:bCs/>
                <w:color w:val="000000"/>
                <w:sz w:val="20"/>
                <w:szCs w:val="14"/>
                <w:lang w:val="es-SV" w:eastAsia="es-SV"/>
              </w:rPr>
              <w:t>Total</w:t>
            </w:r>
          </w:p>
        </w:tc>
      </w:tr>
      <w:tr w:rsidR="00B90379" w:rsidRPr="00B45348" w:rsidTr="00B90379">
        <w:trPr>
          <w:trHeight w:val="2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90379" w:rsidRPr="00B45348" w:rsidRDefault="00B90379" w:rsidP="00B45348">
            <w:pPr>
              <w:spacing w:after="0" w:line="240" w:lineRule="auto"/>
              <w:rPr>
                <w:rFonts w:eastAsia="Times New Roman"/>
                <w:b/>
                <w:bCs/>
                <w:color w:val="000000"/>
                <w:lang w:val="es-SV" w:eastAsia="es-S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379" w:rsidRPr="00B45348" w:rsidRDefault="00B90379" w:rsidP="00B45348">
            <w:pPr>
              <w:spacing w:after="0" w:line="240" w:lineRule="auto"/>
              <w:rPr>
                <w:rFonts w:eastAsia="Times New Roman"/>
                <w:b/>
                <w:bCs/>
                <w:color w:val="000000"/>
                <w:sz w:val="14"/>
                <w:szCs w:val="14"/>
                <w:lang w:val="es-SV" w:eastAsia="es-SV"/>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B90379" w:rsidRPr="00B45348" w:rsidRDefault="00B90379" w:rsidP="00B45348">
            <w:pPr>
              <w:spacing w:after="0" w:line="240" w:lineRule="auto"/>
              <w:rPr>
                <w:rFonts w:eastAsia="Times New Roman"/>
                <w:b/>
                <w:bCs/>
                <w:color w:val="000000"/>
                <w:sz w:val="14"/>
                <w:szCs w:val="14"/>
                <w:lang w:val="es-SV" w:eastAsia="es-SV"/>
              </w:rPr>
            </w:pPr>
          </w:p>
        </w:tc>
      </w:tr>
      <w:tr w:rsidR="00B90379" w:rsidRPr="00B45348" w:rsidTr="00B90379">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000000" w:fill="DEEAF6"/>
            <w:noWrap/>
            <w:vAlign w:val="center"/>
            <w:hideMark/>
          </w:tcPr>
          <w:p w:rsidR="00B90379" w:rsidRPr="00B45348" w:rsidRDefault="00B90379" w:rsidP="00B45348">
            <w:pPr>
              <w:spacing w:after="0" w:line="240" w:lineRule="auto"/>
              <w:jc w:val="center"/>
              <w:rPr>
                <w:rFonts w:eastAsia="Times New Roman"/>
                <w:b/>
                <w:bCs/>
                <w:color w:val="000000"/>
                <w:lang w:val="es-SV" w:eastAsia="es-SV"/>
              </w:rPr>
            </w:pPr>
            <w:r w:rsidRPr="00B45348">
              <w:rPr>
                <w:rFonts w:eastAsia="Times New Roman"/>
                <w:b/>
                <w:bCs/>
                <w:color w:val="000000"/>
                <w:lang w:val="es-SV" w:eastAsia="es-SV"/>
              </w:rPr>
              <w:t>Amenazas o vulneraciones a derechos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90379" w:rsidRPr="00B45348" w:rsidRDefault="00B90379" w:rsidP="00B45348">
            <w:pPr>
              <w:spacing w:after="0" w:line="240" w:lineRule="auto"/>
              <w:rPr>
                <w:rFonts w:eastAsia="Times New Roman"/>
                <w:b/>
                <w:bCs/>
                <w:color w:val="000000"/>
                <w:sz w:val="14"/>
                <w:szCs w:val="14"/>
                <w:lang w:val="es-SV" w:eastAsia="es-SV"/>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B90379" w:rsidRPr="00B45348" w:rsidRDefault="00B90379" w:rsidP="00B45348">
            <w:pPr>
              <w:spacing w:after="0" w:line="240" w:lineRule="auto"/>
              <w:rPr>
                <w:rFonts w:eastAsia="Times New Roman"/>
                <w:b/>
                <w:bCs/>
                <w:color w:val="000000"/>
                <w:sz w:val="14"/>
                <w:szCs w:val="14"/>
                <w:lang w:val="es-SV" w:eastAsia="es-SV"/>
              </w:rPr>
            </w:pPr>
          </w:p>
        </w:tc>
      </w:tr>
      <w:tr w:rsidR="00B90379" w:rsidRPr="00B90379" w:rsidTr="00B90379">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90379" w:rsidRPr="00B45348" w:rsidRDefault="00B90379" w:rsidP="00B45348">
            <w:pPr>
              <w:spacing w:after="0" w:line="240" w:lineRule="auto"/>
              <w:rPr>
                <w:rFonts w:eastAsia="Times New Roman"/>
                <w:color w:val="000000"/>
                <w:szCs w:val="14"/>
                <w:lang w:val="es-SV" w:eastAsia="es-SV"/>
              </w:rPr>
            </w:pPr>
            <w:r w:rsidRPr="00B45348">
              <w:rPr>
                <w:rFonts w:eastAsia="Times New Roman"/>
                <w:color w:val="000000"/>
                <w:szCs w:val="14"/>
                <w:lang w:val="es-SV" w:eastAsia="es-SV"/>
              </w:rPr>
              <w:t>37.-Derecho a la Integridad Personal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90379" w:rsidRPr="00B45348" w:rsidRDefault="00B90379" w:rsidP="00B45348">
            <w:pPr>
              <w:spacing w:after="0" w:line="240" w:lineRule="auto"/>
              <w:jc w:val="center"/>
              <w:rPr>
                <w:rFonts w:eastAsia="Times New Roman"/>
                <w:color w:val="000000"/>
                <w:szCs w:val="16"/>
                <w:lang w:val="es-SV" w:eastAsia="es-SV"/>
              </w:rPr>
            </w:pPr>
            <w:r w:rsidRPr="00B45348">
              <w:rPr>
                <w:rFonts w:eastAsia="Times New Roman"/>
                <w:color w:val="000000"/>
                <w:szCs w:val="16"/>
                <w:lang w:val="es-SV" w:eastAsia="es-SV"/>
              </w:rPr>
              <w:t>544</w:t>
            </w:r>
          </w:p>
        </w:tc>
        <w:tc>
          <w:tcPr>
            <w:tcW w:w="1064" w:type="dxa"/>
            <w:vMerge w:val="restart"/>
            <w:tcBorders>
              <w:top w:val="single" w:sz="4" w:space="0" w:color="auto"/>
              <w:left w:val="single" w:sz="4" w:space="0" w:color="auto"/>
              <w:bottom w:val="single" w:sz="4" w:space="0" w:color="auto"/>
              <w:right w:val="single" w:sz="4" w:space="0" w:color="auto"/>
            </w:tcBorders>
            <w:shd w:val="clear" w:color="000000" w:fill="E2EFD9"/>
            <w:noWrap/>
            <w:vAlign w:val="center"/>
            <w:hideMark/>
          </w:tcPr>
          <w:p w:rsidR="00B90379" w:rsidRPr="00B45348" w:rsidRDefault="00B90379" w:rsidP="00B45348">
            <w:pPr>
              <w:spacing w:after="0" w:line="240" w:lineRule="auto"/>
              <w:jc w:val="center"/>
              <w:rPr>
                <w:rFonts w:eastAsia="Times New Roman"/>
                <w:b/>
                <w:color w:val="000000"/>
                <w:szCs w:val="18"/>
                <w:lang w:val="es-SV" w:eastAsia="es-SV"/>
              </w:rPr>
            </w:pPr>
            <w:r w:rsidRPr="0084056B">
              <w:rPr>
                <w:rFonts w:eastAsia="Times New Roman"/>
                <w:b/>
                <w:color w:val="000000"/>
                <w:szCs w:val="18"/>
                <w:lang w:val="es-SV" w:eastAsia="es-SV"/>
              </w:rPr>
              <w:t>678</w:t>
            </w:r>
          </w:p>
        </w:tc>
      </w:tr>
      <w:tr w:rsidR="00B90379" w:rsidRPr="00B90379" w:rsidTr="00B90379">
        <w:trPr>
          <w:trHeight w:val="33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tcPr>
          <w:p w:rsidR="0084056B" w:rsidRDefault="0084056B" w:rsidP="00B90379">
            <w:pPr>
              <w:spacing w:after="0" w:line="240" w:lineRule="auto"/>
              <w:rPr>
                <w:rFonts w:eastAsia="Times New Roman"/>
                <w:b/>
                <w:bCs/>
                <w:color w:val="000000"/>
                <w:lang w:val="es-SV" w:eastAsia="es-SV"/>
              </w:rPr>
            </w:pPr>
          </w:p>
          <w:p w:rsidR="00B90379" w:rsidRPr="00B45348" w:rsidRDefault="00B90379" w:rsidP="00B90379">
            <w:pPr>
              <w:spacing w:after="0" w:line="240" w:lineRule="auto"/>
              <w:rPr>
                <w:rFonts w:eastAsia="Times New Roman"/>
                <w:color w:val="000000"/>
                <w:szCs w:val="16"/>
                <w:lang w:val="es-SV" w:eastAsia="es-SV"/>
              </w:rPr>
            </w:pPr>
            <w:r w:rsidRPr="00B90379">
              <w:rPr>
                <w:rFonts w:eastAsia="Times New Roman"/>
                <w:b/>
                <w:bCs/>
                <w:color w:val="000000"/>
                <w:lang w:val="es-SV" w:eastAsia="es-SV"/>
              </w:rPr>
              <w:t>De enero a marzo 2019</w:t>
            </w:r>
          </w:p>
        </w:tc>
        <w:tc>
          <w:tcPr>
            <w:tcW w:w="1064" w:type="dxa"/>
            <w:vMerge/>
            <w:tcBorders>
              <w:top w:val="single" w:sz="4" w:space="0" w:color="auto"/>
              <w:left w:val="single" w:sz="4" w:space="0" w:color="auto"/>
              <w:bottom w:val="single" w:sz="4" w:space="0" w:color="auto"/>
              <w:right w:val="single" w:sz="4" w:space="0" w:color="auto"/>
            </w:tcBorders>
            <w:shd w:val="clear" w:color="000000" w:fill="E2EFD9"/>
            <w:noWrap/>
            <w:vAlign w:val="center"/>
          </w:tcPr>
          <w:p w:rsidR="00B90379" w:rsidRDefault="00B90379" w:rsidP="00B45348">
            <w:pPr>
              <w:spacing w:after="0" w:line="240" w:lineRule="auto"/>
              <w:jc w:val="center"/>
              <w:rPr>
                <w:rFonts w:eastAsia="Times New Roman"/>
                <w:color w:val="000000"/>
                <w:szCs w:val="18"/>
                <w:lang w:val="es-SV" w:eastAsia="es-SV"/>
              </w:rPr>
            </w:pPr>
          </w:p>
        </w:tc>
      </w:tr>
      <w:tr w:rsidR="00B90379" w:rsidRPr="00B90379" w:rsidTr="00B90379">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90379" w:rsidRPr="00B90379" w:rsidRDefault="00B90379" w:rsidP="00B45348">
            <w:pPr>
              <w:spacing w:after="0" w:line="240" w:lineRule="auto"/>
              <w:rPr>
                <w:rFonts w:eastAsia="Times New Roman"/>
                <w:b/>
                <w:bCs/>
                <w:color w:val="000000"/>
                <w:lang w:val="es-SV" w:eastAsia="es-SV"/>
              </w:rPr>
            </w:pPr>
            <w:r w:rsidRPr="00B90379">
              <w:rPr>
                <w:rFonts w:eastAsia="Times New Roman"/>
                <w:color w:val="000000"/>
                <w:lang w:val="es-SV" w:eastAsia="es-SV"/>
              </w:rPr>
              <w:t>37.-Derecho a la Integridad Personal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B90379" w:rsidRPr="00B45348" w:rsidRDefault="00B90379" w:rsidP="00B45348">
            <w:pPr>
              <w:spacing w:after="0" w:line="240" w:lineRule="auto"/>
              <w:jc w:val="center"/>
              <w:rPr>
                <w:rFonts w:eastAsia="Times New Roman"/>
                <w:color w:val="000000"/>
                <w:szCs w:val="16"/>
                <w:lang w:val="es-SV" w:eastAsia="es-SV"/>
              </w:rPr>
            </w:pPr>
            <w:r w:rsidRPr="00B90379">
              <w:rPr>
                <w:rFonts w:eastAsia="Times New Roman"/>
                <w:color w:val="000000"/>
                <w:lang w:val="es-SV" w:eastAsia="es-SV"/>
              </w:rPr>
              <w:t>134</w:t>
            </w:r>
          </w:p>
        </w:tc>
        <w:tc>
          <w:tcPr>
            <w:tcW w:w="1064" w:type="dxa"/>
            <w:vMerge/>
            <w:tcBorders>
              <w:top w:val="single" w:sz="4" w:space="0" w:color="auto"/>
              <w:left w:val="single" w:sz="4" w:space="0" w:color="auto"/>
              <w:bottom w:val="single" w:sz="4" w:space="0" w:color="auto"/>
              <w:right w:val="single" w:sz="4" w:space="0" w:color="auto"/>
            </w:tcBorders>
            <w:shd w:val="clear" w:color="000000" w:fill="E2EFD9"/>
            <w:noWrap/>
            <w:vAlign w:val="center"/>
          </w:tcPr>
          <w:p w:rsidR="00B90379" w:rsidRDefault="00B90379" w:rsidP="00B45348">
            <w:pPr>
              <w:spacing w:after="0" w:line="240" w:lineRule="auto"/>
              <w:jc w:val="center"/>
              <w:rPr>
                <w:rFonts w:eastAsia="Times New Roman"/>
                <w:color w:val="000000"/>
                <w:szCs w:val="18"/>
                <w:lang w:val="es-SV" w:eastAsia="es-SV"/>
              </w:rPr>
            </w:pPr>
          </w:p>
        </w:tc>
      </w:tr>
    </w:tbl>
    <w:p w:rsidR="00B15DE7" w:rsidRPr="00B15DE7" w:rsidRDefault="00B15DE7" w:rsidP="00B15DE7">
      <w:pPr>
        <w:spacing w:after="225" w:line="225" w:lineRule="atLeast"/>
        <w:jc w:val="both"/>
        <w:rPr>
          <w:rFonts w:eastAsia="Times New Roman"/>
          <w:b/>
          <w:bCs/>
          <w:lang w:eastAsia="es-SV"/>
        </w:rPr>
      </w:pPr>
    </w:p>
    <w:p w:rsidR="00B15DE7" w:rsidRPr="00394399" w:rsidRDefault="00B15DE7" w:rsidP="00B15DE7">
      <w:pPr>
        <w:shd w:val="clear" w:color="auto" w:fill="DEEAF6" w:themeFill="accent1" w:themeFillTint="33"/>
        <w:spacing w:after="0" w:line="240" w:lineRule="auto"/>
        <w:ind w:left="360"/>
        <w:jc w:val="center"/>
        <w:rPr>
          <w:b/>
          <w:i/>
          <w:sz w:val="26"/>
          <w:szCs w:val="26"/>
        </w:rPr>
      </w:pPr>
      <w:r>
        <w:rPr>
          <w:b/>
          <w:i/>
          <w:sz w:val="26"/>
          <w:szCs w:val="26"/>
        </w:rPr>
        <w:t>Tipo de medidas que se dicta en esos casos</w:t>
      </w:r>
    </w:p>
    <w:p w:rsidR="00BA3AE1" w:rsidRDefault="00BA3AE1" w:rsidP="00BA3AE1">
      <w:pPr>
        <w:pStyle w:val="Prrafodelista"/>
        <w:spacing w:after="225" w:line="225" w:lineRule="atLeast"/>
        <w:jc w:val="both"/>
        <w:rPr>
          <w:rFonts w:eastAsia="Times New Roman"/>
          <w:b/>
          <w:bCs/>
          <w:lang w:eastAsia="es-SV"/>
        </w:rPr>
      </w:pPr>
    </w:p>
    <w:p w:rsidR="00BA3AE1" w:rsidRPr="00B365D4" w:rsidRDefault="00BA3AE1" w:rsidP="00BA3AE1">
      <w:pPr>
        <w:pStyle w:val="Prrafodelista"/>
        <w:numPr>
          <w:ilvl w:val="0"/>
          <w:numId w:val="24"/>
        </w:numPr>
        <w:spacing w:after="225" w:line="225" w:lineRule="atLeast"/>
        <w:jc w:val="both"/>
        <w:rPr>
          <w:rFonts w:eastAsia="Times New Roman"/>
          <w:b/>
          <w:bCs/>
          <w:lang w:eastAsia="es-SV"/>
        </w:rPr>
      </w:pPr>
      <w:r>
        <w:rPr>
          <w:rFonts w:eastAsia="Times New Roman"/>
          <w:b/>
          <w:bCs/>
          <w:lang w:eastAsia="es-SV"/>
        </w:rPr>
        <w:t>M</w:t>
      </w:r>
      <w:r w:rsidRPr="00B365D4">
        <w:rPr>
          <w:rFonts w:eastAsia="Times New Roman"/>
          <w:b/>
          <w:bCs/>
          <w:lang w:eastAsia="es-SV"/>
        </w:rPr>
        <w:t xml:space="preserve">edidas de protección </w:t>
      </w:r>
      <w:r>
        <w:rPr>
          <w:rFonts w:eastAsia="Times New Roman"/>
          <w:b/>
          <w:bCs/>
          <w:lang w:eastAsia="es-SV"/>
        </w:rPr>
        <w:t>que dictan las Juntas de Protección frente a una amenaza o vulneración a los</w:t>
      </w:r>
      <w:r w:rsidRPr="00B365D4">
        <w:rPr>
          <w:rFonts w:eastAsia="Times New Roman"/>
          <w:b/>
          <w:bCs/>
          <w:lang w:eastAsia="es-SV"/>
        </w:rPr>
        <w:t xml:space="preserve"> derechos</w:t>
      </w:r>
      <w:r>
        <w:rPr>
          <w:rFonts w:eastAsia="Times New Roman"/>
          <w:b/>
          <w:bCs/>
          <w:lang w:eastAsia="es-SV"/>
        </w:rPr>
        <w:t xml:space="preserve"> de niñas, niños y adolescentes</w:t>
      </w:r>
      <w:r w:rsidRPr="00B365D4">
        <w:rPr>
          <w:rFonts w:eastAsia="Times New Roman"/>
          <w:b/>
          <w:bCs/>
          <w:lang w:eastAsia="es-SV"/>
        </w:rPr>
        <w:t xml:space="preserve">. </w:t>
      </w:r>
    </w:p>
    <w:p w:rsidR="00BA3AE1" w:rsidRPr="00F05F2D" w:rsidRDefault="00BA3AE1" w:rsidP="00BA3AE1">
      <w:pPr>
        <w:spacing w:after="225" w:line="225" w:lineRule="atLeast"/>
        <w:jc w:val="both"/>
        <w:rPr>
          <w:rFonts w:eastAsia="Times New Roman"/>
          <w:bCs/>
          <w:lang w:eastAsia="es-SV"/>
        </w:rPr>
      </w:pPr>
      <w:r>
        <w:rPr>
          <w:rFonts w:eastAsia="Times New Roman"/>
          <w:bCs/>
          <w:lang w:eastAsia="es-SV"/>
        </w:rPr>
        <w:t xml:space="preserve">Las medidas </w:t>
      </w:r>
      <w:r w:rsidR="00C2494E">
        <w:rPr>
          <w:rFonts w:eastAsia="Times New Roman"/>
          <w:bCs/>
          <w:lang w:eastAsia="es-SV"/>
        </w:rPr>
        <w:t xml:space="preserve">administrativas </w:t>
      </w:r>
      <w:r>
        <w:rPr>
          <w:rFonts w:eastAsia="Times New Roman"/>
          <w:bCs/>
          <w:lang w:eastAsia="es-SV"/>
        </w:rPr>
        <w:t xml:space="preserve">de protección ante una vulneración a derechos, se encuentran tipificadas en el Artículo 120 de LEPINA y Articulo 28 del Reglamento Interno y de Funcionamiento de las Juntas de Protección de la Niñez y de la Adolescencia.  </w:t>
      </w:r>
    </w:p>
    <w:p w:rsidR="00BA3AE1" w:rsidRDefault="00BA3AE1" w:rsidP="00BA3AE1">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inclusión de la niña, niño y adolescente y su familia, en forma conjunta o separada, en uno o varios programas a que se refiere esta Ley; </w:t>
      </w:r>
    </w:p>
    <w:p w:rsidR="00BA3AE1" w:rsidRPr="00B15DE7" w:rsidRDefault="00B15DE7" w:rsidP="00736502">
      <w:pPr>
        <w:pStyle w:val="Prrafodelista"/>
        <w:numPr>
          <w:ilvl w:val="0"/>
          <w:numId w:val="22"/>
        </w:numPr>
        <w:spacing w:after="225" w:line="225" w:lineRule="atLeast"/>
        <w:jc w:val="both"/>
        <w:rPr>
          <w:rFonts w:eastAsia="Times New Roman"/>
          <w:bCs/>
          <w:lang w:eastAsia="es-SV"/>
        </w:rPr>
      </w:pPr>
      <w:r>
        <w:rPr>
          <w:rFonts w:eastAsia="Times New Roman"/>
          <w:bCs/>
          <w:lang w:eastAsia="es-SV"/>
        </w:rPr>
        <w:t>O</w:t>
      </w:r>
      <w:r w:rsidR="00BA3AE1" w:rsidRPr="00B15DE7">
        <w:rPr>
          <w:rFonts w:eastAsia="Times New Roman"/>
          <w:bCs/>
          <w:lang w:eastAsia="es-SV"/>
        </w:rPr>
        <w:t xml:space="preserve">rden de tratamiento médico, psicológico o psiquiátrico a la niña, niño o </w:t>
      </w:r>
      <w:r>
        <w:rPr>
          <w:rFonts w:eastAsia="Times New Roman"/>
          <w:bCs/>
          <w:lang w:eastAsia="es-SV"/>
        </w:rPr>
        <w:t>a</w:t>
      </w:r>
      <w:r w:rsidR="00BA3AE1" w:rsidRPr="00B15DE7">
        <w:rPr>
          <w:rFonts w:eastAsia="Times New Roman"/>
          <w:bCs/>
          <w:lang w:eastAsia="es-SV"/>
        </w:rPr>
        <w:t xml:space="preserve">dolescentes o a su madre, padre, representante o responsable. </w:t>
      </w:r>
    </w:p>
    <w:p w:rsidR="00BA3AE1" w:rsidRDefault="00BA3AE1" w:rsidP="00BA3AE1">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Acogimiento de emergencia de la niña, niño o adolescente afectado; </w:t>
      </w:r>
    </w:p>
    <w:p w:rsidR="00BA3AE1" w:rsidRDefault="00BA3AE1" w:rsidP="00BA3AE1">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amonestación al padre, madre, representante o responsable; y, </w:t>
      </w:r>
    </w:p>
    <w:p w:rsidR="00BA3AE1" w:rsidRDefault="00BA3AE1" w:rsidP="00BA3AE1">
      <w:pPr>
        <w:pStyle w:val="Prrafodelista"/>
        <w:numPr>
          <w:ilvl w:val="0"/>
          <w:numId w:val="22"/>
        </w:numPr>
        <w:spacing w:after="225" w:line="225" w:lineRule="atLeast"/>
        <w:jc w:val="both"/>
        <w:rPr>
          <w:rFonts w:eastAsia="Times New Roman"/>
          <w:bCs/>
          <w:lang w:eastAsia="es-SV"/>
        </w:rPr>
      </w:pPr>
      <w:r>
        <w:rPr>
          <w:rFonts w:eastAsia="Times New Roman"/>
          <w:bCs/>
          <w:lang w:eastAsia="es-SV"/>
        </w:rPr>
        <w:t xml:space="preserve">La declaración de la madre, padre, representante o responsable asumiendo su responsabilidad en relación con la niña, el niño o adolescente. </w:t>
      </w:r>
    </w:p>
    <w:p w:rsidR="00BA3AE1" w:rsidRDefault="00BA3AE1" w:rsidP="00BA3AE1">
      <w:pPr>
        <w:spacing w:after="225" w:line="225" w:lineRule="atLeast"/>
        <w:jc w:val="both"/>
        <w:rPr>
          <w:rFonts w:eastAsia="Times New Roman"/>
          <w:bCs/>
          <w:lang w:eastAsia="es-SV"/>
        </w:rPr>
      </w:pPr>
      <w:r>
        <w:rPr>
          <w:rFonts w:eastAsia="Times New Roman"/>
          <w:bCs/>
          <w:lang w:eastAsia="es-SV"/>
        </w:rPr>
        <w:t xml:space="preserve">Las Juntas de Protección están facultadas para decretar medidas cautelares y/o medidas de protección que estimen pertinentes para la adecuada protección de los derechos de niños, niñas y adolescentes, en cualquier etapa del procedimiento. </w:t>
      </w:r>
    </w:p>
    <w:p w:rsidR="00BA3AE1" w:rsidRPr="0084056B" w:rsidRDefault="00B15DE7" w:rsidP="0084056B">
      <w:pPr>
        <w:shd w:val="clear" w:color="auto" w:fill="DEEAF6" w:themeFill="accent1" w:themeFillTint="33"/>
        <w:spacing w:after="0" w:line="240" w:lineRule="auto"/>
        <w:ind w:left="360"/>
        <w:jc w:val="center"/>
        <w:rPr>
          <w:b/>
          <w:i/>
          <w:sz w:val="26"/>
          <w:szCs w:val="26"/>
        </w:rPr>
      </w:pPr>
      <w:r>
        <w:rPr>
          <w:b/>
          <w:i/>
          <w:sz w:val="26"/>
          <w:szCs w:val="26"/>
        </w:rPr>
        <w:t xml:space="preserve">Mayores dificultades para resolver los casos </w:t>
      </w:r>
    </w:p>
    <w:p w:rsidR="00BA3AE1" w:rsidRDefault="00FF6248" w:rsidP="00C2494E">
      <w:pPr>
        <w:spacing w:after="0"/>
        <w:jc w:val="both"/>
        <w:rPr>
          <w:b/>
          <w:sz w:val="28"/>
          <w:u w:val="single"/>
        </w:rPr>
      </w:pPr>
      <w:r>
        <w:t xml:space="preserve">Poca presencia de </w:t>
      </w:r>
      <w:r w:rsidR="0084056B">
        <w:t>programas de atención psicológ</w:t>
      </w:r>
      <w:r>
        <w:t>ica o psiquiátrica, que brinde una atención integral y que trabaje de manera conjunta con las niñas, niños</w:t>
      </w:r>
      <w:r w:rsidR="00C2494E">
        <w:t xml:space="preserve"> y adolescentes y sus familias. También, limitados programas de educación en disciplina positiva a padres y madres o adultos responsables de las niñas, niños y adolescentes. </w:t>
      </w:r>
    </w:p>
    <w:sectPr w:rsidR="00BA3AE1" w:rsidSect="00A63E2B">
      <w:headerReference w:type="default" r:id="rId9"/>
      <w:footerReference w:type="default" r:id="rId10"/>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4EB" w:rsidRDefault="00D504EB" w:rsidP="00A603BC">
      <w:pPr>
        <w:spacing w:after="0" w:line="240" w:lineRule="auto"/>
      </w:pPr>
      <w:r>
        <w:separator/>
      </w:r>
    </w:p>
  </w:endnote>
  <w:endnote w:type="continuationSeparator" w:id="0">
    <w:p w:rsidR="00D504EB" w:rsidRDefault="00D504EB"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967586" w:rsidRPr="00967586">
      <w:tc>
        <w:tcPr>
          <w:tcW w:w="918" w:type="dxa"/>
        </w:tcPr>
        <w:p w:rsidR="00967586" w:rsidRPr="00DE6762" w:rsidRDefault="00A46549">
          <w:pPr>
            <w:pStyle w:val="Piedepgina"/>
            <w:jc w:val="right"/>
            <w:rPr>
              <w:b/>
              <w:bCs/>
              <w:color w:val="4F81BD"/>
              <w:sz w:val="18"/>
              <w:szCs w:val="32"/>
              <w:lang w:val="es-MX" w:eastAsia="en-US"/>
            </w:rPr>
          </w:pPr>
          <w:r w:rsidRPr="00DE6762">
            <w:rPr>
              <w:sz w:val="18"/>
              <w:szCs w:val="21"/>
              <w:lang w:val="es-MX" w:eastAsia="en-US"/>
            </w:rPr>
            <w:fldChar w:fldCharType="begin"/>
          </w:r>
          <w:r w:rsidR="00967586" w:rsidRPr="00DE6762">
            <w:rPr>
              <w:sz w:val="18"/>
              <w:szCs w:val="22"/>
              <w:lang w:val="es-MX" w:eastAsia="en-US"/>
            </w:rPr>
            <w:instrText>PAGE   \* MERGEFORMAT</w:instrText>
          </w:r>
          <w:r w:rsidRPr="00DE6762">
            <w:rPr>
              <w:sz w:val="18"/>
              <w:szCs w:val="21"/>
              <w:lang w:val="es-MX" w:eastAsia="en-US"/>
            </w:rPr>
            <w:fldChar w:fldCharType="separate"/>
          </w:r>
          <w:r w:rsidR="00F41C2A" w:rsidRPr="00F41C2A">
            <w:rPr>
              <w:b/>
              <w:bCs/>
              <w:noProof/>
              <w:color w:val="4F81BD"/>
              <w:sz w:val="18"/>
              <w:szCs w:val="32"/>
              <w:lang w:val="es-ES" w:eastAsia="en-US"/>
            </w:rPr>
            <w:t>4</w:t>
          </w:r>
          <w:r w:rsidRPr="00DE6762">
            <w:rPr>
              <w:b/>
              <w:bCs/>
              <w:color w:val="4F81BD"/>
              <w:sz w:val="18"/>
              <w:szCs w:val="32"/>
              <w:lang w:val="es-MX" w:eastAsia="en-US"/>
            </w:rPr>
            <w:fldChar w:fldCharType="end"/>
          </w:r>
        </w:p>
      </w:tc>
      <w:tc>
        <w:tcPr>
          <w:tcW w:w="7938" w:type="dxa"/>
        </w:tcPr>
        <w:p w:rsidR="00967586" w:rsidRPr="00DE6762" w:rsidRDefault="00967586">
          <w:pPr>
            <w:pStyle w:val="Piedepgina"/>
            <w:rPr>
              <w:sz w:val="18"/>
              <w:szCs w:val="22"/>
              <w:lang w:val="es-MX" w:eastAsia="en-US"/>
            </w:rPr>
          </w:pPr>
        </w:p>
      </w:tc>
    </w:tr>
  </w:tbl>
  <w:p w:rsidR="00967586" w:rsidRDefault="009675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4EB" w:rsidRDefault="00D504EB" w:rsidP="00A603BC">
      <w:pPr>
        <w:spacing w:after="0" w:line="240" w:lineRule="auto"/>
      </w:pPr>
      <w:r>
        <w:separator/>
      </w:r>
    </w:p>
  </w:footnote>
  <w:footnote w:type="continuationSeparator" w:id="0">
    <w:p w:rsidR="00D504EB" w:rsidRDefault="00D504EB"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3E2B" w:rsidRDefault="00B01E5D" w:rsidP="00B01E5D">
    <w:pPr>
      <w:pStyle w:val="Encabezado"/>
      <w:jc w:val="both"/>
      <w:rPr>
        <w:noProof/>
        <w:lang w:val="en-US"/>
      </w:rPr>
    </w:pPr>
    <w:r>
      <w:rPr>
        <w:noProof/>
        <w:lang w:val="en-US"/>
      </w:rPr>
      <w:t xml:space="preserve">                   </w:t>
    </w:r>
  </w:p>
  <w:p w:rsidR="00A63E2B" w:rsidRDefault="009A41F1" w:rsidP="00B01E5D">
    <w:pPr>
      <w:pStyle w:val="Encabezado"/>
      <w:jc w:val="both"/>
      <w:rPr>
        <w:noProof/>
        <w:lang w:val="en-US"/>
      </w:rPr>
    </w:pP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81280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3E2B">
      <w:rPr>
        <w:noProof/>
        <w:lang w:val="en-US"/>
      </w:rPr>
      <w:t xml:space="preserve">                                                                                              </w:t>
    </w:r>
    <w:r>
      <w:rPr>
        <w:noProof/>
        <w:lang w:val="en-US"/>
      </w:rPr>
      <w:t xml:space="preserve">           </w:t>
    </w:r>
    <w:r w:rsidR="00A63E2B">
      <w:rPr>
        <w:noProof/>
        <w:lang w:val="en-US"/>
      </w:rPr>
      <w:t xml:space="preserve">                          </w:t>
    </w:r>
    <w:r>
      <w:rPr>
        <w:noProof/>
        <w:lang w:val="es-SV" w:eastAsia="es-SV"/>
      </w:rPr>
      <w:drawing>
        <wp:inline distT="0" distB="0" distL="0" distR="0" wp14:anchorId="7E9AF90A" wp14:editId="1A50E806">
          <wp:extent cx="993775" cy="701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inline>
      </w:drawing>
    </w:r>
    <w:r w:rsidR="00A63E2B">
      <w:rPr>
        <w:noProof/>
        <w:lang w:val="en-US"/>
      </w:rPr>
      <w:t xml:space="preserve">                               </w:t>
    </w:r>
    <w:r>
      <w:rPr>
        <w:noProof/>
        <w:lang w:val="en-US"/>
      </w:rPr>
      <w:t xml:space="preserve">                        </w:t>
    </w:r>
  </w:p>
  <w:p w:rsidR="00B01E5D" w:rsidRDefault="00B01E5D" w:rsidP="00B01E5D">
    <w:pPr>
      <w:pStyle w:val="Encabezado"/>
      <w:jc w:val="both"/>
    </w:pPr>
    <w:r>
      <w:rPr>
        <w:noProof/>
        <w:lang w:val="en-US"/>
      </w:rPr>
      <w:t xml:space="preserve">                                                                                   </w:t>
    </w:r>
    <w:r w:rsidR="00220791">
      <w:rPr>
        <w:noProof/>
        <w:lang w:val="en-US"/>
      </w:rPr>
      <w:t xml:space="preserve">            </w:t>
    </w: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107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3"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7"/>
  </w:num>
  <w:num w:numId="4">
    <w:abstractNumId w:val="20"/>
  </w:num>
  <w:num w:numId="5">
    <w:abstractNumId w:val="11"/>
  </w:num>
  <w:num w:numId="6">
    <w:abstractNumId w:val="9"/>
  </w:num>
  <w:num w:numId="7">
    <w:abstractNumId w:val="16"/>
  </w:num>
  <w:num w:numId="8">
    <w:abstractNumId w:val="15"/>
  </w:num>
  <w:num w:numId="9">
    <w:abstractNumId w:val="8"/>
  </w:num>
  <w:num w:numId="10">
    <w:abstractNumId w:val="17"/>
  </w:num>
  <w:num w:numId="11">
    <w:abstractNumId w:val="5"/>
  </w:num>
  <w:num w:numId="12">
    <w:abstractNumId w:val="19"/>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23"/>
  </w:num>
  <w:num w:numId="18">
    <w:abstractNumId w:val="1"/>
  </w:num>
  <w:num w:numId="19">
    <w:abstractNumId w:val="10"/>
  </w:num>
  <w:num w:numId="20">
    <w:abstractNumId w:val="3"/>
  </w:num>
  <w:num w:numId="21">
    <w:abstractNumId w:val="14"/>
  </w:num>
  <w:num w:numId="22">
    <w:abstractNumId w:val="0"/>
  </w:num>
  <w:num w:numId="23">
    <w:abstractNumId w:val="2"/>
  </w:num>
  <w:num w:numId="24">
    <w:abstractNumId w:val="18"/>
  </w:num>
  <w:num w:numId="2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163E"/>
    <w:rsid w:val="00032460"/>
    <w:rsid w:val="00032732"/>
    <w:rsid w:val="00033492"/>
    <w:rsid w:val="00034980"/>
    <w:rsid w:val="00040706"/>
    <w:rsid w:val="00040F6E"/>
    <w:rsid w:val="00044EDF"/>
    <w:rsid w:val="00046530"/>
    <w:rsid w:val="00046783"/>
    <w:rsid w:val="000479BB"/>
    <w:rsid w:val="00054BF2"/>
    <w:rsid w:val="00055AC0"/>
    <w:rsid w:val="000601DC"/>
    <w:rsid w:val="00060532"/>
    <w:rsid w:val="0006100D"/>
    <w:rsid w:val="000617D0"/>
    <w:rsid w:val="00062E0F"/>
    <w:rsid w:val="00064ED0"/>
    <w:rsid w:val="00071719"/>
    <w:rsid w:val="00071835"/>
    <w:rsid w:val="00076D6A"/>
    <w:rsid w:val="00080CF5"/>
    <w:rsid w:val="00086D6C"/>
    <w:rsid w:val="00090A12"/>
    <w:rsid w:val="00091BDC"/>
    <w:rsid w:val="00097389"/>
    <w:rsid w:val="000A00D5"/>
    <w:rsid w:val="000A0841"/>
    <w:rsid w:val="000A0842"/>
    <w:rsid w:val="000A0BF4"/>
    <w:rsid w:val="000A1C94"/>
    <w:rsid w:val="000A21C7"/>
    <w:rsid w:val="000A2D0D"/>
    <w:rsid w:val="000A3E89"/>
    <w:rsid w:val="000A469C"/>
    <w:rsid w:val="000A6A8F"/>
    <w:rsid w:val="000A7DBF"/>
    <w:rsid w:val="000B0EE5"/>
    <w:rsid w:val="000B2BD2"/>
    <w:rsid w:val="000B573E"/>
    <w:rsid w:val="000C0181"/>
    <w:rsid w:val="000C0698"/>
    <w:rsid w:val="000C1F62"/>
    <w:rsid w:val="000C380D"/>
    <w:rsid w:val="000C4C8A"/>
    <w:rsid w:val="000C579C"/>
    <w:rsid w:val="000D28D6"/>
    <w:rsid w:val="000D3CC0"/>
    <w:rsid w:val="000E0F20"/>
    <w:rsid w:val="000E1FC9"/>
    <w:rsid w:val="000E2A69"/>
    <w:rsid w:val="000E337C"/>
    <w:rsid w:val="000E6E9B"/>
    <w:rsid w:val="000F017C"/>
    <w:rsid w:val="000F7108"/>
    <w:rsid w:val="000F758A"/>
    <w:rsid w:val="00101B10"/>
    <w:rsid w:val="00102D39"/>
    <w:rsid w:val="00105365"/>
    <w:rsid w:val="00107DE8"/>
    <w:rsid w:val="00113E9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D4057"/>
    <w:rsid w:val="001E6ED9"/>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CC6"/>
    <w:rsid w:val="0022435A"/>
    <w:rsid w:val="00224BF5"/>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5B39"/>
    <w:rsid w:val="00272D0E"/>
    <w:rsid w:val="00282932"/>
    <w:rsid w:val="0028407B"/>
    <w:rsid w:val="00284299"/>
    <w:rsid w:val="0028465F"/>
    <w:rsid w:val="0028760B"/>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6349"/>
    <w:rsid w:val="002F0B5D"/>
    <w:rsid w:val="002F3963"/>
    <w:rsid w:val="002F49BC"/>
    <w:rsid w:val="003007F8"/>
    <w:rsid w:val="003032EB"/>
    <w:rsid w:val="00303417"/>
    <w:rsid w:val="00303F31"/>
    <w:rsid w:val="00306227"/>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3BC8"/>
    <w:rsid w:val="003B6D45"/>
    <w:rsid w:val="003C0D56"/>
    <w:rsid w:val="003C452E"/>
    <w:rsid w:val="003C60D7"/>
    <w:rsid w:val="003D0320"/>
    <w:rsid w:val="003D7252"/>
    <w:rsid w:val="003E1828"/>
    <w:rsid w:val="003E329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6129"/>
    <w:rsid w:val="00471822"/>
    <w:rsid w:val="00472C2A"/>
    <w:rsid w:val="00473265"/>
    <w:rsid w:val="00474467"/>
    <w:rsid w:val="00482684"/>
    <w:rsid w:val="00482CCA"/>
    <w:rsid w:val="0048536C"/>
    <w:rsid w:val="00491AFC"/>
    <w:rsid w:val="00491DE1"/>
    <w:rsid w:val="00493153"/>
    <w:rsid w:val="0049447C"/>
    <w:rsid w:val="004949E4"/>
    <w:rsid w:val="00494E2D"/>
    <w:rsid w:val="00495B0F"/>
    <w:rsid w:val="00495FE4"/>
    <w:rsid w:val="004962A3"/>
    <w:rsid w:val="004A2D54"/>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2086"/>
    <w:rsid w:val="004F43BD"/>
    <w:rsid w:val="004F676A"/>
    <w:rsid w:val="005011AB"/>
    <w:rsid w:val="00501E6F"/>
    <w:rsid w:val="005035F6"/>
    <w:rsid w:val="00506039"/>
    <w:rsid w:val="0050719B"/>
    <w:rsid w:val="00511378"/>
    <w:rsid w:val="00511C2E"/>
    <w:rsid w:val="00511F49"/>
    <w:rsid w:val="00517436"/>
    <w:rsid w:val="00520921"/>
    <w:rsid w:val="0052158B"/>
    <w:rsid w:val="005265E0"/>
    <w:rsid w:val="005272A3"/>
    <w:rsid w:val="00527D8D"/>
    <w:rsid w:val="005367E6"/>
    <w:rsid w:val="005418C8"/>
    <w:rsid w:val="005426F5"/>
    <w:rsid w:val="00544DAE"/>
    <w:rsid w:val="00547C27"/>
    <w:rsid w:val="00552ECC"/>
    <w:rsid w:val="0056278F"/>
    <w:rsid w:val="00570B7A"/>
    <w:rsid w:val="00570D37"/>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60167B"/>
    <w:rsid w:val="006037D4"/>
    <w:rsid w:val="00605C39"/>
    <w:rsid w:val="00607F2B"/>
    <w:rsid w:val="00607F69"/>
    <w:rsid w:val="00611FD6"/>
    <w:rsid w:val="00616295"/>
    <w:rsid w:val="00622498"/>
    <w:rsid w:val="00622D7A"/>
    <w:rsid w:val="00623C60"/>
    <w:rsid w:val="00625E71"/>
    <w:rsid w:val="0062727B"/>
    <w:rsid w:val="006371D9"/>
    <w:rsid w:val="00637B70"/>
    <w:rsid w:val="00641274"/>
    <w:rsid w:val="00644CE2"/>
    <w:rsid w:val="0064617B"/>
    <w:rsid w:val="00647847"/>
    <w:rsid w:val="00650CB7"/>
    <w:rsid w:val="00651344"/>
    <w:rsid w:val="006530EF"/>
    <w:rsid w:val="00654E7D"/>
    <w:rsid w:val="0065660B"/>
    <w:rsid w:val="00660A54"/>
    <w:rsid w:val="006621D3"/>
    <w:rsid w:val="00663B20"/>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1C66"/>
    <w:rsid w:val="007146EF"/>
    <w:rsid w:val="00714AA3"/>
    <w:rsid w:val="0072195C"/>
    <w:rsid w:val="00723651"/>
    <w:rsid w:val="007236F3"/>
    <w:rsid w:val="007362DA"/>
    <w:rsid w:val="00743432"/>
    <w:rsid w:val="00745009"/>
    <w:rsid w:val="00746975"/>
    <w:rsid w:val="00746C9A"/>
    <w:rsid w:val="00747E3B"/>
    <w:rsid w:val="00751DFA"/>
    <w:rsid w:val="00751FD5"/>
    <w:rsid w:val="00754398"/>
    <w:rsid w:val="00762017"/>
    <w:rsid w:val="00763E67"/>
    <w:rsid w:val="007653B3"/>
    <w:rsid w:val="0077519D"/>
    <w:rsid w:val="0077539A"/>
    <w:rsid w:val="00777A25"/>
    <w:rsid w:val="00782912"/>
    <w:rsid w:val="00782A17"/>
    <w:rsid w:val="00786136"/>
    <w:rsid w:val="00794F5C"/>
    <w:rsid w:val="007A04C6"/>
    <w:rsid w:val="007A4145"/>
    <w:rsid w:val="007A5965"/>
    <w:rsid w:val="007A6FD0"/>
    <w:rsid w:val="007B0604"/>
    <w:rsid w:val="007B34B4"/>
    <w:rsid w:val="007B7D6D"/>
    <w:rsid w:val="007C3B28"/>
    <w:rsid w:val="007D1EE8"/>
    <w:rsid w:val="007D56E7"/>
    <w:rsid w:val="007E30B3"/>
    <w:rsid w:val="007E3729"/>
    <w:rsid w:val="007E67DA"/>
    <w:rsid w:val="007F174D"/>
    <w:rsid w:val="007F3B54"/>
    <w:rsid w:val="007F6E98"/>
    <w:rsid w:val="007F75DB"/>
    <w:rsid w:val="008033F9"/>
    <w:rsid w:val="008045F5"/>
    <w:rsid w:val="008050F8"/>
    <w:rsid w:val="00806C3F"/>
    <w:rsid w:val="0081327F"/>
    <w:rsid w:val="0081380F"/>
    <w:rsid w:val="008247B0"/>
    <w:rsid w:val="008251FD"/>
    <w:rsid w:val="00826144"/>
    <w:rsid w:val="00831F37"/>
    <w:rsid w:val="00832287"/>
    <w:rsid w:val="00836870"/>
    <w:rsid w:val="00837B13"/>
    <w:rsid w:val="008404D2"/>
    <w:rsid w:val="0084056B"/>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10EE"/>
    <w:rsid w:val="008C5019"/>
    <w:rsid w:val="008D1402"/>
    <w:rsid w:val="008D53FF"/>
    <w:rsid w:val="008D5984"/>
    <w:rsid w:val="008E10CC"/>
    <w:rsid w:val="008E3020"/>
    <w:rsid w:val="008E434E"/>
    <w:rsid w:val="008E502C"/>
    <w:rsid w:val="008F0598"/>
    <w:rsid w:val="008F3E9A"/>
    <w:rsid w:val="008F4BC1"/>
    <w:rsid w:val="008F725B"/>
    <w:rsid w:val="00900D60"/>
    <w:rsid w:val="00903C08"/>
    <w:rsid w:val="00904591"/>
    <w:rsid w:val="0090610E"/>
    <w:rsid w:val="00920870"/>
    <w:rsid w:val="00921873"/>
    <w:rsid w:val="00922908"/>
    <w:rsid w:val="009277D6"/>
    <w:rsid w:val="0092789A"/>
    <w:rsid w:val="009305B5"/>
    <w:rsid w:val="009335BB"/>
    <w:rsid w:val="009351AE"/>
    <w:rsid w:val="009356A9"/>
    <w:rsid w:val="0094180A"/>
    <w:rsid w:val="0094346C"/>
    <w:rsid w:val="00952B4D"/>
    <w:rsid w:val="00952CAB"/>
    <w:rsid w:val="00954F84"/>
    <w:rsid w:val="00956291"/>
    <w:rsid w:val="00956931"/>
    <w:rsid w:val="009570D5"/>
    <w:rsid w:val="00960090"/>
    <w:rsid w:val="00960D56"/>
    <w:rsid w:val="00961BAD"/>
    <w:rsid w:val="009635DC"/>
    <w:rsid w:val="009645C2"/>
    <w:rsid w:val="0096645F"/>
    <w:rsid w:val="00967586"/>
    <w:rsid w:val="00980449"/>
    <w:rsid w:val="00980476"/>
    <w:rsid w:val="0098347E"/>
    <w:rsid w:val="00983C5E"/>
    <w:rsid w:val="00986303"/>
    <w:rsid w:val="00987D1B"/>
    <w:rsid w:val="00990AB4"/>
    <w:rsid w:val="009921A6"/>
    <w:rsid w:val="009956FA"/>
    <w:rsid w:val="00996542"/>
    <w:rsid w:val="00996658"/>
    <w:rsid w:val="009A1121"/>
    <w:rsid w:val="009A41F1"/>
    <w:rsid w:val="009A6A0C"/>
    <w:rsid w:val="009A6A41"/>
    <w:rsid w:val="009B13AD"/>
    <w:rsid w:val="009B17DC"/>
    <w:rsid w:val="009B2ED3"/>
    <w:rsid w:val="009C3432"/>
    <w:rsid w:val="009C4336"/>
    <w:rsid w:val="009C47F8"/>
    <w:rsid w:val="009C4F9F"/>
    <w:rsid w:val="009C759D"/>
    <w:rsid w:val="009C7671"/>
    <w:rsid w:val="009C7DAB"/>
    <w:rsid w:val="009D07D8"/>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10973"/>
    <w:rsid w:val="00A11114"/>
    <w:rsid w:val="00A17090"/>
    <w:rsid w:val="00A175D8"/>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5925"/>
    <w:rsid w:val="00AA66C2"/>
    <w:rsid w:val="00AA676F"/>
    <w:rsid w:val="00AB09C7"/>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3F58"/>
    <w:rsid w:val="00AE5F84"/>
    <w:rsid w:val="00AE7CF7"/>
    <w:rsid w:val="00AF6CAF"/>
    <w:rsid w:val="00B00D84"/>
    <w:rsid w:val="00B01446"/>
    <w:rsid w:val="00B01E5D"/>
    <w:rsid w:val="00B033F7"/>
    <w:rsid w:val="00B11EC3"/>
    <w:rsid w:val="00B15CC7"/>
    <w:rsid w:val="00B15DE7"/>
    <w:rsid w:val="00B16FC3"/>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C331C"/>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1EB5"/>
    <w:rsid w:val="00BF5915"/>
    <w:rsid w:val="00BF5962"/>
    <w:rsid w:val="00C10CBA"/>
    <w:rsid w:val="00C118AE"/>
    <w:rsid w:val="00C13B1D"/>
    <w:rsid w:val="00C15A70"/>
    <w:rsid w:val="00C20360"/>
    <w:rsid w:val="00C22C52"/>
    <w:rsid w:val="00C2494E"/>
    <w:rsid w:val="00C272D6"/>
    <w:rsid w:val="00C308FD"/>
    <w:rsid w:val="00C30EB0"/>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CB3"/>
    <w:rsid w:val="00C879F8"/>
    <w:rsid w:val="00C9027D"/>
    <w:rsid w:val="00C92337"/>
    <w:rsid w:val="00C9283C"/>
    <w:rsid w:val="00C92BE4"/>
    <w:rsid w:val="00C92C70"/>
    <w:rsid w:val="00C93915"/>
    <w:rsid w:val="00C93D78"/>
    <w:rsid w:val="00C957A3"/>
    <w:rsid w:val="00C97198"/>
    <w:rsid w:val="00CA2ECA"/>
    <w:rsid w:val="00CA56BE"/>
    <w:rsid w:val="00CA6B26"/>
    <w:rsid w:val="00CB0990"/>
    <w:rsid w:val="00CB4B0A"/>
    <w:rsid w:val="00CB5A24"/>
    <w:rsid w:val="00CB6637"/>
    <w:rsid w:val="00CB6948"/>
    <w:rsid w:val="00CD08F5"/>
    <w:rsid w:val="00CD2DF7"/>
    <w:rsid w:val="00CD459F"/>
    <w:rsid w:val="00CD7ADA"/>
    <w:rsid w:val="00CD7B01"/>
    <w:rsid w:val="00CE0091"/>
    <w:rsid w:val="00CE02B5"/>
    <w:rsid w:val="00CE180D"/>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1098"/>
    <w:rsid w:val="00D32388"/>
    <w:rsid w:val="00D364DB"/>
    <w:rsid w:val="00D374D1"/>
    <w:rsid w:val="00D41601"/>
    <w:rsid w:val="00D427F8"/>
    <w:rsid w:val="00D504EB"/>
    <w:rsid w:val="00D50593"/>
    <w:rsid w:val="00D55607"/>
    <w:rsid w:val="00D60B26"/>
    <w:rsid w:val="00D60EDB"/>
    <w:rsid w:val="00D64997"/>
    <w:rsid w:val="00D74D4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5D5B"/>
    <w:rsid w:val="00DE6762"/>
    <w:rsid w:val="00DE768D"/>
    <w:rsid w:val="00DF5CC2"/>
    <w:rsid w:val="00E0654F"/>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F162B"/>
    <w:rsid w:val="00EF27BF"/>
    <w:rsid w:val="00EF493D"/>
    <w:rsid w:val="00EF5B65"/>
    <w:rsid w:val="00F006E1"/>
    <w:rsid w:val="00F02B0E"/>
    <w:rsid w:val="00F02F41"/>
    <w:rsid w:val="00F05DE3"/>
    <w:rsid w:val="00F05F2D"/>
    <w:rsid w:val="00F10FDF"/>
    <w:rsid w:val="00F13B86"/>
    <w:rsid w:val="00F15BC7"/>
    <w:rsid w:val="00F16201"/>
    <w:rsid w:val="00F20DA9"/>
    <w:rsid w:val="00F20E16"/>
    <w:rsid w:val="00F21C78"/>
    <w:rsid w:val="00F223C2"/>
    <w:rsid w:val="00F23F77"/>
    <w:rsid w:val="00F349AB"/>
    <w:rsid w:val="00F37924"/>
    <w:rsid w:val="00F400B8"/>
    <w:rsid w:val="00F418AE"/>
    <w:rsid w:val="00F41C2A"/>
    <w:rsid w:val="00F44B38"/>
    <w:rsid w:val="00F4604B"/>
    <w:rsid w:val="00F468E3"/>
    <w:rsid w:val="00F51CDE"/>
    <w:rsid w:val="00F52DFB"/>
    <w:rsid w:val="00F55C8C"/>
    <w:rsid w:val="00F56EE5"/>
    <w:rsid w:val="00F615F9"/>
    <w:rsid w:val="00F61F71"/>
    <w:rsid w:val="00F62D62"/>
    <w:rsid w:val="00F70496"/>
    <w:rsid w:val="00F704A0"/>
    <w:rsid w:val="00F72B01"/>
    <w:rsid w:val="00F738A0"/>
    <w:rsid w:val="00F7430E"/>
    <w:rsid w:val="00F778D9"/>
    <w:rsid w:val="00F81C99"/>
    <w:rsid w:val="00F81D49"/>
    <w:rsid w:val="00F830EF"/>
    <w:rsid w:val="00F83E99"/>
    <w:rsid w:val="00F91434"/>
    <w:rsid w:val="00F95B36"/>
    <w:rsid w:val="00F96B00"/>
    <w:rsid w:val="00FA0F6E"/>
    <w:rsid w:val="00FA40B9"/>
    <w:rsid w:val="00FA52EE"/>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C6"/>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na.gob.s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B4A6E-EE58-49F5-93F9-9EDC81A62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7085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8357</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Maria Ines MH. Hernandez Vidal</cp:lastModifiedBy>
  <cp:revision>2</cp:revision>
  <cp:lastPrinted>2019-06-26T15:15:00Z</cp:lastPrinted>
  <dcterms:created xsi:type="dcterms:W3CDTF">2019-08-08T21:16:00Z</dcterms:created>
  <dcterms:modified xsi:type="dcterms:W3CDTF">2019-08-08T21:16:00Z</dcterms:modified>
</cp:coreProperties>
</file>