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9A" w:rsidRDefault="0047319A" w:rsidP="005A7803">
      <w:pPr>
        <w:spacing w:after="240"/>
        <w:jc w:val="both"/>
        <w:rPr>
          <w:rFonts w:ascii="Times New Roman" w:hAnsi="Times New Roman" w:cs="Times New Roman"/>
        </w:rPr>
      </w:pPr>
    </w:p>
    <w:p w:rsidR="0047319A" w:rsidRPr="0047319A" w:rsidRDefault="004C7D8A" w:rsidP="0047319A">
      <w:pPr>
        <w:spacing w:after="0" w:line="240" w:lineRule="auto"/>
        <w:jc w:val="both"/>
        <w:rPr>
          <w:rFonts w:cs="Times New Roman"/>
          <w:b/>
        </w:rPr>
      </w:pPr>
      <w:r>
        <w:rPr>
          <w:rFonts w:cs="Times New Roman"/>
          <w:b/>
        </w:rPr>
        <w:t>San Salvador, 1 de marzo</w:t>
      </w:r>
      <w:r w:rsidR="0047319A" w:rsidRPr="0047319A">
        <w:rPr>
          <w:rFonts w:cs="Times New Roman"/>
          <w:b/>
        </w:rPr>
        <w:t xml:space="preserve"> de 2019</w:t>
      </w:r>
    </w:p>
    <w:p w:rsidR="0047319A" w:rsidRPr="0047319A" w:rsidRDefault="0047319A" w:rsidP="0047319A">
      <w:pPr>
        <w:spacing w:after="0" w:line="240" w:lineRule="auto"/>
        <w:jc w:val="both"/>
        <w:rPr>
          <w:rFonts w:cs="Times New Roman"/>
          <w:b/>
        </w:rPr>
      </w:pPr>
    </w:p>
    <w:p w:rsidR="0047319A" w:rsidRPr="0047319A" w:rsidRDefault="004C7D8A" w:rsidP="0047319A">
      <w:pPr>
        <w:spacing w:after="0" w:line="240" w:lineRule="auto"/>
        <w:jc w:val="both"/>
        <w:rPr>
          <w:rFonts w:cs="Times New Roman"/>
          <w:b/>
        </w:rPr>
      </w:pPr>
      <w:r>
        <w:rPr>
          <w:rFonts w:cs="Times New Roman"/>
          <w:b/>
        </w:rPr>
        <w:t>Licenciado</w:t>
      </w:r>
    </w:p>
    <w:p w:rsidR="00160EB7" w:rsidRDefault="00160EB7" w:rsidP="0047319A">
      <w:pPr>
        <w:spacing w:after="0" w:line="240" w:lineRule="auto"/>
        <w:jc w:val="both"/>
        <w:rPr>
          <w:rFonts w:cs="Times New Roman"/>
          <w:b/>
        </w:rPr>
      </w:pPr>
    </w:p>
    <w:p w:rsidR="0047319A" w:rsidRPr="0047319A" w:rsidRDefault="0047319A" w:rsidP="0047319A">
      <w:pPr>
        <w:spacing w:after="0" w:line="240" w:lineRule="auto"/>
        <w:jc w:val="both"/>
        <w:rPr>
          <w:rFonts w:cs="Times New Roman"/>
          <w:b/>
        </w:rPr>
      </w:pPr>
      <w:r w:rsidRPr="0047319A">
        <w:rPr>
          <w:rFonts w:cs="Times New Roman"/>
          <w:b/>
        </w:rPr>
        <w:t>Presente</w:t>
      </w:r>
    </w:p>
    <w:p w:rsidR="0047319A" w:rsidRPr="0047319A" w:rsidRDefault="0047319A" w:rsidP="0047319A">
      <w:pPr>
        <w:spacing w:after="0" w:line="240" w:lineRule="auto"/>
        <w:jc w:val="both"/>
        <w:rPr>
          <w:rFonts w:cs="Times New Roman"/>
          <w:b/>
        </w:rPr>
      </w:pPr>
    </w:p>
    <w:p w:rsidR="0047319A" w:rsidRPr="0047319A" w:rsidRDefault="0047319A" w:rsidP="0047319A">
      <w:pPr>
        <w:spacing w:after="0" w:line="240" w:lineRule="auto"/>
        <w:jc w:val="both"/>
        <w:rPr>
          <w:rFonts w:cs="Times New Roman"/>
          <w:b/>
        </w:rPr>
      </w:pPr>
      <w:r w:rsidRPr="0047319A">
        <w:rPr>
          <w:rFonts w:cs="Times New Roman"/>
          <w:b/>
        </w:rPr>
        <w:t xml:space="preserve">Respetable </w:t>
      </w:r>
      <w:r w:rsidR="004C7D8A">
        <w:rPr>
          <w:rFonts w:cs="Times New Roman"/>
          <w:b/>
        </w:rPr>
        <w:t xml:space="preserve">Licenciado </w:t>
      </w:r>
      <w:r w:rsidR="00160EB7">
        <w:rPr>
          <w:rFonts w:cs="Times New Roman"/>
          <w:b/>
        </w:rPr>
        <w:t xml:space="preserve">                </w:t>
      </w:r>
      <w:bookmarkStart w:id="0" w:name="_GoBack"/>
      <w:bookmarkEnd w:id="0"/>
      <w:r w:rsidRPr="0047319A">
        <w:rPr>
          <w:rFonts w:cs="Times New Roman"/>
          <w:b/>
        </w:rPr>
        <w:t xml:space="preserve">: </w:t>
      </w:r>
    </w:p>
    <w:p w:rsidR="0047319A" w:rsidRPr="0047319A" w:rsidRDefault="0047319A" w:rsidP="0047319A">
      <w:pPr>
        <w:spacing w:after="0" w:line="240" w:lineRule="auto"/>
        <w:jc w:val="both"/>
        <w:rPr>
          <w:rFonts w:cs="Times New Roman"/>
        </w:rPr>
      </w:pPr>
    </w:p>
    <w:p w:rsidR="00EE0052" w:rsidRPr="0047319A" w:rsidRDefault="0047319A" w:rsidP="005A7803">
      <w:pPr>
        <w:spacing w:after="240"/>
        <w:jc w:val="both"/>
        <w:rPr>
          <w:rFonts w:cs="Times New Roman"/>
        </w:rPr>
      </w:pPr>
      <w:r w:rsidRPr="0047319A">
        <w:rPr>
          <w:rFonts w:cs="Times New Roman"/>
        </w:rPr>
        <w:t>Atendiendo la</w:t>
      </w:r>
      <w:r w:rsidR="004C7D8A">
        <w:rPr>
          <w:rFonts w:cs="Times New Roman"/>
        </w:rPr>
        <w:t xml:space="preserve"> solicitud de información No 003</w:t>
      </w:r>
      <w:r w:rsidRPr="0047319A">
        <w:rPr>
          <w:rFonts w:cs="Times New Roman"/>
        </w:rPr>
        <w:t>/201</w:t>
      </w:r>
      <w:r w:rsidR="004C7D8A">
        <w:rPr>
          <w:rFonts w:cs="Times New Roman"/>
        </w:rPr>
        <w:t>9</w:t>
      </w:r>
      <w:r w:rsidRPr="0047319A">
        <w:rPr>
          <w:rFonts w:cs="Times New Roman"/>
        </w:rPr>
        <w:t xml:space="preserve"> que presentó al CONNA, hago de su conocimiento que se ha requerido la información solicitada a</w:t>
      </w:r>
      <w:r w:rsidR="004C7D8A">
        <w:rPr>
          <w:rFonts w:cs="Times New Roman"/>
        </w:rPr>
        <w:t xml:space="preserve"> la Subdirección de Defensa de Derechos Individuales  y a la Dirección Ejecutiva del CONNA, quienes respondieron lo siguiente: </w:t>
      </w:r>
    </w:p>
    <w:p w:rsidR="004C7D8A" w:rsidRDefault="004C7D8A" w:rsidP="004C7D8A">
      <w:pPr>
        <w:jc w:val="both"/>
        <w:rPr>
          <w:rFonts w:cs="Times New Roman"/>
          <w:b/>
        </w:rPr>
      </w:pPr>
      <w:r w:rsidRPr="004C7D8A">
        <w:rPr>
          <w:rFonts w:cs="Times New Roman"/>
          <w:b/>
        </w:rPr>
        <w:t>1.</w:t>
      </w:r>
      <w:r w:rsidRPr="004C7D8A">
        <w:rPr>
          <w:rFonts w:cs="Times New Roman"/>
          <w:b/>
        </w:rPr>
        <w:tab/>
        <w:t>Número de niñas, niños (0-12 años) y adolescentes (12-18 años) que han sido retornados desde el extranjero hacia El Salvador en los años 2017, 2018 y 2019, detallando: el género,  edades, el municipio y departamento de procedencia, su condición de no acompañado  o separado , el motivo del viaje; el número de niñas, niños y adolescentes (NNA) que han requerido protección especial o se ha determinado condiciones de especial vulnerabilidad con énfasis en las niñas y adolescentes mujeres.</w:t>
      </w:r>
    </w:p>
    <w:p w:rsidR="004C7D8A" w:rsidRPr="004C7D8A" w:rsidRDefault="004C7D8A" w:rsidP="004C7D8A">
      <w:pPr>
        <w:spacing w:after="200" w:line="240" w:lineRule="auto"/>
        <w:jc w:val="both"/>
        <w:rPr>
          <w:rFonts w:ascii="Calibri" w:eastAsia="Calibri" w:hAnsi="Calibri" w:cs="Times New Roman"/>
          <w:lang w:val="es-MX"/>
        </w:rPr>
      </w:pPr>
      <w:r w:rsidRPr="004C7D8A">
        <w:rPr>
          <w:rFonts w:ascii="Calibri" w:eastAsia="Calibri" w:hAnsi="Calibri" w:cs="Times New Roman"/>
          <w:lang w:val="es-MX"/>
        </w:rPr>
        <w:t>Género y edades:</w:t>
      </w:r>
    </w:p>
    <w:p w:rsidR="004C7D8A" w:rsidRPr="004C7D8A" w:rsidRDefault="004C7D8A" w:rsidP="004C7D8A">
      <w:pPr>
        <w:spacing w:after="200" w:line="240" w:lineRule="auto"/>
        <w:jc w:val="both"/>
        <w:rPr>
          <w:rFonts w:ascii="Calibri" w:eastAsia="Calibri" w:hAnsi="Calibri" w:cs="Times New Roman"/>
          <w:lang w:val="es-MX"/>
        </w:rPr>
      </w:pPr>
      <w:proofErr w:type="gramStart"/>
      <w:r w:rsidRPr="004C7D8A">
        <w:rPr>
          <w:rFonts w:ascii="Calibri" w:eastAsia="Calibri" w:hAnsi="Calibri" w:cs="Times New Roman"/>
          <w:lang w:val="es-MX"/>
        </w:rPr>
        <w:t>el</w:t>
      </w:r>
      <w:proofErr w:type="gramEnd"/>
      <w:r w:rsidRPr="004C7D8A">
        <w:rPr>
          <w:rFonts w:ascii="Calibri" w:eastAsia="Calibri" w:hAnsi="Calibri" w:cs="Times New Roman"/>
          <w:lang w:val="es-MX"/>
        </w:rPr>
        <w:t xml:space="preserve"> municipio y departamento de procedencia, su condición de no acompañado o separado, el motivo del viaje, el número de niñas, niños y adolescentes que han requerido protección especial o se ha determinado condiciones de especial vulnerabilidad con énfasis en las niñas y adolescentes mujeres.</w:t>
      </w:r>
    </w:p>
    <w:tbl>
      <w:tblPr>
        <w:tblStyle w:val="Tablaconcuadrcula"/>
        <w:tblW w:w="0" w:type="auto"/>
        <w:tblLook w:val="04A0" w:firstRow="1" w:lastRow="0" w:firstColumn="1" w:lastColumn="0" w:noHBand="0" w:noVBand="1"/>
      </w:tblPr>
      <w:tblGrid>
        <w:gridCol w:w="1716"/>
        <w:gridCol w:w="897"/>
        <w:gridCol w:w="927"/>
        <w:gridCol w:w="878"/>
        <w:gridCol w:w="919"/>
        <w:gridCol w:w="919"/>
        <w:gridCol w:w="908"/>
        <w:gridCol w:w="900"/>
        <w:gridCol w:w="764"/>
      </w:tblGrid>
      <w:tr w:rsidR="004C7D8A" w:rsidRPr="004C7D8A" w:rsidTr="004C7D8A">
        <w:trPr>
          <w:trHeight w:val="300"/>
        </w:trPr>
        <w:tc>
          <w:tcPr>
            <w:tcW w:w="12940" w:type="dxa"/>
            <w:gridSpan w:val="9"/>
            <w:hideMark/>
          </w:tcPr>
          <w:p w:rsidR="004C7D8A" w:rsidRPr="004C7D8A" w:rsidRDefault="004C7D8A" w:rsidP="004C7D8A">
            <w:pPr>
              <w:jc w:val="both"/>
              <w:rPr>
                <w:rFonts w:ascii="Calibri" w:eastAsia="Calibri" w:hAnsi="Calibri" w:cs="Times New Roman"/>
                <w:b/>
                <w:bCs/>
              </w:rPr>
            </w:pPr>
            <w:r w:rsidRPr="004C7D8A">
              <w:rPr>
                <w:rFonts w:ascii="Calibri" w:eastAsia="Calibri" w:hAnsi="Calibri" w:cs="Times New Roman"/>
                <w:b/>
                <w:bCs/>
                <w:lang w:val="es-MX"/>
              </w:rPr>
              <w:t>Detalle mensual según sexo</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Fecha</w:t>
            </w:r>
          </w:p>
        </w:tc>
        <w:tc>
          <w:tcPr>
            <w:tcW w:w="3400" w:type="dxa"/>
            <w:gridSpan w:val="3"/>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Mujer</w:t>
            </w:r>
          </w:p>
        </w:tc>
        <w:tc>
          <w:tcPr>
            <w:tcW w:w="3600" w:type="dxa"/>
            <w:gridSpan w:val="3"/>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Hombre</w:t>
            </w:r>
          </w:p>
        </w:tc>
        <w:tc>
          <w:tcPr>
            <w:tcW w:w="140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Sexo edad desc.</w:t>
            </w:r>
          </w:p>
        </w:tc>
        <w:tc>
          <w:tcPr>
            <w:tcW w:w="70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Total</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b/>
                <w:bCs/>
                <w:lang w:val="es-MX"/>
              </w:rPr>
            </w:pPr>
          </w:p>
        </w:tc>
        <w:tc>
          <w:tcPr>
            <w:tcW w:w="98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Niña</w:t>
            </w:r>
          </w:p>
        </w:tc>
        <w:tc>
          <w:tcPr>
            <w:tcW w:w="1120" w:type="dxa"/>
            <w:hideMark/>
          </w:tcPr>
          <w:p w:rsidR="004C7D8A" w:rsidRPr="004C7D8A" w:rsidRDefault="004C7D8A" w:rsidP="004C7D8A">
            <w:pPr>
              <w:jc w:val="both"/>
              <w:rPr>
                <w:rFonts w:ascii="Calibri" w:eastAsia="Calibri" w:hAnsi="Calibri" w:cs="Times New Roman"/>
                <w:b/>
                <w:bCs/>
                <w:lang w:val="es-MX"/>
              </w:rPr>
            </w:pPr>
            <w:proofErr w:type="spellStart"/>
            <w:r w:rsidRPr="004C7D8A">
              <w:rPr>
                <w:rFonts w:ascii="Calibri" w:eastAsia="Calibri" w:hAnsi="Calibri" w:cs="Times New Roman"/>
                <w:b/>
                <w:bCs/>
                <w:lang w:val="es-MX"/>
              </w:rPr>
              <w:t>Adol</w:t>
            </w:r>
            <w:proofErr w:type="spellEnd"/>
            <w:r w:rsidRPr="004C7D8A">
              <w:rPr>
                <w:rFonts w:ascii="Calibri" w:eastAsia="Calibri" w:hAnsi="Calibri" w:cs="Times New Roman"/>
                <w:b/>
                <w:bCs/>
                <w:lang w:val="es-MX"/>
              </w:rPr>
              <w:t>.</w:t>
            </w:r>
          </w:p>
        </w:tc>
        <w:tc>
          <w:tcPr>
            <w:tcW w:w="130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Edad desc.</w:t>
            </w:r>
          </w:p>
        </w:tc>
        <w:tc>
          <w:tcPr>
            <w:tcW w:w="108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Niño</w:t>
            </w:r>
          </w:p>
        </w:tc>
        <w:tc>
          <w:tcPr>
            <w:tcW w:w="1080" w:type="dxa"/>
            <w:hideMark/>
          </w:tcPr>
          <w:p w:rsidR="004C7D8A" w:rsidRPr="004C7D8A" w:rsidRDefault="004C7D8A" w:rsidP="004C7D8A">
            <w:pPr>
              <w:jc w:val="both"/>
              <w:rPr>
                <w:rFonts w:ascii="Calibri" w:eastAsia="Calibri" w:hAnsi="Calibri" w:cs="Times New Roman"/>
                <w:b/>
                <w:bCs/>
                <w:lang w:val="es-MX"/>
              </w:rPr>
            </w:pPr>
            <w:proofErr w:type="spellStart"/>
            <w:r w:rsidRPr="004C7D8A">
              <w:rPr>
                <w:rFonts w:ascii="Calibri" w:eastAsia="Calibri" w:hAnsi="Calibri" w:cs="Times New Roman"/>
                <w:b/>
                <w:bCs/>
                <w:lang w:val="es-MX"/>
              </w:rPr>
              <w:t>Adol</w:t>
            </w:r>
            <w:proofErr w:type="spellEnd"/>
            <w:r w:rsidRPr="004C7D8A">
              <w:rPr>
                <w:rFonts w:ascii="Calibri" w:eastAsia="Calibri" w:hAnsi="Calibri" w:cs="Times New Roman"/>
                <w:b/>
                <w:bCs/>
                <w:lang w:val="es-MX"/>
              </w:rPr>
              <w:t>.</w:t>
            </w:r>
          </w:p>
        </w:tc>
        <w:tc>
          <w:tcPr>
            <w:tcW w:w="144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Edad desc.</w:t>
            </w:r>
          </w:p>
        </w:tc>
        <w:tc>
          <w:tcPr>
            <w:tcW w:w="1400" w:type="dxa"/>
            <w:vMerge/>
            <w:hideMark/>
          </w:tcPr>
          <w:p w:rsidR="004C7D8A" w:rsidRPr="004C7D8A" w:rsidRDefault="004C7D8A" w:rsidP="004C7D8A">
            <w:pPr>
              <w:jc w:val="both"/>
              <w:rPr>
                <w:rFonts w:ascii="Calibri" w:eastAsia="Calibri" w:hAnsi="Calibri" w:cs="Times New Roman"/>
                <w:b/>
                <w:bCs/>
                <w:lang w:val="es-MX"/>
              </w:rPr>
            </w:pPr>
          </w:p>
        </w:tc>
        <w:tc>
          <w:tcPr>
            <w:tcW w:w="700" w:type="dxa"/>
            <w:vMerge/>
            <w:hideMark/>
          </w:tcPr>
          <w:p w:rsidR="004C7D8A" w:rsidRPr="004C7D8A" w:rsidRDefault="004C7D8A" w:rsidP="004C7D8A">
            <w:pPr>
              <w:jc w:val="both"/>
              <w:rPr>
                <w:rFonts w:ascii="Calibri" w:eastAsia="Calibri" w:hAnsi="Calibri" w:cs="Times New Roman"/>
                <w:b/>
                <w:bCs/>
                <w:lang w:val="es-MX"/>
              </w:rPr>
            </w:pP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2017/Ene</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171</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9.41%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26.47%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13.53%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50.59%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7.57%</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2017/Feb</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108</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211</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11.79%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23.58%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12.74%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50.94%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0.47%</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9.39%</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2017/Mar</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15.91%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29.55%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12.50%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42.05%</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3.92%</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2017/Abr</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28</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44</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9.09%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15.91%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11.36%</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63.64%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1.96%</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w:t>
            </w:r>
            <w:proofErr w:type="spellStart"/>
            <w:r w:rsidRPr="004C7D8A">
              <w:rPr>
                <w:rFonts w:ascii="Calibri" w:eastAsia="Calibri" w:hAnsi="Calibri" w:cs="Times New Roman"/>
                <w:lang w:val="es-MX"/>
              </w:rPr>
              <w:t>May</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6.33%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29.11%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17.72%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46.84%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3.52%</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2017/Jun</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76</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10.53%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21.05%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21.05%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47.37%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3.38%</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2017/Jul</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18.64%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13.56%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10.17%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57.63%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2.63%</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w:t>
            </w:r>
            <w:proofErr w:type="spellStart"/>
            <w:r w:rsidRPr="004C7D8A">
              <w:rPr>
                <w:rFonts w:ascii="Calibri" w:eastAsia="Calibri" w:hAnsi="Calibri" w:cs="Times New Roman"/>
                <w:lang w:val="es-MX"/>
              </w:rPr>
              <w:t>Ago</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45</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98</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15.31%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24.49%</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14.29%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45.92%</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4.36%</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w:t>
            </w:r>
            <w:proofErr w:type="spellStart"/>
            <w:r w:rsidRPr="004C7D8A">
              <w:rPr>
                <w:rFonts w:ascii="Calibri" w:eastAsia="Calibri" w:hAnsi="Calibri" w:cs="Times New Roman"/>
                <w:lang w:val="es-MX"/>
              </w:rPr>
              <w:t>Sep</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9.72%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25.00%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6.94%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58.33%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3.20%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2017/Oct</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80</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11.25%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22.50%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8.75%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57.50%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3.56%</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2017/Nov</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88</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14.77%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21.59%</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13.64%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50.00%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3.92%</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2017/Dic</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45</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15.56%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13.33%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11.11%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60.00%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2018/Ene</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66</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12.12%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25.76%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25.76%</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36.36%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2.94%</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2018/Feb</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85</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11.76%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25.88%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15.29%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47.06%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3.78%</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2018/Mar</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81</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13.58%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25.93%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16.05%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44.44%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2018/Abr</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96</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16.67%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18.75%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22.92%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41.67%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4.27%</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w:t>
            </w:r>
            <w:proofErr w:type="spellStart"/>
            <w:r w:rsidRPr="004C7D8A">
              <w:rPr>
                <w:rFonts w:ascii="Calibri" w:eastAsia="Calibri" w:hAnsi="Calibri" w:cs="Times New Roman"/>
                <w:lang w:val="es-MX"/>
              </w:rPr>
              <w:t>May</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31</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72</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9.72%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22.22%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43.06%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3.20%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2018/Jun</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12.63%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25.26%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7.37%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52.63%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4.14%</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2018/Jul</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12.84%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25.69%</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9.17%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52.29%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4.85%</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w:t>
            </w:r>
            <w:proofErr w:type="spellStart"/>
            <w:r w:rsidRPr="004C7D8A">
              <w:rPr>
                <w:rFonts w:ascii="Calibri" w:eastAsia="Calibri" w:hAnsi="Calibri" w:cs="Times New Roman"/>
                <w:lang w:val="es-MX"/>
              </w:rPr>
              <w:t>Ago</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52</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91</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13.19%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16.48%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13.19%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57.14%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4.05%</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w:t>
            </w:r>
            <w:proofErr w:type="spellStart"/>
            <w:r w:rsidRPr="004C7D8A">
              <w:rPr>
                <w:rFonts w:ascii="Calibri" w:eastAsia="Calibri" w:hAnsi="Calibri" w:cs="Times New Roman"/>
                <w:lang w:val="es-MX"/>
              </w:rPr>
              <w:t>Sep</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81</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6.17%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32.10%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16.05%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45.68%</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2018/Oct</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124</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12.10%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27.42%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12.10%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48.39%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5.52%</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2018/Nov</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134</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12.69%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19.40%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16.42%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51.49%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5.96%</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2018/Dic</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56</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19.64%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30.36%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7.14%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42.86%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2.49%</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2019/Ene</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12.24%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30.61%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20.41%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36.73%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2.18%</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541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321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1,109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2,250</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12.37%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23.99%</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14.29%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49.31%</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0.04%</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34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 niñas y adolescentes mujeres 817</w:t>
            </w:r>
          </w:p>
        </w:tc>
        <w:tc>
          <w:tcPr>
            <w:tcW w:w="36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 niños y adolescentes hombres 1,430</w:t>
            </w:r>
          </w:p>
        </w:tc>
        <w:tc>
          <w:tcPr>
            <w:tcW w:w="140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 </w:t>
            </w: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34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36.36%</w:t>
            </w:r>
          </w:p>
        </w:tc>
        <w:tc>
          <w:tcPr>
            <w:tcW w:w="36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63.64%</w:t>
            </w:r>
          </w:p>
        </w:tc>
        <w:tc>
          <w:tcPr>
            <w:tcW w:w="1400" w:type="dxa"/>
            <w:vMerge/>
            <w:hideMark/>
          </w:tcPr>
          <w:p w:rsidR="004C7D8A" w:rsidRPr="004C7D8A" w:rsidRDefault="004C7D8A" w:rsidP="004C7D8A">
            <w:pPr>
              <w:jc w:val="both"/>
              <w:rPr>
                <w:rFonts w:ascii="Calibri" w:eastAsia="Calibri" w:hAnsi="Calibri" w:cs="Times New Roman"/>
                <w:lang w:val="es-MX"/>
              </w:rPr>
            </w:pP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00"/>
        </w:trPr>
        <w:tc>
          <w:tcPr>
            <w:tcW w:w="12940" w:type="dxa"/>
            <w:gridSpan w:val="9"/>
            <w:hideMark/>
          </w:tcPr>
          <w:p w:rsidR="004C7D8A" w:rsidRPr="004C7D8A" w:rsidRDefault="004C7D8A" w:rsidP="004C7D8A">
            <w:pPr>
              <w:jc w:val="center"/>
              <w:rPr>
                <w:rFonts w:ascii="Calibri" w:eastAsia="Calibri" w:hAnsi="Calibri" w:cs="Times New Roman"/>
                <w:b/>
                <w:bCs/>
                <w:sz w:val="18"/>
                <w:szCs w:val="18"/>
                <w:lang w:val="es-MX"/>
              </w:rPr>
            </w:pPr>
            <w:r w:rsidRPr="004C7D8A">
              <w:rPr>
                <w:rFonts w:ascii="Calibri" w:eastAsia="Calibri" w:hAnsi="Calibri" w:cs="Times New Roman"/>
                <w:b/>
                <w:bCs/>
                <w:sz w:val="18"/>
                <w:szCs w:val="18"/>
                <w:lang w:val="es-MX"/>
              </w:rPr>
              <w:t>Fuente: CONNA, Sistema de información de la niñez y adolescencia en El Salvador - SINAES. Fecha de generación del informe 27/02/2019 - 10:35:15</w:t>
            </w:r>
          </w:p>
        </w:tc>
      </w:tr>
    </w:tbl>
    <w:p w:rsidR="004C7D8A" w:rsidRPr="004C7D8A" w:rsidRDefault="004C7D8A" w:rsidP="004C7D8A">
      <w:pPr>
        <w:spacing w:after="200" w:line="240" w:lineRule="auto"/>
        <w:jc w:val="both"/>
        <w:rPr>
          <w:rFonts w:ascii="Calibri" w:eastAsia="Calibri" w:hAnsi="Calibri" w:cs="Times New Roman"/>
          <w:lang w:val="es-MX"/>
        </w:rPr>
      </w:pPr>
    </w:p>
    <w:p w:rsidR="004C7D8A" w:rsidRPr="004C7D8A" w:rsidRDefault="004C7D8A" w:rsidP="004C7D8A">
      <w:pPr>
        <w:spacing w:after="200" w:line="240" w:lineRule="auto"/>
        <w:jc w:val="both"/>
        <w:rPr>
          <w:rFonts w:ascii="Calibri" w:eastAsia="Calibri" w:hAnsi="Calibri" w:cs="Times New Roman"/>
          <w:lang w:val="es-MX"/>
        </w:rPr>
      </w:pPr>
      <w:r w:rsidRPr="004C7D8A">
        <w:rPr>
          <w:rFonts w:ascii="Calibri" w:eastAsia="Calibri" w:hAnsi="Calibri" w:cs="Times New Roman"/>
          <w:lang w:val="es-MX"/>
        </w:rPr>
        <w:t>Según condición de acompañado o no:</w:t>
      </w:r>
    </w:p>
    <w:tbl>
      <w:tblPr>
        <w:tblStyle w:val="Tablaconcuadrcula"/>
        <w:tblW w:w="0" w:type="auto"/>
        <w:tblLook w:val="04A0" w:firstRow="1" w:lastRow="0" w:firstColumn="1" w:lastColumn="0" w:noHBand="0" w:noVBand="1"/>
      </w:tblPr>
      <w:tblGrid>
        <w:gridCol w:w="1879"/>
        <w:gridCol w:w="886"/>
        <w:gridCol w:w="902"/>
        <w:gridCol w:w="822"/>
        <w:gridCol w:w="897"/>
        <w:gridCol w:w="897"/>
        <w:gridCol w:w="837"/>
        <w:gridCol w:w="833"/>
        <w:gridCol w:w="875"/>
      </w:tblGrid>
      <w:tr w:rsidR="004C7D8A" w:rsidRPr="004C7D8A" w:rsidTr="004C7D8A">
        <w:trPr>
          <w:trHeight w:val="300"/>
        </w:trPr>
        <w:tc>
          <w:tcPr>
            <w:tcW w:w="12940" w:type="dxa"/>
            <w:gridSpan w:val="9"/>
            <w:hideMark/>
          </w:tcPr>
          <w:p w:rsidR="004C7D8A" w:rsidRPr="004C7D8A" w:rsidRDefault="004C7D8A" w:rsidP="004C7D8A">
            <w:pPr>
              <w:jc w:val="both"/>
              <w:rPr>
                <w:rFonts w:ascii="Calibri" w:eastAsia="Calibri" w:hAnsi="Calibri" w:cs="Times New Roman"/>
                <w:b/>
                <w:bCs/>
              </w:rPr>
            </w:pPr>
            <w:r w:rsidRPr="004C7D8A">
              <w:rPr>
                <w:rFonts w:ascii="Calibri" w:eastAsia="Calibri" w:hAnsi="Calibri" w:cs="Times New Roman"/>
                <w:b/>
                <w:bCs/>
                <w:lang w:val="es-MX"/>
              </w:rPr>
              <w:t>Detalle según acompañado - no acompañado</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 </w:t>
            </w:r>
          </w:p>
        </w:tc>
        <w:tc>
          <w:tcPr>
            <w:tcW w:w="3400" w:type="dxa"/>
            <w:gridSpan w:val="3"/>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Mujer</w:t>
            </w:r>
          </w:p>
        </w:tc>
        <w:tc>
          <w:tcPr>
            <w:tcW w:w="3600" w:type="dxa"/>
            <w:gridSpan w:val="3"/>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Hombre</w:t>
            </w:r>
          </w:p>
        </w:tc>
        <w:tc>
          <w:tcPr>
            <w:tcW w:w="140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Sexo edad desc.</w:t>
            </w:r>
          </w:p>
        </w:tc>
        <w:tc>
          <w:tcPr>
            <w:tcW w:w="70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Total</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b/>
                <w:bCs/>
                <w:lang w:val="es-MX"/>
              </w:rPr>
            </w:pPr>
          </w:p>
        </w:tc>
        <w:tc>
          <w:tcPr>
            <w:tcW w:w="98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Niña</w:t>
            </w:r>
          </w:p>
        </w:tc>
        <w:tc>
          <w:tcPr>
            <w:tcW w:w="1120" w:type="dxa"/>
            <w:hideMark/>
          </w:tcPr>
          <w:p w:rsidR="004C7D8A" w:rsidRPr="004C7D8A" w:rsidRDefault="004C7D8A" w:rsidP="004C7D8A">
            <w:pPr>
              <w:jc w:val="both"/>
              <w:rPr>
                <w:rFonts w:ascii="Calibri" w:eastAsia="Calibri" w:hAnsi="Calibri" w:cs="Times New Roman"/>
                <w:b/>
                <w:bCs/>
                <w:lang w:val="es-MX"/>
              </w:rPr>
            </w:pPr>
            <w:proofErr w:type="spellStart"/>
            <w:r w:rsidRPr="004C7D8A">
              <w:rPr>
                <w:rFonts w:ascii="Calibri" w:eastAsia="Calibri" w:hAnsi="Calibri" w:cs="Times New Roman"/>
                <w:b/>
                <w:bCs/>
                <w:lang w:val="es-MX"/>
              </w:rPr>
              <w:t>Adol</w:t>
            </w:r>
            <w:proofErr w:type="spellEnd"/>
            <w:r w:rsidRPr="004C7D8A">
              <w:rPr>
                <w:rFonts w:ascii="Calibri" w:eastAsia="Calibri" w:hAnsi="Calibri" w:cs="Times New Roman"/>
                <w:b/>
                <w:bCs/>
                <w:lang w:val="es-MX"/>
              </w:rPr>
              <w:t>.</w:t>
            </w:r>
          </w:p>
        </w:tc>
        <w:tc>
          <w:tcPr>
            <w:tcW w:w="130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Edad desc.</w:t>
            </w:r>
          </w:p>
        </w:tc>
        <w:tc>
          <w:tcPr>
            <w:tcW w:w="108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Niño</w:t>
            </w:r>
          </w:p>
        </w:tc>
        <w:tc>
          <w:tcPr>
            <w:tcW w:w="1080" w:type="dxa"/>
            <w:hideMark/>
          </w:tcPr>
          <w:p w:rsidR="004C7D8A" w:rsidRPr="004C7D8A" w:rsidRDefault="004C7D8A" w:rsidP="004C7D8A">
            <w:pPr>
              <w:jc w:val="both"/>
              <w:rPr>
                <w:rFonts w:ascii="Calibri" w:eastAsia="Calibri" w:hAnsi="Calibri" w:cs="Times New Roman"/>
                <w:b/>
                <w:bCs/>
                <w:lang w:val="es-MX"/>
              </w:rPr>
            </w:pPr>
            <w:proofErr w:type="spellStart"/>
            <w:r w:rsidRPr="004C7D8A">
              <w:rPr>
                <w:rFonts w:ascii="Calibri" w:eastAsia="Calibri" w:hAnsi="Calibri" w:cs="Times New Roman"/>
                <w:b/>
                <w:bCs/>
                <w:lang w:val="es-MX"/>
              </w:rPr>
              <w:t>Adol</w:t>
            </w:r>
            <w:proofErr w:type="spellEnd"/>
            <w:r w:rsidRPr="004C7D8A">
              <w:rPr>
                <w:rFonts w:ascii="Calibri" w:eastAsia="Calibri" w:hAnsi="Calibri" w:cs="Times New Roman"/>
                <w:b/>
                <w:bCs/>
                <w:lang w:val="es-MX"/>
              </w:rPr>
              <w:t>.</w:t>
            </w:r>
          </w:p>
        </w:tc>
        <w:tc>
          <w:tcPr>
            <w:tcW w:w="144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Edad desc.</w:t>
            </w:r>
          </w:p>
        </w:tc>
        <w:tc>
          <w:tcPr>
            <w:tcW w:w="1400" w:type="dxa"/>
            <w:vMerge/>
            <w:hideMark/>
          </w:tcPr>
          <w:p w:rsidR="004C7D8A" w:rsidRPr="004C7D8A" w:rsidRDefault="004C7D8A" w:rsidP="004C7D8A">
            <w:pPr>
              <w:jc w:val="both"/>
              <w:rPr>
                <w:rFonts w:ascii="Calibri" w:eastAsia="Calibri" w:hAnsi="Calibri" w:cs="Times New Roman"/>
                <w:b/>
                <w:bCs/>
                <w:lang w:val="es-MX"/>
              </w:rPr>
            </w:pPr>
          </w:p>
        </w:tc>
        <w:tc>
          <w:tcPr>
            <w:tcW w:w="700" w:type="dxa"/>
            <w:vMerge/>
            <w:hideMark/>
          </w:tcPr>
          <w:p w:rsidR="004C7D8A" w:rsidRPr="004C7D8A" w:rsidRDefault="004C7D8A" w:rsidP="004C7D8A">
            <w:pPr>
              <w:jc w:val="both"/>
              <w:rPr>
                <w:rFonts w:ascii="Calibri" w:eastAsia="Calibri" w:hAnsi="Calibri" w:cs="Times New Roman"/>
                <w:b/>
                <w:bCs/>
                <w:lang w:val="es-MX"/>
              </w:rPr>
            </w:pP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Acompañado(a)</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558</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31.00%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15.05%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34.41%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19.53%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24.80%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No acompañado(a)</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456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1,001</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1,692</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6.21%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26.95%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7.62%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59.16%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0.06%</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75.20%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540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321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1,110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2,250</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12.36%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24.00%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14.27%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49.33%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0.04%</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34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 niñas y adolescentes mujeres 818</w:t>
            </w:r>
          </w:p>
        </w:tc>
        <w:tc>
          <w:tcPr>
            <w:tcW w:w="36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 niños y adolescentes hombres 1,432</w:t>
            </w:r>
          </w:p>
        </w:tc>
        <w:tc>
          <w:tcPr>
            <w:tcW w:w="140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 </w:t>
            </w: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34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36.36%</w:t>
            </w:r>
          </w:p>
        </w:tc>
        <w:tc>
          <w:tcPr>
            <w:tcW w:w="36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63.64%</w:t>
            </w:r>
          </w:p>
        </w:tc>
        <w:tc>
          <w:tcPr>
            <w:tcW w:w="1400" w:type="dxa"/>
            <w:vMerge/>
            <w:hideMark/>
          </w:tcPr>
          <w:p w:rsidR="004C7D8A" w:rsidRPr="004C7D8A" w:rsidRDefault="004C7D8A" w:rsidP="004C7D8A">
            <w:pPr>
              <w:jc w:val="both"/>
              <w:rPr>
                <w:rFonts w:ascii="Calibri" w:eastAsia="Calibri" w:hAnsi="Calibri" w:cs="Times New Roman"/>
                <w:lang w:val="es-MX"/>
              </w:rPr>
            </w:pP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00"/>
        </w:trPr>
        <w:tc>
          <w:tcPr>
            <w:tcW w:w="12940" w:type="dxa"/>
            <w:gridSpan w:val="9"/>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Fuente: CONNA, Sistema de información de la niñez y adolescencia en El Salvador - SINAES. Fecha de generación del informe 27/02/2019 - 10:35:15</w:t>
            </w:r>
          </w:p>
        </w:tc>
      </w:tr>
    </w:tbl>
    <w:p w:rsidR="004C7D8A" w:rsidRPr="004C7D8A" w:rsidRDefault="004C7D8A" w:rsidP="004C7D8A">
      <w:pPr>
        <w:spacing w:after="200" w:line="240" w:lineRule="auto"/>
        <w:jc w:val="both"/>
        <w:rPr>
          <w:rFonts w:ascii="Calibri" w:eastAsia="Calibri" w:hAnsi="Calibri" w:cs="Times New Roman"/>
          <w:lang w:val="es-MX"/>
        </w:rPr>
      </w:pPr>
    </w:p>
    <w:p w:rsidR="004C7D8A" w:rsidRPr="004C7D8A" w:rsidRDefault="004C7D8A" w:rsidP="004C7D8A">
      <w:pPr>
        <w:spacing w:after="200" w:line="240" w:lineRule="auto"/>
        <w:jc w:val="both"/>
        <w:rPr>
          <w:rFonts w:ascii="Calibri" w:eastAsia="Calibri" w:hAnsi="Calibri" w:cs="Times New Roman"/>
          <w:lang w:val="es-MX"/>
        </w:rPr>
      </w:pPr>
      <w:r w:rsidRPr="004C7D8A">
        <w:rPr>
          <w:rFonts w:ascii="Calibri" w:eastAsia="Calibri" w:hAnsi="Calibri" w:cs="Times New Roman"/>
          <w:lang w:val="es-MX"/>
        </w:rPr>
        <w:t>Número de NNA que han requerido Protección por parte de Juntas de Protección.</w:t>
      </w:r>
    </w:p>
    <w:tbl>
      <w:tblPr>
        <w:tblStyle w:val="Tablaconcuadrcula"/>
        <w:tblW w:w="0" w:type="auto"/>
        <w:tblLook w:val="04A0" w:firstRow="1" w:lastRow="0" w:firstColumn="1" w:lastColumn="0" w:noHBand="0" w:noVBand="1"/>
      </w:tblPr>
      <w:tblGrid>
        <w:gridCol w:w="1853"/>
        <w:gridCol w:w="887"/>
        <w:gridCol w:w="904"/>
        <w:gridCol w:w="828"/>
        <w:gridCol w:w="899"/>
        <w:gridCol w:w="899"/>
        <w:gridCol w:w="844"/>
        <w:gridCol w:w="839"/>
        <w:gridCol w:w="875"/>
      </w:tblGrid>
      <w:tr w:rsidR="004C7D8A" w:rsidRPr="004C7D8A" w:rsidTr="004C7D8A">
        <w:trPr>
          <w:trHeight w:val="300"/>
        </w:trPr>
        <w:tc>
          <w:tcPr>
            <w:tcW w:w="12940" w:type="dxa"/>
            <w:gridSpan w:val="9"/>
            <w:hideMark/>
          </w:tcPr>
          <w:p w:rsidR="004C7D8A" w:rsidRPr="004C7D8A" w:rsidRDefault="004C7D8A" w:rsidP="004C7D8A">
            <w:pPr>
              <w:jc w:val="both"/>
              <w:rPr>
                <w:rFonts w:ascii="Calibri" w:eastAsia="Calibri" w:hAnsi="Calibri" w:cs="Times New Roman"/>
                <w:b/>
                <w:bCs/>
              </w:rPr>
            </w:pPr>
            <w:r w:rsidRPr="004C7D8A">
              <w:rPr>
                <w:rFonts w:ascii="Calibri" w:eastAsia="Calibri" w:hAnsi="Calibri" w:cs="Times New Roman"/>
                <w:b/>
                <w:bCs/>
                <w:lang w:val="es-MX"/>
              </w:rPr>
              <w:t>Remitido a Junta de Protección</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Remitido a Junta de Protección de (Notificaciones y acogimientos)</w:t>
            </w:r>
          </w:p>
        </w:tc>
        <w:tc>
          <w:tcPr>
            <w:tcW w:w="3400" w:type="dxa"/>
            <w:gridSpan w:val="3"/>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Mujer</w:t>
            </w:r>
          </w:p>
        </w:tc>
        <w:tc>
          <w:tcPr>
            <w:tcW w:w="3600" w:type="dxa"/>
            <w:gridSpan w:val="3"/>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Hombre</w:t>
            </w:r>
          </w:p>
        </w:tc>
        <w:tc>
          <w:tcPr>
            <w:tcW w:w="140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Sexo edad desc.</w:t>
            </w:r>
          </w:p>
        </w:tc>
        <w:tc>
          <w:tcPr>
            <w:tcW w:w="700" w:type="dxa"/>
            <w:vMerge w:val="restart"/>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Total</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b/>
                <w:bCs/>
                <w:lang w:val="es-MX"/>
              </w:rPr>
            </w:pPr>
          </w:p>
        </w:tc>
        <w:tc>
          <w:tcPr>
            <w:tcW w:w="98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Niña</w:t>
            </w:r>
          </w:p>
        </w:tc>
        <w:tc>
          <w:tcPr>
            <w:tcW w:w="1120" w:type="dxa"/>
            <w:hideMark/>
          </w:tcPr>
          <w:p w:rsidR="004C7D8A" w:rsidRPr="004C7D8A" w:rsidRDefault="004C7D8A" w:rsidP="004C7D8A">
            <w:pPr>
              <w:jc w:val="both"/>
              <w:rPr>
                <w:rFonts w:ascii="Calibri" w:eastAsia="Calibri" w:hAnsi="Calibri" w:cs="Times New Roman"/>
                <w:b/>
                <w:bCs/>
                <w:lang w:val="es-MX"/>
              </w:rPr>
            </w:pPr>
            <w:proofErr w:type="spellStart"/>
            <w:r w:rsidRPr="004C7D8A">
              <w:rPr>
                <w:rFonts w:ascii="Calibri" w:eastAsia="Calibri" w:hAnsi="Calibri" w:cs="Times New Roman"/>
                <w:b/>
                <w:bCs/>
                <w:lang w:val="es-MX"/>
              </w:rPr>
              <w:t>Adol</w:t>
            </w:r>
            <w:proofErr w:type="spellEnd"/>
            <w:r w:rsidRPr="004C7D8A">
              <w:rPr>
                <w:rFonts w:ascii="Calibri" w:eastAsia="Calibri" w:hAnsi="Calibri" w:cs="Times New Roman"/>
                <w:b/>
                <w:bCs/>
                <w:lang w:val="es-MX"/>
              </w:rPr>
              <w:t>.</w:t>
            </w:r>
          </w:p>
        </w:tc>
        <w:tc>
          <w:tcPr>
            <w:tcW w:w="130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Edad desc.</w:t>
            </w:r>
          </w:p>
        </w:tc>
        <w:tc>
          <w:tcPr>
            <w:tcW w:w="108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Niño</w:t>
            </w:r>
          </w:p>
        </w:tc>
        <w:tc>
          <w:tcPr>
            <w:tcW w:w="1080" w:type="dxa"/>
            <w:hideMark/>
          </w:tcPr>
          <w:p w:rsidR="004C7D8A" w:rsidRPr="004C7D8A" w:rsidRDefault="004C7D8A" w:rsidP="004C7D8A">
            <w:pPr>
              <w:jc w:val="both"/>
              <w:rPr>
                <w:rFonts w:ascii="Calibri" w:eastAsia="Calibri" w:hAnsi="Calibri" w:cs="Times New Roman"/>
                <w:b/>
                <w:bCs/>
                <w:lang w:val="es-MX"/>
              </w:rPr>
            </w:pPr>
            <w:proofErr w:type="spellStart"/>
            <w:r w:rsidRPr="004C7D8A">
              <w:rPr>
                <w:rFonts w:ascii="Calibri" w:eastAsia="Calibri" w:hAnsi="Calibri" w:cs="Times New Roman"/>
                <w:b/>
                <w:bCs/>
                <w:lang w:val="es-MX"/>
              </w:rPr>
              <w:t>Adol</w:t>
            </w:r>
            <w:proofErr w:type="spellEnd"/>
            <w:r w:rsidRPr="004C7D8A">
              <w:rPr>
                <w:rFonts w:ascii="Calibri" w:eastAsia="Calibri" w:hAnsi="Calibri" w:cs="Times New Roman"/>
                <w:b/>
                <w:bCs/>
                <w:lang w:val="es-MX"/>
              </w:rPr>
              <w:t>.</w:t>
            </w:r>
          </w:p>
        </w:tc>
        <w:tc>
          <w:tcPr>
            <w:tcW w:w="1440" w:type="dxa"/>
            <w:hideMark/>
          </w:tcPr>
          <w:p w:rsidR="004C7D8A" w:rsidRPr="004C7D8A" w:rsidRDefault="004C7D8A" w:rsidP="004C7D8A">
            <w:pPr>
              <w:jc w:val="both"/>
              <w:rPr>
                <w:rFonts w:ascii="Calibri" w:eastAsia="Calibri" w:hAnsi="Calibri" w:cs="Times New Roman"/>
                <w:b/>
                <w:bCs/>
                <w:lang w:val="es-MX"/>
              </w:rPr>
            </w:pPr>
            <w:r w:rsidRPr="004C7D8A">
              <w:rPr>
                <w:rFonts w:ascii="Calibri" w:eastAsia="Calibri" w:hAnsi="Calibri" w:cs="Times New Roman"/>
                <w:b/>
                <w:bCs/>
                <w:lang w:val="es-MX"/>
              </w:rPr>
              <w:t>Edad desc.</w:t>
            </w:r>
          </w:p>
        </w:tc>
        <w:tc>
          <w:tcPr>
            <w:tcW w:w="1400" w:type="dxa"/>
            <w:vMerge/>
            <w:hideMark/>
          </w:tcPr>
          <w:p w:rsidR="004C7D8A" w:rsidRPr="004C7D8A" w:rsidRDefault="004C7D8A" w:rsidP="004C7D8A">
            <w:pPr>
              <w:jc w:val="both"/>
              <w:rPr>
                <w:rFonts w:ascii="Calibri" w:eastAsia="Calibri" w:hAnsi="Calibri" w:cs="Times New Roman"/>
                <w:b/>
                <w:bCs/>
                <w:lang w:val="es-MX"/>
              </w:rPr>
            </w:pPr>
          </w:p>
        </w:tc>
        <w:tc>
          <w:tcPr>
            <w:tcW w:w="700" w:type="dxa"/>
            <w:vMerge/>
            <w:hideMark/>
          </w:tcPr>
          <w:p w:rsidR="004C7D8A" w:rsidRPr="004C7D8A" w:rsidRDefault="004C7D8A" w:rsidP="004C7D8A">
            <w:pPr>
              <w:jc w:val="both"/>
              <w:rPr>
                <w:rFonts w:ascii="Calibri" w:eastAsia="Calibri" w:hAnsi="Calibri" w:cs="Times New Roman"/>
                <w:b/>
                <w:bCs/>
                <w:lang w:val="es-MX"/>
              </w:rPr>
            </w:pP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Ahuachapán</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8.22%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23.29%</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13.70%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54.79%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6.48%</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Santa Ana</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84</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13.10%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17.86%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29.76%</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39.29%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7.45%</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Sonsonate</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66</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13.64%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21.21%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19.70%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45.45%</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5.86%</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Chalatenango</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18.18%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30.30%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15.15%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36.36%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2.93%</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La Libertad</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108</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12.96%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20.37%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17.59%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49.07%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9.58%</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San Salvador I</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38</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18.42%</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31.58%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18.42%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31.58%</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3.37%</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proofErr w:type="spellStart"/>
            <w:r w:rsidRPr="004C7D8A">
              <w:rPr>
                <w:rFonts w:ascii="Calibri" w:eastAsia="Calibri" w:hAnsi="Calibri" w:cs="Times New Roman"/>
                <w:lang w:val="es-MX"/>
              </w:rPr>
              <w:t>Cuscatlan</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31</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22.58%</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22.58%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12.90%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41.94%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2.75%</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La Paz</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7.55%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24.53%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20.75%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47.17%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4.70%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Cabañas</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80</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32.50%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8.75%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53.75%</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7.10%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San Vicente</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57</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10.53%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24.56%</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21.05%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43.86%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5.06%</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Usulután</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41</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124</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27.42%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19.35%</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33.06%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11.00%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San Miguel</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59</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18.80%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20.30%</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15.79%</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44.36%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0.75%</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11.80%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proofErr w:type="spellStart"/>
            <w:r w:rsidRPr="004C7D8A">
              <w:rPr>
                <w:rFonts w:ascii="Calibri" w:eastAsia="Calibri" w:hAnsi="Calibri" w:cs="Times New Roman"/>
                <w:lang w:val="es-MX"/>
              </w:rPr>
              <w:t>Morazan</w:t>
            </w:r>
            <w:proofErr w:type="spellEnd"/>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53</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7.55%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24.53%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11.32%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56.60%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4.70%</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La Unión</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13</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16.46%</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30.38%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22.78%</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30.38%</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7.01%</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San Salvador II</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7</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56</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25.00%</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21.43%</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12.50%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41.07%</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4.97%</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San Salvador III</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9</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12</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59</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15.25%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30.51%</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20.34%</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33.90%</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5.24%</w:t>
            </w:r>
          </w:p>
        </w:tc>
      </w:tr>
      <w:tr w:rsidR="004C7D8A" w:rsidRPr="004C7D8A" w:rsidTr="004C7D8A">
        <w:trPr>
          <w:trHeight w:val="315"/>
        </w:trPr>
        <w:tc>
          <w:tcPr>
            <w:tcW w:w="384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w:t>
            </w: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164</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278</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201</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483</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w:t>
            </w:r>
          </w:p>
        </w:tc>
        <w:tc>
          <w:tcPr>
            <w:tcW w:w="70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1,127</w:t>
            </w: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9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14.55%</w:t>
            </w:r>
          </w:p>
        </w:tc>
        <w:tc>
          <w:tcPr>
            <w:tcW w:w="112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24.67%</w:t>
            </w:r>
          </w:p>
        </w:tc>
        <w:tc>
          <w:tcPr>
            <w:tcW w:w="13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17.83%</w:t>
            </w:r>
          </w:p>
        </w:tc>
        <w:tc>
          <w:tcPr>
            <w:tcW w:w="108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42.86%</w:t>
            </w:r>
          </w:p>
        </w:tc>
        <w:tc>
          <w:tcPr>
            <w:tcW w:w="144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0.09%</w:t>
            </w:r>
          </w:p>
        </w:tc>
        <w:tc>
          <w:tcPr>
            <w:tcW w:w="1400" w:type="dxa"/>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0.00%</w:t>
            </w: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34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 niñas y adolescentes mujeres 442</w:t>
            </w:r>
          </w:p>
        </w:tc>
        <w:tc>
          <w:tcPr>
            <w:tcW w:w="36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Total niños y adolescentes hombres 685</w:t>
            </w:r>
          </w:p>
        </w:tc>
        <w:tc>
          <w:tcPr>
            <w:tcW w:w="1400" w:type="dxa"/>
            <w:vMerge w:val="restart"/>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 </w:t>
            </w: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15"/>
        </w:trPr>
        <w:tc>
          <w:tcPr>
            <w:tcW w:w="3840" w:type="dxa"/>
            <w:vMerge/>
            <w:hideMark/>
          </w:tcPr>
          <w:p w:rsidR="004C7D8A" w:rsidRPr="004C7D8A" w:rsidRDefault="004C7D8A" w:rsidP="004C7D8A">
            <w:pPr>
              <w:jc w:val="both"/>
              <w:rPr>
                <w:rFonts w:ascii="Calibri" w:eastAsia="Calibri" w:hAnsi="Calibri" w:cs="Times New Roman"/>
                <w:lang w:val="es-MX"/>
              </w:rPr>
            </w:pPr>
          </w:p>
        </w:tc>
        <w:tc>
          <w:tcPr>
            <w:tcW w:w="34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39.22%</w:t>
            </w:r>
          </w:p>
        </w:tc>
        <w:tc>
          <w:tcPr>
            <w:tcW w:w="3600" w:type="dxa"/>
            <w:gridSpan w:val="3"/>
            <w:hideMark/>
          </w:tcPr>
          <w:p w:rsidR="004C7D8A" w:rsidRPr="004C7D8A" w:rsidRDefault="004C7D8A" w:rsidP="004C7D8A">
            <w:pPr>
              <w:jc w:val="both"/>
              <w:rPr>
                <w:rFonts w:ascii="Calibri" w:eastAsia="Calibri" w:hAnsi="Calibri" w:cs="Times New Roman"/>
                <w:lang w:val="es-MX"/>
              </w:rPr>
            </w:pPr>
            <w:r w:rsidRPr="004C7D8A">
              <w:rPr>
                <w:rFonts w:ascii="Calibri" w:eastAsia="Calibri" w:hAnsi="Calibri" w:cs="Times New Roman"/>
                <w:lang w:val="es-MX"/>
              </w:rPr>
              <w:t>60.78%</w:t>
            </w:r>
          </w:p>
        </w:tc>
        <w:tc>
          <w:tcPr>
            <w:tcW w:w="1400" w:type="dxa"/>
            <w:vMerge/>
            <w:hideMark/>
          </w:tcPr>
          <w:p w:rsidR="004C7D8A" w:rsidRPr="004C7D8A" w:rsidRDefault="004C7D8A" w:rsidP="004C7D8A">
            <w:pPr>
              <w:jc w:val="both"/>
              <w:rPr>
                <w:rFonts w:ascii="Calibri" w:eastAsia="Calibri" w:hAnsi="Calibri" w:cs="Times New Roman"/>
                <w:lang w:val="es-MX"/>
              </w:rPr>
            </w:pPr>
          </w:p>
        </w:tc>
        <w:tc>
          <w:tcPr>
            <w:tcW w:w="700" w:type="dxa"/>
            <w:vMerge/>
            <w:hideMark/>
          </w:tcPr>
          <w:p w:rsidR="004C7D8A" w:rsidRPr="004C7D8A" w:rsidRDefault="004C7D8A" w:rsidP="004C7D8A">
            <w:pPr>
              <w:jc w:val="both"/>
              <w:rPr>
                <w:rFonts w:ascii="Calibri" w:eastAsia="Calibri" w:hAnsi="Calibri" w:cs="Times New Roman"/>
                <w:lang w:val="es-MX"/>
              </w:rPr>
            </w:pPr>
          </w:p>
        </w:tc>
      </w:tr>
      <w:tr w:rsidR="004C7D8A" w:rsidRPr="004C7D8A" w:rsidTr="004C7D8A">
        <w:trPr>
          <w:trHeight w:val="300"/>
        </w:trPr>
        <w:tc>
          <w:tcPr>
            <w:tcW w:w="12940" w:type="dxa"/>
            <w:gridSpan w:val="9"/>
            <w:hideMark/>
          </w:tcPr>
          <w:p w:rsidR="004C7D8A" w:rsidRPr="004C7D8A" w:rsidRDefault="004C7D8A" w:rsidP="004C7D8A">
            <w:pPr>
              <w:jc w:val="center"/>
              <w:rPr>
                <w:rFonts w:ascii="Calibri" w:eastAsia="Calibri" w:hAnsi="Calibri" w:cs="Times New Roman"/>
                <w:b/>
                <w:bCs/>
                <w:sz w:val="18"/>
                <w:szCs w:val="18"/>
                <w:lang w:val="es-MX"/>
              </w:rPr>
            </w:pPr>
            <w:r w:rsidRPr="004C7D8A">
              <w:rPr>
                <w:rFonts w:ascii="Calibri" w:eastAsia="Calibri" w:hAnsi="Calibri" w:cs="Times New Roman"/>
                <w:b/>
                <w:bCs/>
                <w:sz w:val="18"/>
                <w:szCs w:val="18"/>
                <w:lang w:val="es-MX"/>
              </w:rPr>
              <w:t>Fuente: CONNA, Sistema de información de la niñez y adolescencia en El Salvador - SINAES. Fecha de generación del informe 27/02/2019 - 10:35:15</w:t>
            </w:r>
          </w:p>
        </w:tc>
      </w:tr>
    </w:tbl>
    <w:p w:rsidR="004C7D8A" w:rsidRPr="004C7D8A" w:rsidRDefault="004C7D8A" w:rsidP="004C7D8A">
      <w:pPr>
        <w:spacing w:after="200" w:line="240" w:lineRule="auto"/>
        <w:jc w:val="both"/>
        <w:rPr>
          <w:rFonts w:ascii="Calibri" w:eastAsia="Calibri" w:hAnsi="Calibri" w:cs="Times New Roman"/>
          <w:lang w:val="es-MX"/>
        </w:rPr>
      </w:pPr>
    </w:p>
    <w:p w:rsidR="004C7D8A" w:rsidRDefault="004C7D8A" w:rsidP="004C7D8A">
      <w:pPr>
        <w:rPr>
          <w:rFonts w:cs="Times New Roman"/>
          <w:b/>
        </w:rPr>
      </w:pPr>
      <w:r w:rsidRPr="004C7D8A">
        <w:rPr>
          <w:rFonts w:cs="Times New Roman"/>
          <w:b/>
        </w:rPr>
        <w:t>2.</w:t>
      </w:r>
      <w:r w:rsidRPr="004C7D8A">
        <w:rPr>
          <w:rFonts w:cs="Times New Roman"/>
          <w:b/>
        </w:rPr>
        <w:tab/>
        <w:t>Las condiciones de las NNA en el tránsito, recepción o acogida y en el retorno al país.</w:t>
      </w:r>
    </w:p>
    <w:p w:rsidR="004C7D8A" w:rsidRDefault="004C7D8A" w:rsidP="004C7D8A">
      <w:pPr>
        <w:spacing w:after="0" w:line="240" w:lineRule="auto"/>
        <w:jc w:val="both"/>
      </w:pPr>
      <w:r w:rsidRPr="0052417D">
        <w:t>El Consejo Nacional de la Niñez y de la Adolescencia (CONNA), a través del Departamento de Protección (DP) en el marco de la atención que brinda a la niñez y adolescencia migrante que retorna vía terrestre o aérea, realiza abordajes integrales que incluyen entrevistas, en las cuales, se ha obtenido información proveniente de las propias niñas, niños y adolescentes que retornan, quienes expresan que su experiencia durante el recorrido está expuesta a peligros por la delincuencia común y organizada, así como, a las inclemencias del tiempo, y el deterioro en su salud física debido a las caminatas, deshidratación y cansancio. Por otro lado, se ha identificado que las personas que se dedican a la trata de personas, ofrecen viajar en transporte terrestre hasta determinada frontera de México y posteriormente, ser trasladados de forma “segura” hacia Los Estados Unidos de América, y les prometen realizar los intentos necesarios hasta llegar a su destino.</w:t>
      </w:r>
    </w:p>
    <w:p w:rsidR="004C7D8A" w:rsidRDefault="004C7D8A" w:rsidP="004C7D8A">
      <w:pPr>
        <w:spacing w:after="0" w:line="240" w:lineRule="auto"/>
        <w:jc w:val="both"/>
      </w:pPr>
    </w:p>
    <w:p w:rsidR="004C7D8A" w:rsidRPr="0052417D" w:rsidRDefault="004C7D8A" w:rsidP="004C7D8A">
      <w:pPr>
        <w:spacing w:after="0" w:line="240" w:lineRule="auto"/>
        <w:jc w:val="both"/>
      </w:pPr>
    </w:p>
    <w:p w:rsidR="004C7D8A" w:rsidRPr="0052417D" w:rsidRDefault="004C7D8A" w:rsidP="004C7D8A">
      <w:pPr>
        <w:spacing w:after="0" w:line="240" w:lineRule="auto"/>
        <w:jc w:val="both"/>
      </w:pPr>
    </w:p>
    <w:p w:rsidR="004C7D8A" w:rsidRPr="0052417D" w:rsidRDefault="004C7D8A" w:rsidP="004C7D8A">
      <w:pPr>
        <w:spacing w:after="0" w:line="240" w:lineRule="auto"/>
        <w:jc w:val="both"/>
      </w:pPr>
      <w:r>
        <w:t>Asimismo, se expresa que l</w:t>
      </w:r>
      <w:r w:rsidRPr="0052417D">
        <w:t xml:space="preserve">os países de tránsito y destino (generalmente Los Estados Unidos de América) cuentan con leyes, políticas, medidas, prácticas, procedimientos administrativos y procesos judiciales relacionados con la migración, que no respetan las garantías procesales de las niñas, niños y adolescentes, y priorizan la seguridad nacional (criminalizando la migración) en relación a la seguridad humana. </w:t>
      </w:r>
    </w:p>
    <w:p w:rsidR="004C7D8A" w:rsidRPr="0052417D" w:rsidRDefault="004C7D8A" w:rsidP="004C7D8A">
      <w:pPr>
        <w:spacing w:after="0" w:line="240" w:lineRule="auto"/>
        <w:jc w:val="both"/>
      </w:pPr>
    </w:p>
    <w:p w:rsidR="004C7D8A" w:rsidRPr="0052417D" w:rsidRDefault="004C7D8A" w:rsidP="004C7D8A">
      <w:pPr>
        <w:spacing w:after="0" w:line="240" w:lineRule="auto"/>
        <w:jc w:val="both"/>
      </w:pPr>
      <w:r w:rsidRPr="0052417D">
        <w:t xml:space="preserve">En cuanto, al recibimiento que se les da en el país tras su retorno, </w:t>
      </w:r>
      <w:r>
        <w:t>estos</w:t>
      </w:r>
      <w:r w:rsidRPr="0052417D">
        <w:t xml:space="preserve"> pueden regresar por vía aérea o terrestre, y previamente se contacta a un familiar responsable cuando viajan solos, </w:t>
      </w:r>
      <w:r>
        <w:t>con quienes se procura realizar un abordaje previo, por su parte DGME, en el recibimiento de personas migrantes salvadoreños ejecuta el programa “bienvenido a casa” con sus ejes particulares para impulsar la asistencia legal, asistencia educativa, laboral, de atención médica, entre otros.</w:t>
      </w:r>
    </w:p>
    <w:p w:rsidR="004C7D8A" w:rsidRDefault="004C7D8A" w:rsidP="004C7D8A">
      <w:pPr>
        <w:spacing w:after="0" w:line="240" w:lineRule="auto"/>
        <w:jc w:val="both"/>
      </w:pPr>
    </w:p>
    <w:p w:rsidR="004C7D8A" w:rsidRDefault="004C7D8A" w:rsidP="004C7D8A">
      <w:pPr>
        <w:spacing w:after="0" w:line="240" w:lineRule="auto"/>
        <w:jc w:val="both"/>
      </w:pPr>
      <w:r>
        <w:t xml:space="preserve">Para mayor orientación se sugiere complementar con datos que pudiera proporcionar el Ministerio de Relaciones Exteriores quienes entre sus áreas de trabajo cuentan con la Dirección General de Derechos Humanos que tiene entre sus ejes: </w:t>
      </w:r>
      <w:r w:rsidRPr="00177AF6">
        <w:t>Velar y fortalecer el respeto y garantía de los Derechos Humanos de los/las salvadoreños/as en el exterior que se encuentran en los países de tránsito y destino, independientemente de su estatus migratorio, así como responder oportunamente a las necesidades de gestión social y humanitaria de los/las salvadoreños/as en el exterior especialmente la población más vulnerable.</w:t>
      </w:r>
    </w:p>
    <w:p w:rsidR="004C7D8A" w:rsidRPr="004C7D8A" w:rsidRDefault="004C7D8A" w:rsidP="004C7D8A">
      <w:pPr>
        <w:rPr>
          <w:rFonts w:cs="Times New Roman"/>
          <w:b/>
        </w:rPr>
      </w:pPr>
    </w:p>
    <w:p w:rsidR="004C7D8A" w:rsidRDefault="004C7D8A" w:rsidP="004C7D8A">
      <w:pPr>
        <w:rPr>
          <w:rFonts w:cs="Times New Roman"/>
          <w:b/>
        </w:rPr>
      </w:pPr>
      <w:r w:rsidRPr="004C7D8A">
        <w:rPr>
          <w:rFonts w:cs="Times New Roman"/>
          <w:b/>
        </w:rPr>
        <w:t>3.</w:t>
      </w:r>
      <w:r w:rsidRPr="004C7D8A">
        <w:rPr>
          <w:rFonts w:cs="Times New Roman"/>
          <w:b/>
        </w:rPr>
        <w:tab/>
        <w:t>Las principales violaciones a derechos humanos de las NNA migrantes no acompañadas detectadas por el CONNA.</w:t>
      </w:r>
    </w:p>
    <w:p w:rsidR="004C7D8A" w:rsidRPr="0052417D" w:rsidRDefault="004C7D8A" w:rsidP="004C7D8A">
      <w:pPr>
        <w:spacing w:line="240" w:lineRule="auto"/>
        <w:jc w:val="both"/>
        <w:rPr>
          <w:lang w:val="es-ES_tradnl"/>
        </w:rPr>
      </w:pPr>
      <w:r>
        <w:rPr>
          <w:rFonts w:cstheme="minorHAnsi"/>
          <w:lang w:val="es-ES_tradnl" w:eastAsia="es-ES"/>
        </w:rPr>
        <w:t>Se ha identificado por parte del Equipo de Protección del CONNA a través de las diferentes entrevistas con las niñas, niños y adolescentes retornados que dentro de las vulneraciones a derechos identificadas, se encuentran: abuso sexual, amenazas, acoso, extorsión, privación de libertad, agresión física y psicológica, entre otros.</w:t>
      </w:r>
    </w:p>
    <w:p w:rsidR="004C7D8A" w:rsidRPr="004C7D8A" w:rsidRDefault="004C7D8A" w:rsidP="004C7D8A">
      <w:pPr>
        <w:rPr>
          <w:rFonts w:cs="Times New Roman"/>
          <w:b/>
          <w:lang w:val="es-ES_tradnl"/>
        </w:rPr>
      </w:pPr>
    </w:p>
    <w:p w:rsidR="004C7D8A" w:rsidRDefault="004C7D8A" w:rsidP="004C7D8A">
      <w:pPr>
        <w:rPr>
          <w:rFonts w:cs="Times New Roman"/>
          <w:b/>
        </w:rPr>
      </w:pPr>
      <w:r w:rsidRPr="004C7D8A">
        <w:rPr>
          <w:rFonts w:cs="Times New Roman"/>
          <w:b/>
        </w:rPr>
        <w:t>4.</w:t>
      </w:r>
      <w:r w:rsidRPr="004C7D8A">
        <w:rPr>
          <w:rFonts w:cs="Times New Roman"/>
          <w:b/>
        </w:rPr>
        <w:tab/>
        <w:t>Los mecanismos establecidos para dar cumplimiento al derecho de las NNA a opinar y ser oída.</w:t>
      </w:r>
    </w:p>
    <w:p w:rsidR="004C7D8A" w:rsidRDefault="004C7D8A" w:rsidP="004C7D8A">
      <w:pPr>
        <w:spacing w:line="240" w:lineRule="auto"/>
        <w:jc w:val="both"/>
      </w:pPr>
      <w:r>
        <w:rPr>
          <w:lang w:val="es-ES_tradnl"/>
        </w:rPr>
        <w:t xml:space="preserve">Se hace hincapié en que, con el objetivo de armonizar las actuaciones interinstitucionales para la atención y protección a niñez y adolescencia migrante, bajo la conducción del CONNA y en el marco de la mesa </w:t>
      </w:r>
      <w:r w:rsidRPr="008543C6">
        <w:rPr>
          <w:lang w:val="es-ES"/>
        </w:rPr>
        <w:t>de coordinación para la atención y protección de niñez y adolescencia migrante</w:t>
      </w:r>
      <w:r>
        <w:rPr>
          <w:lang w:val="es-ES"/>
        </w:rPr>
        <w:t xml:space="preserve"> se elaboró el </w:t>
      </w:r>
      <w:r w:rsidRPr="008543C6">
        <w:rPr>
          <w:i/>
        </w:rPr>
        <w:t>Protocolo de Protección y Atención de Niñez y Adolescencia Migrante Salvadoreña</w:t>
      </w:r>
      <w:r>
        <w:rPr>
          <w:i/>
        </w:rPr>
        <w:t xml:space="preserve"> </w:t>
      </w:r>
      <w:r>
        <w:t xml:space="preserve">el cual orienta las actuaciones interinstitucionales relacionadas a la niñez y adolescencia migrante retornada, definiendo competencias para cada institución y rutas ante determinados casos; en ese sentido, en el referido documento, se puede observar que incluso a partir del momento en que la niña, niño o adolescente se encuentre fuera del territorio nacional se procura garantizar el derecho de ellas y ellos a opinar y ser oídos, mediante el primer contacto y entrevista consular, el cual se señala en el protocolo que debe realizarse de forma presencial con cada niña, niño o adolescente, buscando mecanismos para garantizar ese derecho; y estando en territorio salvadoreño, Dirección General de Migración y Extranjería realiza dentro de sus competencias, el control migratorio, en donde procura escuchar a las NNA e identificar algunos perfiles particulares de vulnerabilidad a fin </w:t>
      </w:r>
    </w:p>
    <w:p w:rsidR="004C7D8A" w:rsidRDefault="004C7D8A" w:rsidP="004C7D8A">
      <w:pPr>
        <w:spacing w:line="240" w:lineRule="auto"/>
        <w:jc w:val="both"/>
      </w:pPr>
    </w:p>
    <w:p w:rsidR="004C7D8A" w:rsidRDefault="004C7D8A" w:rsidP="004C7D8A">
      <w:pPr>
        <w:spacing w:line="240" w:lineRule="auto"/>
        <w:jc w:val="both"/>
      </w:pPr>
      <w:r>
        <w:t>de remitir el caso a las instituciones del Sistema Nacional de Protección Integral de Niñez y Adolescencia para evaluar con mayor profundidad el caso y brindar protección especial ante la conculcación de derechos.</w:t>
      </w:r>
    </w:p>
    <w:p w:rsidR="004C7D8A" w:rsidRDefault="004C7D8A" w:rsidP="004C7D8A">
      <w:pPr>
        <w:spacing w:line="240" w:lineRule="auto"/>
        <w:jc w:val="both"/>
        <w:rPr>
          <w:lang w:val="es-ES_tradnl"/>
        </w:rPr>
      </w:pPr>
      <w:r>
        <w:rPr>
          <w:lang w:val="es-ES_tradnl"/>
        </w:rPr>
        <w:t>En ese sentido, el Equipo del Departamento de Protección del CONNA</w:t>
      </w:r>
      <w:r w:rsidRPr="00244E4C">
        <w:rPr>
          <w:lang w:val="es-ES_tradnl"/>
        </w:rPr>
        <w:t xml:space="preserve"> garantiza este derecho por medio de la participación activa en la entrevista, de la niña, niño o adolescente, en la cual se encuentran representados por personal de la Procuraduría General de la República (PGR) para </w:t>
      </w:r>
      <w:r>
        <w:rPr>
          <w:lang w:val="es-ES_tradnl"/>
        </w:rPr>
        <w:t>la defensa de</w:t>
      </w:r>
      <w:r w:rsidRPr="00244E4C">
        <w:rPr>
          <w:lang w:val="es-ES_tradnl"/>
        </w:rPr>
        <w:t xml:space="preserve"> sus derechos</w:t>
      </w:r>
      <w:r>
        <w:rPr>
          <w:lang w:val="es-ES_tradnl"/>
        </w:rPr>
        <w:t>, y se deja constancia a través de la entrevista que se les realiza con la huella o firma de la niña, niño o adolescente, de sus madres, padres representantes o responsables, en el caso que se hayan presentado, el personal de CONNA que entrevista y la representación de PGR, cuando fuere procedente.</w:t>
      </w:r>
    </w:p>
    <w:p w:rsidR="004C7D8A" w:rsidRDefault="004C7D8A" w:rsidP="004C7D8A">
      <w:pPr>
        <w:spacing w:line="240" w:lineRule="auto"/>
        <w:jc w:val="both"/>
        <w:rPr>
          <w:lang w:val="es-ES_tradnl"/>
        </w:rPr>
      </w:pPr>
      <w:r>
        <w:rPr>
          <w:lang w:val="es-ES_tradnl"/>
        </w:rPr>
        <w:t>Lo anterior en estricto apego al artículo 12, 94 de la LEPINA, y 12 De la CDN y conforme lo establecido en el Protocolo relacionado.</w:t>
      </w:r>
    </w:p>
    <w:p w:rsidR="00FB0BD9" w:rsidRDefault="004C7D8A" w:rsidP="004C7D8A">
      <w:pPr>
        <w:rPr>
          <w:rFonts w:cs="Times New Roman"/>
          <w:b/>
        </w:rPr>
      </w:pPr>
      <w:r w:rsidRPr="00FB0BD9">
        <w:rPr>
          <w:rFonts w:cs="Times New Roman"/>
          <w:b/>
        </w:rPr>
        <w:t>5.</w:t>
      </w:r>
      <w:r w:rsidRPr="00FB0BD9">
        <w:rPr>
          <w:rFonts w:cs="Times New Roman"/>
          <w:b/>
        </w:rPr>
        <w:tab/>
        <w:t>Las razones expresadas por las NNA para viajar.</w:t>
      </w:r>
    </w:p>
    <w:p w:rsidR="00FB0BD9" w:rsidRDefault="00FB0BD9" w:rsidP="00FB0BD9">
      <w:pPr>
        <w:spacing w:line="240" w:lineRule="auto"/>
        <w:jc w:val="both"/>
        <w:rPr>
          <w:lang w:val="es-ES_tradnl"/>
        </w:rPr>
      </w:pPr>
      <w:r>
        <w:rPr>
          <w:lang w:val="es-ES_tradnl"/>
        </w:rPr>
        <w:t>De la población de niñas, niños y adolescentes atendida por el personal del CONNA entre los años 2017 a enero de 2019 se ha identificado la siguiente información relacionada con la razón de migración:</w:t>
      </w:r>
    </w:p>
    <w:tbl>
      <w:tblPr>
        <w:tblStyle w:val="Tablaconcuadrcula"/>
        <w:tblW w:w="0" w:type="auto"/>
        <w:tblLook w:val="04A0" w:firstRow="1" w:lastRow="0" w:firstColumn="1" w:lastColumn="0" w:noHBand="0" w:noVBand="1"/>
      </w:tblPr>
      <w:tblGrid>
        <w:gridCol w:w="1846"/>
        <w:gridCol w:w="892"/>
        <w:gridCol w:w="906"/>
        <w:gridCol w:w="824"/>
        <w:gridCol w:w="902"/>
        <w:gridCol w:w="902"/>
        <w:gridCol w:w="839"/>
        <w:gridCol w:w="835"/>
        <w:gridCol w:w="882"/>
      </w:tblGrid>
      <w:tr w:rsidR="00FB0BD9" w:rsidRPr="007C3188" w:rsidTr="0037520A">
        <w:trPr>
          <w:trHeight w:val="300"/>
        </w:trPr>
        <w:tc>
          <w:tcPr>
            <w:tcW w:w="12940" w:type="dxa"/>
            <w:gridSpan w:val="9"/>
            <w:hideMark/>
          </w:tcPr>
          <w:p w:rsidR="00FB0BD9" w:rsidRPr="007C3188" w:rsidRDefault="00FB0BD9" w:rsidP="0037520A">
            <w:pPr>
              <w:jc w:val="center"/>
              <w:rPr>
                <w:b/>
                <w:bCs/>
              </w:rPr>
            </w:pPr>
            <w:r w:rsidRPr="007C3188">
              <w:rPr>
                <w:b/>
                <w:bCs/>
              </w:rPr>
              <w:t>Detalle según razón de la migración</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Razón</w:t>
            </w:r>
          </w:p>
        </w:tc>
        <w:tc>
          <w:tcPr>
            <w:tcW w:w="3400" w:type="dxa"/>
            <w:gridSpan w:val="3"/>
            <w:hideMark/>
          </w:tcPr>
          <w:p w:rsidR="00FB0BD9" w:rsidRPr="007C3188" w:rsidRDefault="00FB0BD9" w:rsidP="0037520A">
            <w:pPr>
              <w:jc w:val="both"/>
              <w:rPr>
                <w:b/>
                <w:bCs/>
              </w:rPr>
            </w:pPr>
            <w:r w:rsidRPr="007C3188">
              <w:rPr>
                <w:b/>
                <w:bCs/>
              </w:rPr>
              <w:t>Mujer</w:t>
            </w:r>
          </w:p>
        </w:tc>
        <w:tc>
          <w:tcPr>
            <w:tcW w:w="3600" w:type="dxa"/>
            <w:gridSpan w:val="3"/>
            <w:hideMark/>
          </w:tcPr>
          <w:p w:rsidR="00FB0BD9" w:rsidRPr="007C3188" w:rsidRDefault="00FB0BD9" w:rsidP="0037520A">
            <w:pPr>
              <w:jc w:val="both"/>
              <w:rPr>
                <w:b/>
                <w:bCs/>
              </w:rPr>
            </w:pPr>
            <w:r w:rsidRPr="007C3188">
              <w:rPr>
                <w:b/>
                <w:bCs/>
              </w:rPr>
              <w:t>Hombre</w:t>
            </w:r>
          </w:p>
        </w:tc>
        <w:tc>
          <w:tcPr>
            <w:tcW w:w="1400" w:type="dxa"/>
            <w:vMerge w:val="restart"/>
            <w:hideMark/>
          </w:tcPr>
          <w:p w:rsidR="00FB0BD9" w:rsidRPr="007C3188" w:rsidRDefault="00FB0BD9" w:rsidP="0037520A">
            <w:pPr>
              <w:jc w:val="both"/>
              <w:rPr>
                <w:b/>
                <w:bCs/>
              </w:rPr>
            </w:pPr>
            <w:r w:rsidRPr="007C3188">
              <w:rPr>
                <w:b/>
                <w:bCs/>
              </w:rPr>
              <w:t>Sexo edad desc.</w:t>
            </w:r>
          </w:p>
        </w:tc>
        <w:tc>
          <w:tcPr>
            <w:tcW w:w="700" w:type="dxa"/>
            <w:vMerge w:val="restart"/>
            <w:hideMark/>
          </w:tcPr>
          <w:p w:rsidR="00FB0BD9" w:rsidRPr="007C3188" w:rsidRDefault="00FB0BD9" w:rsidP="0037520A">
            <w:pPr>
              <w:jc w:val="both"/>
              <w:rPr>
                <w:b/>
                <w:bCs/>
              </w:rPr>
            </w:pPr>
            <w:r w:rsidRPr="007C3188">
              <w:rPr>
                <w:b/>
                <w:bCs/>
              </w:rPr>
              <w:t>Total</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Niña</w:t>
            </w:r>
          </w:p>
        </w:tc>
        <w:tc>
          <w:tcPr>
            <w:tcW w:w="1120" w:type="dxa"/>
            <w:hideMark/>
          </w:tcPr>
          <w:p w:rsidR="00FB0BD9" w:rsidRPr="007C3188" w:rsidRDefault="00FB0BD9" w:rsidP="0037520A">
            <w:pPr>
              <w:jc w:val="both"/>
              <w:rPr>
                <w:b/>
                <w:bCs/>
              </w:rPr>
            </w:pPr>
            <w:proofErr w:type="spellStart"/>
            <w:r w:rsidRPr="007C3188">
              <w:rPr>
                <w:b/>
                <w:bCs/>
              </w:rPr>
              <w:t>Adol</w:t>
            </w:r>
            <w:proofErr w:type="spellEnd"/>
            <w:r w:rsidRPr="007C3188">
              <w:rPr>
                <w:b/>
                <w:bCs/>
              </w:rPr>
              <w:t>.</w:t>
            </w:r>
          </w:p>
        </w:tc>
        <w:tc>
          <w:tcPr>
            <w:tcW w:w="1300" w:type="dxa"/>
            <w:hideMark/>
          </w:tcPr>
          <w:p w:rsidR="00FB0BD9" w:rsidRPr="007C3188" w:rsidRDefault="00FB0BD9" w:rsidP="0037520A">
            <w:pPr>
              <w:jc w:val="both"/>
              <w:rPr>
                <w:b/>
                <w:bCs/>
              </w:rPr>
            </w:pPr>
            <w:r w:rsidRPr="007C3188">
              <w:rPr>
                <w:b/>
                <w:bCs/>
              </w:rPr>
              <w:t>Edad desc.</w:t>
            </w:r>
          </w:p>
        </w:tc>
        <w:tc>
          <w:tcPr>
            <w:tcW w:w="1080" w:type="dxa"/>
            <w:hideMark/>
          </w:tcPr>
          <w:p w:rsidR="00FB0BD9" w:rsidRPr="007C3188" w:rsidRDefault="00FB0BD9" w:rsidP="0037520A">
            <w:pPr>
              <w:jc w:val="both"/>
              <w:rPr>
                <w:b/>
                <w:bCs/>
              </w:rPr>
            </w:pPr>
            <w:r w:rsidRPr="007C3188">
              <w:rPr>
                <w:b/>
                <w:bCs/>
              </w:rPr>
              <w:t>Niño</w:t>
            </w:r>
          </w:p>
        </w:tc>
        <w:tc>
          <w:tcPr>
            <w:tcW w:w="1080" w:type="dxa"/>
            <w:hideMark/>
          </w:tcPr>
          <w:p w:rsidR="00FB0BD9" w:rsidRPr="007C3188" w:rsidRDefault="00FB0BD9" w:rsidP="0037520A">
            <w:pPr>
              <w:jc w:val="both"/>
              <w:rPr>
                <w:b/>
                <w:bCs/>
              </w:rPr>
            </w:pPr>
            <w:proofErr w:type="spellStart"/>
            <w:r w:rsidRPr="007C3188">
              <w:rPr>
                <w:b/>
                <w:bCs/>
              </w:rPr>
              <w:t>Adol</w:t>
            </w:r>
            <w:proofErr w:type="spellEnd"/>
            <w:r w:rsidRPr="007C3188">
              <w:rPr>
                <w:b/>
                <w:bCs/>
              </w:rPr>
              <w:t>.</w:t>
            </w:r>
          </w:p>
        </w:tc>
        <w:tc>
          <w:tcPr>
            <w:tcW w:w="1440" w:type="dxa"/>
            <w:hideMark/>
          </w:tcPr>
          <w:p w:rsidR="00FB0BD9" w:rsidRPr="007C3188" w:rsidRDefault="00FB0BD9" w:rsidP="0037520A">
            <w:pPr>
              <w:jc w:val="both"/>
              <w:rPr>
                <w:b/>
                <w:bCs/>
              </w:rPr>
            </w:pPr>
            <w:r w:rsidRPr="007C3188">
              <w:rPr>
                <w:b/>
                <w:bCs/>
              </w:rPr>
              <w:t>Edad desc.</w:t>
            </w:r>
          </w:p>
        </w:tc>
        <w:tc>
          <w:tcPr>
            <w:tcW w:w="1400" w:type="dxa"/>
            <w:vMerge/>
            <w:hideMark/>
          </w:tcPr>
          <w:p w:rsidR="00FB0BD9" w:rsidRPr="007C3188" w:rsidRDefault="00FB0BD9" w:rsidP="0037520A">
            <w:pPr>
              <w:jc w:val="both"/>
              <w:rPr>
                <w:b/>
                <w:bCs/>
              </w:rPr>
            </w:pPr>
          </w:p>
        </w:tc>
        <w:tc>
          <w:tcPr>
            <w:tcW w:w="700" w:type="dxa"/>
            <w:vMerge/>
            <w:hideMark/>
          </w:tcPr>
          <w:p w:rsidR="00FB0BD9" w:rsidRPr="007C3188" w:rsidRDefault="00FB0BD9" w:rsidP="0037520A">
            <w:pPr>
              <w:jc w:val="both"/>
              <w:rPr>
                <w:b/>
                <w:bCs/>
              </w:rPr>
            </w:pP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Reunificación familiar</w:t>
            </w:r>
          </w:p>
        </w:tc>
        <w:tc>
          <w:tcPr>
            <w:tcW w:w="980" w:type="dxa"/>
            <w:hideMark/>
          </w:tcPr>
          <w:p w:rsidR="00FB0BD9" w:rsidRPr="007C3188" w:rsidRDefault="00FB0BD9" w:rsidP="0037520A">
            <w:pPr>
              <w:jc w:val="both"/>
              <w:rPr>
                <w:b/>
                <w:bCs/>
              </w:rPr>
            </w:pPr>
            <w:r w:rsidRPr="007C3188">
              <w:rPr>
                <w:b/>
                <w:bCs/>
              </w:rPr>
              <w:t>93</w:t>
            </w:r>
          </w:p>
        </w:tc>
        <w:tc>
          <w:tcPr>
            <w:tcW w:w="1120" w:type="dxa"/>
            <w:hideMark/>
          </w:tcPr>
          <w:p w:rsidR="00FB0BD9" w:rsidRPr="007C3188" w:rsidRDefault="00FB0BD9" w:rsidP="0037520A">
            <w:pPr>
              <w:jc w:val="both"/>
              <w:rPr>
                <w:b/>
                <w:bCs/>
              </w:rPr>
            </w:pPr>
            <w:r w:rsidRPr="007C3188">
              <w:rPr>
                <w:b/>
                <w:bCs/>
              </w:rPr>
              <w:t>212</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108</w:t>
            </w:r>
          </w:p>
        </w:tc>
        <w:tc>
          <w:tcPr>
            <w:tcW w:w="1080" w:type="dxa"/>
            <w:hideMark/>
          </w:tcPr>
          <w:p w:rsidR="00FB0BD9" w:rsidRPr="007C3188" w:rsidRDefault="00FB0BD9" w:rsidP="0037520A">
            <w:pPr>
              <w:jc w:val="both"/>
              <w:rPr>
                <w:b/>
                <w:bCs/>
              </w:rPr>
            </w:pPr>
            <w:r w:rsidRPr="007C3188">
              <w:rPr>
                <w:b/>
                <w:bCs/>
              </w:rPr>
              <w:t>327</w:t>
            </w:r>
          </w:p>
        </w:tc>
        <w:tc>
          <w:tcPr>
            <w:tcW w:w="1440" w:type="dxa"/>
            <w:hideMark/>
          </w:tcPr>
          <w:p w:rsidR="00FB0BD9" w:rsidRPr="007C3188" w:rsidRDefault="00FB0BD9" w:rsidP="0037520A">
            <w:pPr>
              <w:jc w:val="both"/>
              <w:rPr>
                <w:b/>
                <w:bCs/>
              </w:rPr>
            </w:pPr>
            <w:r w:rsidRPr="007C3188">
              <w:rPr>
                <w:b/>
                <w:bCs/>
              </w:rPr>
              <w:t>1</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741</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12.55%</w:t>
            </w:r>
          </w:p>
        </w:tc>
        <w:tc>
          <w:tcPr>
            <w:tcW w:w="1120" w:type="dxa"/>
            <w:hideMark/>
          </w:tcPr>
          <w:p w:rsidR="00FB0BD9" w:rsidRPr="007C3188" w:rsidRDefault="00FB0BD9" w:rsidP="0037520A">
            <w:pPr>
              <w:jc w:val="both"/>
              <w:rPr>
                <w:b/>
                <w:bCs/>
              </w:rPr>
            </w:pPr>
            <w:r w:rsidRPr="007C3188">
              <w:rPr>
                <w:b/>
                <w:bCs/>
              </w:rPr>
              <w:t>28.61%</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14.57%</w:t>
            </w:r>
          </w:p>
        </w:tc>
        <w:tc>
          <w:tcPr>
            <w:tcW w:w="1080" w:type="dxa"/>
            <w:hideMark/>
          </w:tcPr>
          <w:p w:rsidR="00FB0BD9" w:rsidRPr="007C3188" w:rsidRDefault="00FB0BD9" w:rsidP="0037520A">
            <w:pPr>
              <w:jc w:val="both"/>
              <w:rPr>
                <w:b/>
                <w:bCs/>
              </w:rPr>
            </w:pPr>
            <w:r w:rsidRPr="007C3188">
              <w:rPr>
                <w:b/>
                <w:bCs/>
              </w:rPr>
              <w:t>44.13%</w:t>
            </w:r>
          </w:p>
        </w:tc>
        <w:tc>
          <w:tcPr>
            <w:tcW w:w="1440" w:type="dxa"/>
            <w:hideMark/>
          </w:tcPr>
          <w:p w:rsidR="00FB0BD9" w:rsidRPr="007C3188" w:rsidRDefault="00FB0BD9" w:rsidP="0037520A">
            <w:pPr>
              <w:jc w:val="both"/>
              <w:rPr>
                <w:b/>
                <w:bCs/>
              </w:rPr>
            </w:pPr>
            <w:r w:rsidRPr="007C3188">
              <w:rPr>
                <w:b/>
                <w:bCs/>
              </w:rPr>
              <w:t>0.13%</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28.96%</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Mejores condiciones de vida</w:t>
            </w:r>
          </w:p>
        </w:tc>
        <w:tc>
          <w:tcPr>
            <w:tcW w:w="980" w:type="dxa"/>
            <w:hideMark/>
          </w:tcPr>
          <w:p w:rsidR="00FB0BD9" w:rsidRPr="007C3188" w:rsidRDefault="00FB0BD9" w:rsidP="0037520A">
            <w:pPr>
              <w:jc w:val="both"/>
              <w:rPr>
                <w:b/>
                <w:bCs/>
              </w:rPr>
            </w:pPr>
            <w:r w:rsidRPr="007C3188">
              <w:rPr>
                <w:b/>
                <w:bCs/>
              </w:rPr>
              <w:t>77</w:t>
            </w:r>
          </w:p>
        </w:tc>
        <w:tc>
          <w:tcPr>
            <w:tcW w:w="1120" w:type="dxa"/>
            <w:hideMark/>
          </w:tcPr>
          <w:p w:rsidR="00FB0BD9" w:rsidRPr="007C3188" w:rsidRDefault="00FB0BD9" w:rsidP="0037520A">
            <w:pPr>
              <w:jc w:val="both"/>
              <w:rPr>
                <w:b/>
                <w:bCs/>
              </w:rPr>
            </w:pPr>
            <w:r w:rsidRPr="007C3188">
              <w:rPr>
                <w:b/>
                <w:bCs/>
              </w:rPr>
              <w:t>196</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70</w:t>
            </w:r>
          </w:p>
        </w:tc>
        <w:tc>
          <w:tcPr>
            <w:tcW w:w="1080" w:type="dxa"/>
            <w:hideMark/>
          </w:tcPr>
          <w:p w:rsidR="00FB0BD9" w:rsidRPr="007C3188" w:rsidRDefault="00FB0BD9" w:rsidP="0037520A">
            <w:pPr>
              <w:jc w:val="both"/>
              <w:rPr>
                <w:b/>
                <w:bCs/>
              </w:rPr>
            </w:pPr>
            <w:r w:rsidRPr="007C3188">
              <w:rPr>
                <w:b/>
                <w:bCs/>
              </w:rPr>
              <w:t>501</w:t>
            </w:r>
          </w:p>
        </w:tc>
        <w:tc>
          <w:tcPr>
            <w:tcW w:w="1440" w:type="dxa"/>
            <w:hideMark/>
          </w:tcPr>
          <w:p w:rsidR="00FB0BD9" w:rsidRPr="007C3188" w:rsidRDefault="00FB0BD9" w:rsidP="0037520A">
            <w:pPr>
              <w:jc w:val="both"/>
              <w:rPr>
                <w:b/>
                <w:bCs/>
              </w:rPr>
            </w:pPr>
            <w:r w:rsidRPr="007C3188">
              <w:rPr>
                <w:b/>
                <w:bCs/>
              </w:rPr>
              <w:t>1</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845</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9.11%</w:t>
            </w:r>
          </w:p>
        </w:tc>
        <w:tc>
          <w:tcPr>
            <w:tcW w:w="1120" w:type="dxa"/>
            <w:hideMark/>
          </w:tcPr>
          <w:p w:rsidR="00FB0BD9" w:rsidRPr="007C3188" w:rsidRDefault="00FB0BD9" w:rsidP="0037520A">
            <w:pPr>
              <w:jc w:val="both"/>
              <w:rPr>
                <w:b/>
                <w:bCs/>
              </w:rPr>
            </w:pPr>
            <w:r w:rsidRPr="007C3188">
              <w:rPr>
                <w:b/>
                <w:bCs/>
              </w:rPr>
              <w:t>23.20%</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8.28%</w:t>
            </w:r>
          </w:p>
        </w:tc>
        <w:tc>
          <w:tcPr>
            <w:tcW w:w="1080" w:type="dxa"/>
            <w:hideMark/>
          </w:tcPr>
          <w:p w:rsidR="00FB0BD9" w:rsidRPr="007C3188" w:rsidRDefault="00FB0BD9" w:rsidP="0037520A">
            <w:pPr>
              <w:jc w:val="both"/>
              <w:rPr>
                <w:b/>
                <w:bCs/>
              </w:rPr>
            </w:pPr>
            <w:r w:rsidRPr="007C3188">
              <w:rPr>
                <w:b/>
                <w:bCs/>
              </w:rPr>
              <w:t>59.29%</w:t>
            </w:r>
          </w:p>
        </w:tc>
        <w:tc>
          <w:tcPr>
            <w:tcW w:w="1440" w:type="dxa"/>
            <w:hideMark/>
          </w:tcPr>
          <w:p w:rsidR="00FB0BD9" w:rsidRPr="007C3188" w:rsidRDefault="00FB0BD9" w:rsidP="0037520A">
            <w:pPr>
              <w:jc w:val="both"/>
              <w:rPr>
                <w:b/>
                <w:bCs/>
              </w:rPr>
            </w:pPr>
            <w:r w:rsidRPr="007C3188">
              <w:rPr>
                <w:b/>
                <w:bCs/>
              </w:rPr>
              <w:t>0.12%</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33.02%</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Violencia familiar</w:t>
            </w:r>
          </w:p>
        </w:tc>
        <w:tc>
          <w:tcPr>
            <w:tcW w:w="980" w:type="dxa"/>
            <w:hideMark/>
          </w:tcPr>
          <w:p w:rsidR="00FB0BD9" w:rsidRPr="007C3188" w:rsidRDefault="00FB0BD9" w:rsidP="0037520A">
            <w:pPr>
              <w:jc w:val="both"/>
              <w:rPr>
                <w:b/>
                <w:bCs/>
              </w:rPr>
            </w:pPr>
            <w:r w:rsidRPr="007C3188">
              <w:rPr>
                <w:b/>
                <w:bCs/>
              </w:rPr>
              <w:t>7</w:t>
            </w:r>
          </w:p>
        </w:tc>
        <w:tc>
          <w:tcPr>
            <w:tcW w:w="1120" w:type="dxa"/>
            <w:hideMark/>
          </w:tcPr>
          <w:p w:rsidR="00FB0BD9" w:rsidRPr="007C3188" w:rsidRDefault="00FB0BD9" w:rsidP="0037520A">
            <w:pPr>
              <w:jc w:val="both"/>
              <w:rPr>
                <w:b/>
                <w:bCs/>
              </w:rPr>
            </w:pPr>
            <w:r w:rsidRPr="007C3188">
              <w:rPr>
                <w:b/>
                <w:bCs/>
              </w:rPr>
              <w:t>5</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17</w:t>
            </w:r>
          </w:p>
        </w:tc>
        <w:tc>
          <w:tcPr>
            <w:tcW w:w="1080" w:type="dxa"/>
            <w:hideMark/>
          </w:tcPr>
          <w:p w:rsidR="00FB0BD9" w:rsidRPr="007C3188" w:rsidRDefault="00FB0BD9" w:rsidP="0037520A">
            <w:pPr>
              <w:jc w:val="both"/>
              <w:rPr>
                <w:b/>
                <w:bCs/>
              </w:rPr>
            </w:pPr>
            <w:r w:rsidRPr="007C3188">
              <w:rPr>
                <w:b/>
                <w:bCs/>
              </w:rPr>
              <w:t>1</w:t>
            </w:r>
          </w:p>
        </w:tc>
        <w:tc>
          <w:tcPr>
            <w:tcW w:w="1440" w:type="dxa"/>
            <w:hideMark/>
          </w:tcPr>
          <w:p w:rsidR="00FB0BD9" w:rsidRPr="007C3188" w:rsidRDefault="00FB0BD9" w:rsidP="0037520A">
            <w:pPr>
              <w:jc w:val="both"/>
              <w:rPr>
                <w:b/>
                <w:bCs/>
              </w:rPr>
            </w:pPr>
            <w:r w:rsidRPr="007C3188">
              <w:rPr>
                <w:b/>
                <w:bCs/>
              </w:rPr>
              <w:t>0</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30</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23.33%</w:t>
            </w:r>
          </w:p>
        </w:tc>
        <w:tc>
          <w:tcPr>
            <w:tcW w:w="1120" w:type="dxa"/>
            <w:hideMark/>
          </w:tcPr>
          <w:p w:rsidR="00FB0BD9" w:rsidRPr="007C3188" w:rsidRDefault="00FB0BD9" w:rsidP="0037520A">
            <w:pPr>
              <w:jc w:val="both"/>
              <w:rPr>
                <w:b/>
                <w:bCs/>
              </w:rPr>
            </w:pPr>
            <w:r w:rsidRPr="007C3188">
              <w:rPr>
                <w:b/>
                <w:bCs/>
              </w:rPr>
              <w:t>16.67%</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56.67%</w:t>
            </w:r>
          </w:p>
        </w:tc>
        <w:tc>
          <w:tcPr>
            <w:tcW w:w="1080" w:type="dxa"/>
            <w:hideMark/>
          </w:tcPr>
          <w:p w:rsidR="00FB0BD9" w:rsidRPr="007C3188" w:rsidRDefault="00FB0BD9" w:rsidP="0037520A">
            <w:pPr>
              <w:jc w:val="both"/>
              <w:rPr>
                <w:b/>
                <w:bCs/>
              </w:rPr>
            </w:pPr>
            <w:r w:rsidRPr="007C3188">
              <w:rPr>
                <w:b/>
                <w:bCs/>
              </w:rPr>
              <w:t>3.33%</w:t>
            </w:r>
          </w:p>
        </w:tc>
        <w:tc>
          <w:tcPr>
            <w:tcW w:w="1440" w:type="dxa"/>
            <w:hideMark/>
          </w:tcPr>
          <w:p w:rsidR="00FB0BD9" w:rsidRPr="007C3188" w:rsidRDefault="00FB0BD9" w:rsidP="0037520A">
            <w:pPr>
              <w:jc w:val="both"/>
              <w:rPr>
                <w:b/>
                <w:bCs/>
              </w:rPr>
            </w:pPr>
            <w:r w:rsidRPr="007C3188">
              <w:rPr>
                <w:b/>
                <w:bCs/>
              </w:rPr>
              <w:t>0.00%</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1.17%</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Amenazas</w:t>
            </w:r>
          </w:p>
        </w:tc>
        <w:tc>
          <w:tcPr>
            <w:tcW w:w="980" w:type="dxa"/>
            <w:hideMark/>
          </w:tcPr>
          <w:p w:rsidR="00FB0BD9" w:rsidRPr="007C3188" w:rsidRDefault="00FB0BD9" w:rsidP="0037520A">
            <w:pPr>
              <w:jc w:val="both"/>
              <w:rPr>
                <w:b/>
                <w:bCs/>
              </w:rPr>
            </w:pPr>
            <w:r w:rsidRPr="007C3188">
              <w:rPr>
                <w:b/>
                <w:bCs/>
              </w:rPr>
              <w:t>88</w:t>
            </w:r>
          </w:p>
        </w:tc>
        <w:tc>
          <w:tcPr>
            <w:tcW w:w="1120" w:type="dxa"/>
            <w:hideMark/>
          </w:tcPr>
          <w:p w:rsidR="00FB0BD9" w:rsidRPr="007C3188" w:rsidRDefault="00FB0BD9" w:rsidP="0037520A">
            <w:pPr>
              <w:jc w:val="both"/>
              <w:rPr>
                <w:b/>
                <w:bCs/>
              </w:rPr>
            </w:pPr>
            <w:r w:rsidRPr="007C3188">
              <w:rPr>
                <w:b/>
                <w:bCs/>
              </w:rPr>
              <w:t>103</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100</w:t>
            </w:r>
          </w:p>
        </w:tc>
        <w:tc>
          <w:tcPr>
            <w:tcW w:w="1080" w:type="dxa"/>
            <w:hideMark/>
          </w:tcPr>
          <w:p w:rsidR="00FB0BD9" w:rsidRPr="007C3188" w:rsidRDefault="00FB0BD9" w:rsidP="0037520A">
            <w:pPr>
              <w:jc w:val="both"/>
              <w:rPr>
                <w:b/>
                <w:bCs/>
              </w:rPr>
            </w:pPr>
            <w:r w:rsidRPr="007C3188">
              <w:rPr>
                <w:b/>
                <w:bCs/>
              </w:rPr>
              <w:t>182</w:t>
            </w:r>
          </w:p>
        </w:tc>
        <w:tc>
          <w:tcPr>
            <w:tcW w:w="1440" w:type="dxa"/>
            <w:hideMark/>
          </w:tcPr>
          <w:p w:rsidR="00FB0BD9" w:rsidRPr="007C3188" w:rsidRDefault="00FB0BD9" w:rsidP="0037520A">
            <w:pPr>
              <w:jc w:val="both"/>
              <w:rPr>
                <w:b/>
                <w:bCs/>
              </w:rPr>
            </w:pPr>
            <w:r w:rsidRPr="007C3188">
              <w:rPr>
                <w:b/>
                <w:bCs/>
              </w:rPr>
              <w:t>0</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473</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18.60%</w:t>
            </w:r>
          </w:p>
        </w:tc>
        <w:tc>
          <w:tcPr>
            <w:tcW w:w="1120" w:type="dxa"/>
            <w:hideMark/>
          </w:tcPr>
          <w:p w:rsidR="00FB0BD9" w:rsidRPr="007C3188" w:rsidRDefault="00FB0BD9" w:rsidP="0037520A">
            <w:pPr>
              <w:jc w:val="both"/>
              <w:rPr>
                <w:b/>
                <w:bCs/>
              </w:rPr>
            </w:pPr>
            <w:r w:rsidRPr="007C3188">
              <w:rPr>
                <w:b/>
                <w:bCs/>
              </w:rPr>
              <w:t>21.78%</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21.14%</w:t>
            </w:r>
          </w:p>
        </w:tc>
        <w:tc>
          <w:tcPr>
            <w:tcW w:w="1080" w:type="dxa"/>
            <w:hideMark/>
          </w:tcPr>
          <w:p w:rsidR="00FB0BD9" w:rsidRPr="007C3188" w:rsidRDefault="00FB0BD9" w:rsidP="0037520A">
            <w:pPr>
              <w:jc w:val="both"/>
              <w:rPr>
                <w:b/>
                <w:bCs/>
              </w:rPr>
            </w:pPr>
            <w:r w:rsidRPr="007C3188">
              <w:rPr>
                <w:b/>
                <w:bCs/>
              </w:rPr>
              <w:t>38.48%</w:t>
            </w:r>
          </w:p>
        </w:tc>
        <w:tc>
          <w:tcPr>
            <w:tcW w:w="1440" w:type="dxa"/>
            <w:hideMark/>
          </w:tcPr>
          <w:p w:rsidR="00FB0BD9" w:rsidRPr="007C3188" w:rsidRDefault="00FB0BD9" w:rsidP="0037520A">
            <w:pPr>
              <w:jc w:val="both"/>
              <w:rPr>
                <w:b/>
                <w:bCs/>
              </w:rPr>
            </w:pPr>
            <w:r w:rsidRPr="007C3188">
              <w:rPr>
                <w:b/>
                <w:bCs/>
              </w:rPr>
              <w:t>0.00%</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18.48%</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Extorsión</w:t>
            </w:r>
          </w:p>
        </w:tc>
        <w:tc>
          <w:tcPr>
            <w:tcW w:w="980" w:type="dxa"/>
            <w:hideMark/>
          </w:tcPr>
          <w:p w:rsidR="00FB0BD9" w:rsidRPr="007C3188" w:rsidRDefault="00FB0BD9" w:rsidP="0037520A">
            <w:pPr>
              <w:jc w:val="both"/>
              <w:rPr>
                <w:b/>
                <w:bCs/>
              </w:rPr>
            </w:pPr>
            <w:r w:rsidRPr="007C3188">
              <w:rPr>
                <w:b/>
                <w:bCs/>
              </w:rPr>
              <w:t>8</w:t>
            </w:r>
          </w:p>
        </w:tc>
        <w:tc>
          <w:tcPr>
            <w:tcW w:w="1120" w:type="dxa"/>
            <w:hideMark/>
          </w:tcPr>
          <w:p w:rsidR="00FB0BD9" w:rsidRPr="007C3188" w:rsidRDefault="00FB0BD9" w:rsidP="0037520A">
            <w:pPr>
              <w:jc w:val="both"/>
              <w:rPr>
                <w:b/>
                <w:bCs/>
              </w:rPr>
            </w:pPr>
            <w:r w:rsidRPr="007C3188">
              <w:rPr>
                <w:b/>
                <w:bCs/>
              </w:rPr>
              <w:t>5</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19</w:t>
            </w:r>
          </w:p>
        </w:tc>
        <w:tc>
          <w:tcPr>
            <w:tcW w:w="1080" w:type="dxa"/>
            <w:hideMark/>
          </w:tcPr>
          <w:p w:rsidR="00FB0BD9" w:rsidRPr="007C3188" w:rsidRDefault="00FB0BD9" w:rsidP="0037520A">
            <w:pPr>
              <w:jc w:val="both"/>
              <w:rPr>
                <w:b/>
                <w:bCs/>
              </w:rPr>
            </w:pPr>
            <w:r w:rsidRPr="007C3188">
              <w:rPr>
                <w:b/>
                <w:bCs/>
              </w:rPr>
              <w:t>7</w:t>
            </w:r>
          </w:p>
        </w:tc>
        <w:tc>
          <w:tcPr>
            <w:tcW w:w="1440" w:type="dxa"/>
            <w:hideMark/>
          </w:tcPr>
          <w:p w:rsidR="00FB0BD9" w:rsidRPr="007C3188" w:rsidRDefault="00FB0BD9" w:rsidP="0037520A">
            <w:pPr>
              <w:jc w:val="both"/>
              <w:rPr>
                <w:b/>
                <w:bCs/>
              </w:rPr>
            </w:pPr>
            <w:r w:rsidRPr="007C3188">
              <w:rPr>
                <w:b/>
                <w:bCs/>
              </w:rPr>
              <w:t>0</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39</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20.51%</w:t>
            </w:r>
          </w:p>
        </w:tc>
        <w:tc>
          <w:tcPr>
            <w:tcW w:w="1120" w:type="dxa"/>
            <w:hideMark/>
          </w:tcPr>
          <w:p w:rsidR="00FB0BD9" w:rsidRPr="007C3188" w:rsidRDefault="00FB0BD9" w:rsidP="0037520A">
            <w:pPr>
              <w:jc w:val="both"/>
              <w:rPr>
                <w:b/>
                <w:bCs/>
              </w:rPr>
            </w:pPr>
            <w:r w:rsidRPr="007C3188">
              <w:rPr>
                <w:b/>
                <w:bCs/>
              </w:rPr>
              <w:t>12.82%</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48.72%</w:t>
            </w:r>
          </w:p>
        </w:tc>
        <w:tc>
          <w:tcPr>
            <w:tcW w:w="1080" w:type="dxa"/>
            <w:hideMark/>
          </w:tcPr>
          <w:p w:rsidR="00FB0BD9" w:rsidRPr="007C3188" w:rsidRDefault="00FB0BD9" w:rsidP="0037520A">
            <w:pPr>
              <w:jc w:val="both"/>
              <w:rPr>
                <w:b/>
                <w:bCs/>
              </w:rPr>
            </w:pPr>
            <w:r w:rsidRPr="007C3188">
              <w:rPr>
                <w:b/>
                <w:bCs/>
              </w:rPr>
              <w:t>17.95%</w:t>
            </w:r>
          </w:p>
        </w:tc>
        <w:tc>
          <w:tcPr>
            <w:tcW w:w="1440" w:type="dxa"/>
            <w:hideMark/>
          </w:tcPr>
          <w:p w:rsidR="00FB0BD9" w:rsidRPr="007C3188" w:rsidRDefault="00FB0BD9" w:rsidP="0037520A">
            <w:pPr>
              <w:jc w:val="both"/>
              <w:rPr>
                <w:b/>
                <w:bCs/>
              </w:rPr>
            </w:pPr>
            <w:r w:rsidRPr="007C3188">
              <w:rPr>
                <w:b/>
                <w:bCs/>
              </w:rPr>
              <w:t>0.00%</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1.52%</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Acoso de grupos delincuenciales</w:t>
            </w:r>
          </w:p>
        </w:tc>
        <w:tc>
          <w:tcPr>
            <w:tcW w:w="980" w:type="dxa"/>
            <w:hideMark/>
          </w:tcPr>
          <w:p w:rsidR="00FB0BD9" w:rsidRPr="007C3188" w:rsidRDefault="00FB0BD9" w:rsidP="0037520A">
            <w:pPr>
              <w:jc w:val="both"/>
              <w:rPr>
                <w:b/>
                <w:bCs/>
              </w:rPr>
            </w:pPr>
            <w:r w:rsidRPr="007C3188">
              <w:rPr>
                <w:b/>
                <w:bCs/>
              </w:rPr>
              <w:t>25</w:t>
            </w:r>
          </w:p>
        </w:tc>
        <w:tc>
          <w:tcPr>
            <w:tcW w:w="1120" w:type="dxa"/>
            <w:hideMark/>
          </w:tcPr>
          <w:p w:rsidR="00FB0BD9" w:rsidRPr="007C3188" w:rsidRDefault="00FB0BD9" w:rsidP="0037520A">
            <w:pPr>
              <w:jc w:val="both"/>
              <w:rPr>
                <w:b/>
                <w:bCs/>
              </w:rPr>
            </w:pPr>
            <w:r w:rsidRPr="007C3188">
              <w:rPr>
                <w:b/>
                <w:bCs/>
              </w:rPr>
              <w:t>67</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30</w:t>
            </w:r>
          </w:p>
        </w:tc>
        <w:tc>
          <w:tcPr>
            <w:tcW w:w="1080" w:type="dxa"/>
            <w:hideMark/>
          </w:tcPr>
          <w:p w:rsidR="00FB0BD9" w:rsidRPr="007C3188" w:rsidRDefault="00FB0BD9" w:rsidP="0037520A">
            <w:pPr>
              <w:jc w:val="both"/>
              <w:rPr>
                <w:b/>
                <w:bCs/>
              </w:rPr>
            </w:pPr>
            <w:r w:rsidRPr="007C3188">
              <w:rPr>
                <w:b/>
                <w:bCs/>
              </w:rPr>
              <w:t>160</w:t>
            </w:r>
          </w:p>
        </w:tc>
        <w:tc>
          <w:tcPr>
            <w:tcW w:w="1440" w:type="dxa"/>
            <w:hideMark/>
          </w:tcPr>
          <w:p w:rsidR="00FB0BD9" w:rsidRPr="007C3188" w:rsidRDefault="00FB0BD9" w:rsidP="0037520A">
            <w:pPr>
              <w:jc w:val="both"/>
              <w:rPr>
                <w:b/>
                <w:bCs/>
              </w:rPr>
            </w:pPr>
            <w:r w:rsidRPr="007C3188">
              <w:rPr>
                <w:b/>
                <w:bCs/>
              </w:rPr>
              <w:t>0</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282</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8.87%</w:t>
            </w:r>
          </w:p>
        </w:tc>
        <w:tc>
          <w:tcPr>
            <w:tcW w:w="1120" w:type="dxa"/>
            <w:hideMark/>
          </w:tcPr>
          <w:p w:rsidR="00FB0BD9" w:rsidRPr="007C3188" w:rsidRDefault="00FB0BD9" w:rsidP="0037520A">
            <w:pPr>
              <w:jc w:val="both"/>
              <w:rPr>
                <w:b/>
                <w:bCs/>
              </w:rPr>
            </w:pPr>
            <w:r w:rsidRPr="007C3188">
              <w:rPr>
                <w:b/>
                <w:bCs/>
              </w:rPr>
              <w:t>23.76%</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10.64%</w:t>
            </w:r>
          </w:p>
        </w:tc>
        <w:tc>
          <w:tcPr>
            <w:tcW w:w="1080" w:type="dxa"/>
            <w:hideMark/>
          </w:tcPr>
          <w:p w:rsidR="00FB0BD9" w:rsidRPr="007C3188" w:rsidRDefault="00FB0BD9" w:rsidP="0037520A">
            <w:pPr>
              <w:jc w:val="both"/>
              <w:rPr>
                <w:b/>
                <w:bCs/>
              </w:rPr>
            </w:pPr>
            <w:r w:rsidRPr="007C3188">
              <w:rPr>
                <w:b/>
                <w:bCs/>
              </w:rPr>
              <w:t>56.74%</w:t>
            </w:r>
          </w:p>
        </w:tc>
        <w:tc>
          <w:tcPr>
            <w:tcW w:w="1440" w:type="dxa"/>
            <w:hideMark/>
          </w:tcPr>
          <w:p w:rsidR="00FB0BD9" w:rsidRPr="007C3188" w:rsidRDefault="00FB0BD9" w:rsidP="0037520A">
            <w:pPr>
              <w:jc w:val="both"/>
              <w:rPr>
                <w:b/>
                <w:bCs/>
              </w:rPr>
            </w:pPr>
            <w:r w:rsidRPr="007C3188">
              <w:rPr>
                <w:b/>
                <w:bCs/>
              </w:rPr>
              <w:t>0.00%</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11.02%</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Otro</w:t>
            </w:r>
          </w:p>
        </w:tc>
        <w:tc>
          <w:tcPr>
            <w:tcW w:w="980" w:type="dxa"/>
            <w:hideMark/>
          </w:tcPr>
          <w:p w:rsidR="00FB0BD9" w:rsidRPr="007C3188" w:rsidRDefault="00FB0BD9" w:rsidP="0037520A">
            <w:pPr>
              <w:jc w:val="both"/>
              <w:rPr>
                <w:b/>
                <w:bCs/>
              </w:rPr>
            </w:pPr>
            <w:r w:rsidRPr="007C3188">
              <w:rPr>
                <w:b/>
                <w:bCs/>
              </w:rPr>
              <w:t>20</w:t>
            </w:r>
          </w:p>
        </w:tc>
        <w:tc>
          <w:tcPr>
            <w:tcW w:w="1120" w:type="dxa"/>
            <w:hideMark/>
          </w:tcPr>
          <w:p w:rsidR="00FB0BD9" w:rsidRPr="007C3188" w:rsidRDefault="00FB0BD9" w:rsidP="0037520A">
            <w:pPr>
              <w:jc w:val="both"/>
              <w:rPr>
                <w:b/>
                <w:bCs/>
              </w:rPr>
            </w:pPr>
            <w:r w:rsidRPr="007C3188">
              <w:rPr>
                <w:b/>
                <w:bCs/>
              </w:rPr>
              <w:t>32</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19</w:t>
            </w:r>
          </w:p>
        </w:tc>
        <w:tc>
          <w:tcPr>
            <w:tcW w:w="1080" w:type="dxa"/>
            <w:hideMark/>
          </w:tcPr>
          <w:p w:rsidR="00FB0BD9" w:rsidRPr="007C3188" w:rsidRDefault="00FB0BD9" w:rsidP="0037520A">
            <w:pPr>
              <w:jc w:val="both"/>
              <w:rPr>
                <w:b/>
                <w:bCs/>
              </w:rPr>
            </w:pPr>
            <w:r w:rsidRPr="007C3188">
              <w:rPr>
                <w:b/>
                <w:bCs/>
              </w:rPr>
              <w:t>78</w:t>
            </w:r>
          </w:p>
        </w:tc>
        <w:tc>
          <w:tcPr>
            <w:tcW w:w="1440" w:type="dxa"/>
            <w:hideMark/>
          </w:tcPr>
          <w:p w:rsidR="00FB0BD9" w:rsidRPr="007C3188" w:rsidRDefault="00FB0BD9" w:rsidP="0037520A">
            <w:pPr>
              <w:jc w:val="both"/>
              <w:rPr>
                <w:b/>
                <w:bCs/>
              </w:rPr>
            </w:pPr>
            <w:r w:rsidRPr="007C3188">
              <w:rPr>
                <w:b/>
                <w:bCs/>
              </w:rPr>
              <w:t>0</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149</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13.42%</w:t>
            </w:r>
          </w:p>
        </w:tc>
        <w:tc>
          <w:tcPr>
            <w:tcW w:w="1120" w:type="dxa"/>
            <w:hideMark/>
          </w:tcPr>
          <w:p w:rsidR="00FB0BD9" w:rsidRPr="007C3188" w:rsidRDefault="00FB0BD9" w:rsidP="0037520A">
            <w:pPr>
              <w:jc w:val="both"/>
              <w:rPr>
                <w:b/>
                <w:bCs/>
              </w:rPr>
            </w:pPr>
            <w:r w:rsidRPr="007C3188">
              <w:rPr>
                <w:b/>
                <w:bCs/>
              </w:rPr>
              <w:t>21.48%</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12.75%</w:t>
            </w:r>
          </w:p>
        </w:tc>
        <w:tc>
          <w:tcPr>
            <w:tcW w:w="1080" w:type="dxa"/>
            <w:hideMark/>
          </w:tcPr>
          <w:p w:rsidR="00FB0BD9" w:rsidRPr="007C3188" w:rsidRDefault="00FB0BD9" w:rsidP="0037520A">
            <w:pPr>
              <w:jc w:val="both"/>
              <w:rPr>
                <w:b/>
                <w:bCs/>
              </w:rPr>
            </w:pPr>
            <w:r w:rsidRPr="007C3188">
              <w:rPr>
                <w:b/>
                <w:bCs/>
              </w:rPr>
              <w:t>52.35%</w:t>
            </w:r>
          </w:p>
        </w:tc>
        <w:tc>
          <w:tcPr>
            <w:tcW w:w="1440" w:type="dxa"/>
            <w:hideMark/>
          </w:tcPr>
          <w:p w:rsidR="00FB0BD9" w:rsidRPr="007C3188" w:rsidRDefault="00FB0BD9" w:rsidP="0037520A">
            <w:pPr>
              <w:jc w:val="both"/>
              <w:rPr>
                <w:b/>
                <w:bCs/>
              </w:rPr>
            </w:pPr>
            <w:r w:rsidRPr="007C3188">
              <w:rPr>
                <w:b/>
                <w:bCs/>
              </w:rPr>
              <w:t>0.00%</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5.82%</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Razón desconocida</w:t>
            </w:r>
          </w:p>
        </w:tc>
        <w:tc>
          <w:tcPr>
            <w:tcW w:w="980" w:type="dxa"/>
            <w:hideMark/>
          </w:tcPr>
          <w:p w:rsidR="00FB0BD9" w:rsidRPr="007C3188" w:rsidRDefault="00FB0BD9" w:rsidP="0037520A">
            <w:pPr>
              <w:jc w:val="both"/>
              <w:rPr>
                <w:b/>
                <w:bCs/>
              </w:rPr>
            </w:pPr>
            <w:r w:rsidRPr="007C3188">
              <w:rPr>
                <w:b/>
                <w:bCs/>
              </w:rPr>
              <w:t>0</w:t>
            </w:r>
          </w:p>
        </w:tc>
        <w:tc>
          <w:tcPr>
            <w:tcW w:w="1120" w:type="dxa"/>
            <w:hideMark/>
          </w:tcPr>
          <w:p w:rsidR="00FB0BD9" w:rsidRPr="007C3188" w:rsidRDefault="00FB0BD9" w:rsidP="0037520A">
            <w:pPr>
              <w:jc w:val="both"/>
              <w:rPr>
                <w:b/>
                <w:bCs/>
              </w:rPr>
            </w:pPr>
            <w:r w:rsidRPr="007C3188">
              <w:rPr>
                <w:b/>
                <w:bCs/>
              </w:rPr>
              <w:t>0</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0</w:t>
            </w:r>
          </w:p>
        </w:tc>
        <w:tc>
          <w:tcPr>
            <w:tcW w:w="1440" w:type="dxa"/>
            <w:hideMark/>
          </w:tcPr>
          <w:p w:rsidR="00FB0BD9" w:rsidRPr="007C3188" w:rsidRDefault="00FB0BD9" w:rsidP="0037520A">
            <w:pPr>
              <w:jc w:val="both"/>
              <w:rPr>
                <w:b/>
                <w:bCs/>
              </w:rPr>
            </w:pPr>
            <w:r w:rsidRPr="007C3188">
              <w:rPr>
                <w:b/>
                <w:bCs/>
              </w:rPr>
              <w:t>0</w:t>
            </w:r>
          </w:p>
        </w:tc>
        <w:tc>
          <w:tcPr>
            <w:tcW w:w="1400" w:type="dxa"/>
            <w:hideMark/>
          </w:tcPr>
          <w:p w:rsidR="00FB0BD9" w:rsidRPr="007C3188" w:rsidRDefault="00FB0BD9" w:rsidP="0037520A">
            <w:pPr>
              <w:jc w:val="both"/>
              <w:rPr>
                <w:b/>
                <w:bCs/>
              </w:rPr>
            </w:pPr>
            <w:r w:rsidRPr="007C3188">
              <w:rPr>
                <w:b/>
                <w:bCs/>
              </w:rPr>
              <w:t>0</w:t>
            </w:r>
          </w:p>
        </w:tc>
        <w:tc>
          <w:tcPr>
            <w:tcW w:w="700" w:type="dxa"/>
            <w:hideMark/>
          </w:tcPr>
          <w:p w:rsidR="00FB0BD9" w:rsidRPr="007C3188" w:rsidRDefault="00FB0BD9" w:rsidP="0037520A">
            <w:pPr>
              <w:jc w:val="both"/>
              <w:rPr>
                <w:b/>
                <w:bCs/>
              </w:rPr>
            </w:pPr>
            <w:r w:rsidRPr="007C3188">
              <w:rPr>
                <w:b/>
                <w:bCs/>
              </w:rPr>
              <w:t>0</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0.00%</w:t>
            </w:r>
          </w:p>
        </w:tc>
        <w:tc>
          <w:tcPr>
            <w:tcW w:w="1120" w:type="dxa"/>
            <w:hideMark/>
          </w:tcPr>
          <w:p w:rsidR="00FB0BD9" w:rsidRPr="007C3188" w:rsidRDefault="00FB0BD9" w:rsidP="0037520A">
            <w:pPr>
              <w:jc w:val="both"/>
              <w:rPr>
                <w:b/>
                <w:bCs/>
              </w:rPr>
            </w:pPr>
            <w:r w:rsidRPr="007C3188">
              <w:rPr>
                <w:b/>
                <w:bCs/>
              </w:rPr>
              <w:t>0.00%</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0.00%</w:t>
            </w:r>
          </w:p>
        </w:tc>
        <w:tc>
          <w:tcPr>
            <w:tcW w:w="1440" w:type="dxa"/>
            <w:hideMark/>
          </w:tcPr>
          <w:p w:rsidR="00FB0BD9" w:rsidRPr="007C3188" w:rsidRDefault="00FB0BD9" w:rsidP="0037520A">
            <w:pPr>
              <w:jc w:val="both"/>
              <w:rPr>
                <w:b/>
                <w:bCs/>
              </w:rPr>
            </w:pPr>
            <w:r w:rsidRPr="007C3188">
              <w:rPr>
                <w:b/>
                <w:bCs/>
              </w:rPr>
              <w:t>0.00%</w:t>
            </w:r>
          </w:p>
        </w:tc>
        <w:tc>
          <w:tcPr>
            <w:tcW w:w="1400" w:type="dxa"/>
            <w:hideMark/>
          </w:tcPr>
          <w:p w:rsidR="00FB0BD9" w:rsidRPr="007C3188" w:rsidRDefault="00FB0BD9" w:rsidP="0037520A">
            <w:pPr>
              <w:jc w:val="both"/>
              <w:rPr>
                <w:b/>
                <w:bCs/>
              </w:rPr>
            </w:pPr>
            <w:r w:rsidRPr="007C3188">
              <w:rPr>
                <w:b/>
                <w:bCs/>
              </w:rPr>
              <w:t>0.00%</w:t>
            </w:r>
          </w:p>
        </w:tc>
        <w:tc>
          <w:tcPr>
            <w:tcW w:w="700" w:type="dxa"/>
            <w:hideMark/>
          </w:tcPr>
          <w:p w:rsidR="00FB0BD9" w:rsidRPr="007C3188" w:rsidRDefault="00FB0BD9" w:rsidP="0037520A">
            <w:pPr>
              <w:jc w:val="both"/>
              <w:rPr>
                <w:b/>
                <w:bCs/>
              </w:rPr>
            </w:pPr>
            <w:r w:rsidRPr="007C3188">
              <w:rPr>
                <w:b/>
                <w:bCs/>
              </w:rPr>
              <w:t>0.00%</w:t>
            </w:r>
          </w:p>
        </w:tc>
      </w:tr>
      <w:tr w:rsidR="00FB0BD9" w:rsidRPr="007C3188" w:rsidTr="0037520A">
        <w:trPr>
          <w:trHeight w:val="315"/>
        </w:trPr>
        <w:tc>
          <w:tcPr>
            <w:tcW w:w="3840" w:type="dxa"/>
            <w:vMerge w:val="restart"/>
            <w:hideMark/>
          </w:tcPr>
          <w:p w:rsidR="00FB0BD9" w:rsidRPr="007C3188" w:rsidRDefault="00FB0BD9" w:rsidP="0037520A">
            <w:pPr>
              <w:jc w:val="both"/>
              <w:rPr>
                <w:b/>
                <w:bCs/>
              </w:rPr>
            </w:pPr>
            <w:r w:rsidRPr="007C3188">
              <w:rPr>
                <w:b/>
                <w:bCs/>
              </w:rPr>
              <w:t>Total</w:t>
            </w:r>
          </w:p>
        </w:tc>
        <w:tc>
          <w:tcPr>
            <w:tcW w:w="980" w:type="dxa"/>
            <w:hideMark/>
          </w:tcPr>
          <w:p w:rsidR="00FB0BD9" w:rsidRPr="007C3188" w:rsidRDefault="00FB0BD9" w:rsidP="0037520A">
            <w:pPr>
              <w:jc w:val="both"/>
              <w:rPr>
                <w:b/>
                <w:bCs/>
              </w:rPr>
            </w:pPr>
            <w:r w:rsidRPr="007C3188">
              <w:rPr>
                <w:b/>
                <w:bCs/>
              </w:rPr>
              <w:t>318</w:t>
            </w:r>
          </w:p>
        </w:tc>
        <w:tc>
          <w:tcPr>
            <w:tcW w:w="1120" w:type="dxa"/>
            <w:hideMark/>
          </w:tcPr>
          <w:p w:rsidR="00FB0BD9" w:rsidRPr="007C3188" w:rsidRDefault="00FB0BD9" w:rsidP="0037520A">
            <w:pPr>
              <w:jc w:val="both"/>
              <w:rPr>
                <w:b/>
                <w:bCs/>
              </w:rPr>
            </w:pPr>
            <w:r w:rsidRPr="007C3188">
              <w:rPr>
                <w:b/>
                <w:bCs/>
              </w:rPr>
              <w:t>620</w:t>
            </w:r>
          </w:p>
        </w:tc>
        <w:tc>
          <w:tcPr>
            <w:tcW w:w="1300" w:type="dxa"/>
            <w:hideMark/>
          </w:tcPr>
          <w:p w:rsidR="00FB0BD9" w:rsidRPr="007C3188" w:rsidRDefault="00FB0BD9" w:rsidP="0037520A">
            <w:pPr>
              <w:jc w:val="both"/>
              <w:rPr>
                <w:b/>
                <w:bCs/>
              </w:rPr>
            </w:pPr>
            <w:r w:rsidRPr="007C3188">
              <w:rPr>
                <w:b/>
                <w:bCs/>
              </w:rPr>
              <w:t>0</w:t>
            </w:r>
          </w:p>
        </w:tc>
        <w:tc>
          <w:tcPr>
            <w:tcW w:w="1080" w:type="dxa"/>
            <w:hideMark/>
          </w:tcPr>
          <w:p w:rsidR="00FB0BD9" w:rsidRPr="007C3188" w:rsidRDefault="00FB0BD9" w:rsidP="0037520A">
            <w:pPr>
              <w:jc w:val="both"/>
              <w:rPr>
                <w:b/>
                <w:bCs/>
              </w:rPr>
            </w:pPr>
            <w:r w:rsidRPr="007C3188">
              <w:rPr>
                <w:b/>
                <w:bCs/>
              </w:rPr>
              <w:t>363</w:t>
            </w:r>
          </w:p>
        </w:tc>
        <w:tc>
          <w:tcPr>
            <w:tcW w:w="1080" w:type="dxa"/>
            <w:hideMark/>
          </w:tcPr>
          <w:p w:rsidR="00FB0BD9" w:rsidRPr="007C3188" w:rsidRDefault="00FB0BD9" w:rsidP="0037520A">
            <w:pPr>
              <w:jc w:val="both"/>
              <w:rPr>
                <w:b/>
                <w:bCs/>
              </w:rPr>
            </w:pPr>
            <w:r w:rsidRPr="007C3188">
              <w:rPr>
                <w:b/>
                <w:bCs/>
              </w:rPr>
              <w:t>1,256</w:t>
            </w:r>
          </w:p>
        </w:tc>
        <w:tc>
          <w:tcPr>
            <w:tcW w:w="1440" w:type="dxa"/>
            <w:hideMark/>
          </w:tcPr>
          <w:p w:rsidR="00FB0BD9" w:rsidRPr="007C3188" w:rsidRDefault="00FB0BD9" w:rsidP="0037520A">
            <w:pPr>
              <w:jc w:val="both"/>
              <w:rPr>
                <w:b/>
                <w:bCs/>
              </w:rPr>
            </w:pPr>
            <w:r w:rsidRPr="007C3188">
              <w:rPr>
                <w:b/>
                <w:bCs/>
              </w:rPr>
              <w:t>2</w:t>
            </w:r>
          </w:p>
        </w:tc>
        <w:tc>
          <w:tcPr>
            <w:tcW w:w="1400" w:type="dxa"/>
            <w:hideMark/>
          </w:tcPr>
          <w:p w:rsidR="00FB0BD9" w:rsidRPr="007C3188" w:rsidRDefault="00FB0BD9" w:rsidP="0037520A">
            <w:pPr>
              <w:jc w:val="both"/>
              <w:rPr>
                <w:b/>
                <w:bCs/>
              </w:rPr>
            </w:pPr>
            <w:r w:rsidRPr="007C3188">
              <w:rPr>
                <w:b/>
                <w:bCs/>
              </w:rPr>
              <w:t>0</w:t>
            </w:r>
          </w:p>
        </w:tc>
        <w:tc>
          <w:tcPr>
            <w:tcW w:w="700" w:type="dxa"/>
            <w:vMerge w:val="restart"/>
            <w:hideMark/>
          </w:tcPr>
          <w:p w:rsidR="00FB0BD9" w:rsidRPr="007C3188" w:rsidRDefault="00FB0BD9" w:rsidP="0037520A">
            <w:pPr>
              <w:jc w:val="both"/>
              <w:rPr>
                <w:b/>
                <w:bCs/>
              </w:rPr>
            </w:pPr>
            <w:r w:rsidRPr="007C3188">
              <w:rPr>
                <w:b/>
                <w:bCs/>
              </w:rPr>
              <w:t>2,559</w:t>
            </w: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980" w:type="dxa"/>
            <w:hideMark/>
          </w:tcPr>
          <w:p w:rsidR="00FB0BD9" w:rsidRPr="007C3188" w:rsidRDefault="00FB0BD9" w:rsidP="0037520A">
            <w:pPr>
              <w:jc w:val="both"/>
              <w:rPr>
                <w:b/>
                <w:bCs/>
              </w:rPr>
            </w:pPr>
            <w:r w:rsidRPr="007C3188">
              <w:rPr>
                <w:b/>
                <w:bCs/>
              </w:rPr>
              <w:t>12.43%</w:t>
            </w:r>
          </w:p>
        </w:tc>
        <w:tc>
          <w:tcPr>
            <w:tcW w:w="1120" w:type="dxa"/>
            <w:hideMark/>
          </w:tcPr>
          <w:p w:rsidR="00FB0BD9" w:rsidRPr="007C3188" w:rsidRDefault="00FB0BD9" w:rsidP="0037520A">
            <w:pPr>
              <w:jc w:val="both"/>
              <w:rPr>
                <w:b/>
                <w:bCs/>
              </w:rPr>
            </w:pPr>
            <w:r w:rsidRPr="007C3188">
              <w:rPr>
                <w:b/>
                <w:bCs/>
              </w:rPr>
              <w:t>24.23%</w:t>
            </w:r>
          </w:p>
        </w:tc>
        <w:tc>
          <w:tcPr>
            <w:tcW w:w="1300" w:type="dxa"/>
            <w:hideMark/>
          </w:tcPr>
          <w:p w:rsidR="00FB0BD9" w:rsidRPr="007C3188" w:rsidRDefault="00FB0BD9" w:rsidP="0037520A">
            <w:pPr>
              <w:jc w:val="both"/>
              <w:rPr>
                <w:b/>
                <w:bCs/>
              </w:rPr>
            </w:pPr>
            <w:r w:rsidRPr="007C3188">
              <w:rPr>
                <w:b/>
                <w:bCs/>
              </w:rPr>
              <w:t>0.00%</w:t>
            </w:r>
          </w:p>
        </w:tc>
        <w:tc>
          <w:tcPr>
            <w:tcW w:w="1080" w:type="dxa"/>
            <w:hideMark/>
          </w:tcPr>
          <w:p w:rsidR="00FB0BD9" w:rsidRPr="007C3188" w:rsidRDefault="00FB0BD9" w:rsidP="0037520A">
            <w:pPr>
              <w:jc w:val="both"/>
              <w:rPr>
                <w:b/>
                <w:bCs/>
              </w:rPr>
            </w:pPr>
            <w:r w:rsidRPr="007C3188">
              <w:rPr>
                <w:b/>
                <w:bCs/>
              </w:rPr>
              <w:t>14.19%</w:t>
            </w:r>
          </w:p>
        </w:tc>
        <w:tc>
          <w:tcPr>
            <w:tcW w:w="1080" w:type="dxa"/>
            <w:hideMark/>
          </w:tcPr>
          <w:p w:rsidR="00FB0BD9" w:rsidRPr="007C3188" w:rsidRDefault="00FB0BD9" w:rsidP="0037520A">
            <w:pPr>
              <w:jc w:val="both"/>
              <w:rPr>
                <w:b/>
                <w:bCs/>
              </w:rPr>
            </w:pPr>
            <w:r w:rsidRPr="007C3188">
              <w:rPr>
                <w:b/>
                <w:bCs/>
              </w:rPr>
              <w:t>49.08%</w:t>
            </w:r>
          </w:p>
        </w:tc>
        <w:tc>
          <w:tcPr>
            <w:tcW w:w="1440" w:type="dxa"/>
            <w:hideMark/>
          </w:tcPr>
          <w:p w:rsidR="00FB0BD9" w:rsidRPr="007C3188" w:rsidRDefault="00FB0BD9" w:rsidP="0037520A">
            <w:pPr>
              <w:jc w:val="both"/>
              <w:rPr>
                <w:b/>
                <w:bCs/>
              </w:rPr>
            </w:pPr>
            <w:r w:rsidRPr="007C3188">
              <w:rPr>
                <w:b/>
                <w:bCs/>
              </w:rPr>
              <w:t>0.08%</w:t>
            </w:r>
          </w:p>
        </w:tc>
        <w:tc>
          <w:tcPr>
            <w:tcW w:w="1400" w:type="dxa"/>
            <w:hideMark/>
          </w:tcPr>
          <w:p w:rsidR="00FB0BD9" w:rsidRPr="007C3188" w:rsidRDefault="00FB0BD9" w:rsidP="0037520A">
            <w:pPr>
              <w:jc w:val="both"/>
              <w:rPr>
                <w:b/>
                <w:bCs/>
              </w:rPr>
            </w:pPr>
            <w:r w:rsidRPr="007C3188">
              <w:rPr>
                <w:b/>
                <w:bCs/>
              </w:rPr>
              <w:t>0.00%</w:t>
            </w:r>
          </w:p>
        </w:tc>
        <w:tc>
          <w:tcPr>
            <w:tcW w:w="700" w:type="dxa"/>
            <w:vMerge/>
            <w:hideMark/>
          </w:tcPr>
          <w:p w:rsidR="00FB0BD9" w:rsidRPr="007C3188" w:rsidRDefault="00FB0BD9" w:rsidP="0037520A">
            <w:pPr>
              <w:jc w:val="both"/>
              <w:rPr>
                <w:b/>
                <w:bCs/>
              </w:rPr>
            </w:pP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3400" w:type="dxa"/>
            <w:gridSpan w:val="3"/>
            <w:hideMark/>
          </w:tcPr>
          <w:p w:rsidR="00FB0BD9" w:rsidRPr="007C3188" w:rsidRDefault="00FB0BD9" w:rsidP="0037520A">
            <w:pPr>
              <w:jc w:val="both"/>
              <w:rPr>
                <w:b/>
                <w:bCs/>
              </w:rPr>
            </w:pPr>
            <w:r w:rsidRPr="007C3188">
              <w:rPr>
                <w:b/>
                <w:bCs/>
              </w:rPr>
              <w:t>Total niñas y adolescentes mujeres 938</w:t>
            </w:r>
          </w:p>
        </w:tc>
        <w:tc>
          <w:tcPr>
            <w:tcW w:w="3600" w:type="dxa"/>
            <w:gridSpan w:val="3"/>
            <w:hideMark/>
          </w:tcPr>
          <w:p w:rsidR="00FB0BD9" w:rsidRPr="007C3188" w:rsidRDefault="00FB0BD9" w:rsidP="0037520A">
            <w:pPr>
              <w:jc w:val="both"/>
              <w:rPr>
                <w:b/>
                <w:bCs/>
              </w:rPr>
            </w:pPr>
            <w:r w:rsidRPr="007C3188">
              <w:rPr>
                <w:b/>
                <w:bCs/>
              </w:rPr>
              <w:t>Total niños y adolescentes hombres 1,621</w:t>
            </w:r>
          </w:p>
        </w:tc>
        <w:tc>
          <w:tcPr>
            <w:tcW w:w="1400" w:type="dxa"/>
            <w:vMerge w:val="restart"/>
            <w:hideMark/>
          </w:tcPr>
          <w:p w:rsidR="00FB0BD9" w:rsidRPr="007C3188" w:rsidRDefault="00FB0BD9" w:rsidP="0037520A">
            <w:pPr>
              <w:jc w:val="both"/>
              <w:rPr>
                <w:b/>
                <w:bCs/>
              </w:rPr>
            </w:pPr>
            <w:r w:rsidRPr="007C3188">
              <w:rPr>
                <w:b/>
                <w:bCs/>
              </w:rPr>
              <w:t> </w:t>
            </w:r>
          </w:p>
        </w:tc>
        <w:tc>
          <w:tcPr>
            <w:tcW w:w="700" w:type="dxa"/>
            <w:vMerge/>
            <w:hideMark/>
          </w:tcPr>
          <w:p w:rsidR="00FB0BD9" w:rsidRPr="007C3188" w:rsidRDefault="00FB0BD9" w:rsidP="0037520A">
            <w:pPr>
              <w:jc w:val="both"/>
              <w:rPr>
                <w:b/>
                <w:bCs/>
              </w:rPr>
            </w:pPr>
          </w:p>
        </w:tc>
      </w:tr>
      <w:tr w:rsidR="00FB0BD9" w:rsidRPr="007C3188" w:rsidTr="0037520A">
        <w:trPr>
          <w:trHeight w:val="315"/>
        </w:trPr>
        <w:tc>
          <w:tcPr>
            <w:tcW w:w="3840" w:type="dxa"/>
            <w:vMerge/>
            <w:hideMark/>
          </w:tcPr>
          <w:p w:rsidR="00FB0BD9" w:rsidRPr="007C3188" w:rsidRDefault="00FB0BD9" w:rsidP="0037520A">
            <w:pPr>
              <w:jc w:val="both"/>
              <w:rPr>
                <w:b/>
                <w:bCs/>
              </w:rPr>
            </w:pPr>
          </w:p>
        </w:tc>
        <w:tc>
          <w:tcPr>
            <w:tcW w:w="3400" w:type="dxa"/>
            <w:gridSpan w:val="3"/>
            <w:hideMark/>
          </w:tcPr>
          <w:p w:rsidR="00FB0BD9" w:rsidRPr="007C3188" w:rsidRDefault="00FB0BD9" w:rsidP="0037520A">
            <w:pPr>
              <w:jc w:val="both"/>
              <w:rPr>
                <w:b/>
                <w:bCs/>
              </w:rPr>
            </w:pPr>
            <w:r w:rsidRPr="007C3188">
              <w:rPr>
                <w:b/>
                <w:bCs/>
              </w:rPr>
              <w:t>36.65%</w:t>
            </w:r>
          </w:p>
        </w:tc>
        <w:tc>
          <w:tcPr>
            <w:tcW w:w="3600" w:type="dxa"/>
            <w:gridSpan w:val="3"/>
            <w:hideMark/>
          </w:tcPr>
          <w:p w:rsidR="00FB0BD9" w:rsidRPr="007C3188" w:rsidRDefault="00FB0BD9" w:rsidP="0037520A">
            <w:pPr>
              <w:jc w:val="both"/>
              <w:rPr>
                <w:b/>
                <w:bCs/>
              </w:rPr>
            </w:pPr>
            <w:r w:rsidRPr="007C3188">
              <w:rPr>
                <w:b/>
                <w:bCs/>
              </w:rPr>
              <w:t>63.35%</w:t>
            </w:r>
          </w:p>
        </w:tc>
        <w:tc>
          <w:tcPr>
            <w:tcW w:w="1400" w:type="dxa"/>
            <w:vMerge/>
            <w:hideMark/>
          </w:tcPr>
          <w:p w:rsidR="00FB0BD9" w:rsidRPr="007C3188" w:rsidRDefault="00FB0BD9" w:rsidP="0037520A">
            <w:pPr>
              <w:jc w:val="both"/>
              <w:rPr>
                <w:b/>
                <w:bCs/>
              </w:rPr>
            </w:pPr>
          </w:p>
        </w:tc>
        <w:tc>
          <w:tcPr>
            <w:tcW w:w="700" w:type="dxa"/>
            <w:vMerge/>
            <w:hideMark/>
          </w:tcPr>
          <w:p w:rsidR="00FB0BD9" w:rsidRPr="007C3188" w:rsidRDefault="00FB0BD9" w:rsidP="0037520A">
            <w:pPr>
              <w:jc w:val="both"/>
              <w:rPr>
                <w:b/>
                <w:bCs/>
              </w:rPr>
            </w:pPr>
          </w:p>
        </w:tc>
      </w:tr>
      <w:tr w:rsidR="00FB0BD9" w:rsidRPr="007C3188" w:rsidTr="0037520A">
        <w:trPr>
          <w:trHeight w:val="300"/>
        </w:trPr>
        <w:tc>
          <w:tcPr>
            <w:tcW w:w="12940" w:type="dxa"/>
            <w:gridSpan w:val="9"/>
            <w:hideMark/>
          </w:tcPr>
          <w:p w:rsidR="00FB0BD9" w:rsidRPr="007C3188" w:rsidRDefault="00FB0BD9" w:rsidP="0037520A">
            <w:pPr>
              <w:jc w:val="center"/>
              <w:rPr>
                <w:b/>
                <w:bCs/>
                <w:sz w:val="18"/>
                <w:szCs w:val="18"/>
              </w:rPr>
            </w:pPr>
            <w:r w:rsidRPr="007C3188">
              <w:rPr>
                <w:b/>
                <w:bCs/>
                <w:sz w:val="18"/>
                <w:szCs w:val="18"/>
              </w:rPr>
              <w:t>Fuente: CONNA, Sistema de información de la niñez y adolescencia en El Salvador - SINAES. Fecha de generación del informe 27/02/2019 - 10:35:15</w:t>
            </w:r>
          </w:p>
        </w:tc>
      </w:tr>
    </w:tbl>
    <w:p w:rsidR="00FB0BD9" w:rsidRDefault="00FB0BD9" w:rsidP="00FB0BD9">
      <w:pPr>
        <w:spacing w:line="240" w:lineRule="auto"/>
        <w:jc w:val="both"/>
        <w:rPr>
          <w:b/>
          <w:bCs/>
        </w:rPr>
      </w:pPr>
    </w:p>
    <w:p w:rsidR="00FB0BD9" w:rsidRPr="003B242A" w:rsidRDefault="00FB0BD9" w:rsidP="00FB0BD9">
      <w:pPr>
        <w:spacing w:line="240" w:lineRule="auto"/>
        <w:jc w:val="both"/>
        <w:rPr>
          <w:bCs/>
        </w:rPr>
      </w:pPr>
      <w:r w:rsidRPr="007C3188">
        <w:rPr>
          <w:bCs/>
        </w:rPr>
        <w:t xml:space="preserve">Se </w:t>
      </w:r>
      <w:r>
        <w:rPr>
          <w:bCs/>
        </w:rPr>
        <w:t>aclara</w:t>
      </w:r>
      <w:r w:rsidRPr="007C3188">
        <w:rPr>
          <w:bCs/>
        </w:rPr>
        <w:t xml:space="preserve"> que hay casos en que un mismo niño, niña o adolescente manifestó más de una razón de migrar, por lo que el dato final no necesariamente coincide con el número de </w:t>
      </w:r>
      <w:r>
        <w:rPr>
          <w:bCs/>
        </w:rPr>
        <w:t>NNA</w:t>
      </w:r>
      <w:r w:rsidRPr="007C3188">
        <w:rPr>
          <w:bCs/>
        </w:rPr>
        <w:t xml:space="preserve"> atendidos o consultados.</w:t>
      </w:r>
    </w:p>
    <w:p w:rsidR="004C7D8A" w:rsidRDefault="004C7D8A" w:rsidP="004C7D8A">
      <w:pPr>
        <w:rPr>
          <w:rFonts w:cs="Times New Roman"/>
          <w:b/>
        </w:rPr>
      </w:pPr>
      <w:r w:rsidRPr="00FB0BD9">
        <w:rPr>
          <w:rFonts w:cs="Times New Roman"/>
          <w:b/>
        </w:rPr>
        <w:t>6.</w:t>
      </w:r>
      <w:r w:rsidRPr="00FB0BD9">
        <w:rPr>
          <w:rFonts w:cs="Times New Roman"/>
          <w:b/>
        </w:rPr>
        <w:tab/>
        <w:t xml:space="preserve">¿Cómo describen las NNA las condiciones de vida durante el tránsito y en el país de destino?    </w:t>
      </w:r>
    </w:p>
    <w:p w:rsidR="00FB0BD9" w:rsidRDefault="00FB0BD9" w:rsidP="00FB0BD9">
      <w:pPr>
        <w:spacing w:line="240" w:lineRule="auto"/>
        <w:jc w:val="both"/>
        <w:rPr>
          <w:lang w:val="es-ES_tradnl"/>
        </w:rPr>
      </w:pPr>
      <w:r>
        <w:rPr>
          <w:lang w:val="es-ES_tradnl"/>
        </w:rPr>
        <w:t>Al realizar un abordaje con las niñas, niños y adolescentes sobre las condiciones y la manera en que han sido tratados en los países de tránsito (por regla general México) y destino, en su mayoría manifiestan un trato no adecuado, sobre todo en los últimos meses del año 2018, debido a la gran cantidad de centroamericanos en los diferentes albergues, ha implicado dormir y permanecer en condiciones poco adecuadas (algunos han manifestado incluso dormir en el piso por la falta de colchonetas) e insalubres; asimismo, han manifestado haber sufrido en algunos casos discriminación en los diferentes países de tránsito o destino y en ocasiones han sido separados de sus madres y padres.</w:t>
      </w:r>
    </w:p>
    <w:p w:rsidR="004C7D8A" w:rsidRDefault="004C7D8A" w:rsidP="004C7D8A">
      <w:pPr>
        <w:rPr>
          <w:rFonts w:cs="Times New Roman"/>
          <w:b/>
        </w:rPr>
      </w:pPr>
      <w:r w:rsidRPr="00FB0BD9">
        <w:rPr>
          <w:rFonts w:cs="Times New Roman"/>
          <w:b/>
        </w:rPr>
        <w:t>7.</w:t>
      </w:r>
      <w:r w:rsidRPr="00FB0BD9">
        <w:rPr>
          <w:rFonts w:cs="Times New Roman"/>
          <w:b/>
        </w:rPr>
        <w:tab/>
        <w:t>Se han detectado violaciones a derechos de las niñas y adolescentes mujeres en razón de su género, en caso de ser afirmativa la respuesta, ¿cuántas y de qué tipo?</w:t>
      </w:r>
    </w:p>
    <w:p w:rsidR="00FB0BD9" w:rsidRPr="00265768" w:rsidRDefault="00FB0BD9" w:rsidP="00FB0BD9">
      <w:pPr>
        <w:spacing w:line="240" w:lineRule="auto"/>
        <w:jc w:val="both"/>
        <w:rPr>
          <w:lang w:val="es-ES_tradnl"/>
        </w:rPr>
      </w:pPr>
      <w:r>
        <w:rPr>
          <w:rFonts w:cstheme="minorHAnsi"/>
          <w:lang w:val="es-ES_tradnl" w:eastAsia="es-ES"/>
        </w:rPr>
        <w:t>No se han atendido situaciones de ese tipo por parte del CONNA, sin embargo en la atención de personas retornadas también se cuenta con la presencia de ISDEMU, en cuyo caso sería dable solicitar información al respecto de casos que por ser considerados violación a derechos por cuestiones de género se les pudo remitir en su oportunidad a dicha institución y no se remitió a CONNA, conforme el protocolo interinstitucional precitado.</w:t>
      </w:r>
    </w:p>
    <w:p w:rsidR="004C7D8A" w:rsidRDefault="004C7D8A" w:rsidP="00FB0BD9">
      <w:pPr>
        <w:jc w:val="both"/>
        <w:rPr>
          <w:rFonts w:cs="Times New Roman"/>
          <w:b/>
        </w:rPr>
      </w:pPr>
      <w:r w:rsidRPr="00FB0BD9">
        <w:rPr>
          <w:rFonts w:cs="Times New Roman"/>
          <w:b/>
        </w:rPr>
        <w:t>8.</w:t>
      </w:r>
      <w:r w:rsidRPr="00FB0BD9">
        <w:rPr>
          <w:rFonts w:cs="Times New Roman"/>
          <w:b/>
        </w:rPr>
        <w:tab/>
        <w:t>Las políticas, planes, programas, acciones, estrategias y medidas creados e implementados para prevenir la migración riesgosa de las NNA y para la protección de sus derechos, con énfasis en la niñez no acompañada.</w:t>
      </w:r>
    </w:p>
    <w:p w:rsidR="00FB0BD9" w:rsidRDefault="00FB0BD9" w:rsidP="00FB0BD9">
      <w:pPr>
        <w:spacing w:line="240" w:lineRule="auto"/>
        <w:jc w:val="both"/>
        <w:rPr>
          <w:lang w:val="es-ES_tradnl"/>
        </w:rPr>
      </w:pPr>
      <w:r>
        <w:rPr>
          <w:lang w:val="es-ES_tradnl"/>
        </w:rPr>
        <w:t>Dentro del eje de políticas públicas y programas se cuentan con los siguientes instrumentos y esfuerzos:</w:t>
      </w:r>
    </w:p>
    <w:p w:rsidR="00FB0BD9" w:rsidRDefault="00FB0BD9" w:rsidP="00FB0BD9">
      <w:pPr>
        <w:spacing w:line="240" w:lineRule="auto"/>
        <w:jc w:val="both"/>
      </w:pPr>
      <w:r>
        <w:t xml:space="preserve">Política Nacional para la protección y desarrollo de la persona migrante salvadoreña y su familia, </w:t>
      </w:r>
    </w:p>
    <w:p w:rsidR="00FB0BD9" w:rsidRPr="00310FB6" w:rsidRDefault="00FB0BD9" w:rsidP="00FB0BD9">
      <w:pPr>
        <w:spacing w:line="240" w:lineRule="auto"/>
        <w:jc w:val="both"/>
      </w:pPr>
      <w:r w:rsidRPr="00310FB6">
        <w:t xml:space="preserve">Política Nacional </w:t>
      </w:r>
      <w:r>
        <w:t>d</w:t>
      </w:r>
      <w:r w:rsidRPr="00310FB6">
        <w:t xml:space="preserve">e Protección Integral </w:t>
      </w:r>
      <w:r>
        <w:t>d</w:t>
      </w:r>
      <w:r w:rsidRPr="00310FB6">
        <w:t xml:space="preserve">e </w:t>
      </w:r>
      <w:r>
        <w:t>l</w:t>
      </w:r>
      <w:r w:rsidRPr="00310FB6">
        <w:t xml:space="preserve">a Niñez </w:t>
      </w:r>
      <w:r>
        <w:t>y</w:t>
      </w:r>
      <w:r w:rsidRPr="00310FB6">
        <w:t xml:space="preserve"> </w:t>
      </w:r>
      <w:r>
        <w:t>d</w:t>
      </w:r>
      <w:r w:rsidRPr="00310FB6">
        <w:t xml:space="preserve">e </w:t>
      </w:r>
      <w:r>
        <w:t>l</w:t>
      </w:r>
      <w:r w:rsidRPr="00310FB6">
        <w:t>a Adolescencia</w:t>
      </w:r>
    </w:p>
    <w:p w:rsidR="00FB0BD9" w:rsidRPr="00310FB6" w:rsidRDefault="00FB0BD9" w:rsidP="00FB0BD9">
      <w:pPr>
        <w:spacing w:line="240" w:lineRule="auto"/>
        <w:jc w:val="both"/>
      </w:pPr>
      <w:r w:rsidRPr="00310FB6">
        <w:t xml:space="preserve">Política Nacional </w:t>
      </w:r>
      <w:r>
        <w:t>d</w:t>
      </w:r>
      <w:r w:rsidRPr="00310FB6">
        <w:t>e La Juventud</w:t>
      </w:r>
    </w:p>
    <w:p w:rsidR="00FB0BD9" w:rsidRPr="00310FB6" w:rsidRDefault="00FB0BD9" w:rsidP="00FB0BD9">
      <w:pPr>
        <w:spacing w:line="240" w:lineRule="auto"/>
        <w:jc w:val="both"/>
      </w:pPr>
      <w:r w:rsidRPr="00310FB6">
        <w:t xml:space="preserve">Política Nacional </w:t>
      </w:r>
      <w:r>
        <w:t>p</w:t>
      </w:r>
      <w:r w:rsidRPr="00310FB6">
        <w:t xml:space="preserve">ara </w:t>
      </w:r>
      <w:r>
        <w:t>e</w:t>
      </w:r>
      <w:r w:rsidRPr="00310FB6">
        <w:t xml:space="preserve">l Acceso </w:t>
      </w:r>
      <w:r>
        <w:t>d</w:t>
      </w:r>
      <w:r w:rsidRPr="00310FB6">
        <w:t xml:space="preserve">e </w:t>
      </w:r>
      <w:r>
        <w:t>l</w:t>
      </w:r>
      <w:r w:rsidRPr="00310FB6">
        <w:t xml:space="preserve">as Mujeres </w:t>
      </w:r>
      <w:r>
        <w:t>a</w:t>
      </w:r>
      <w:r w:rsidRPr="00310FB6">
        <w:t xml:space="preserve"> </w:t>
      </w:r>
      <w:r>
        <w:t>u</w:t>
      </w:r>
      <w:r w:rsidRPr="00310FB6">
        <w:t xml:space="preserve">na Vida Libre </w:t>
      </w:r>
      <w:r>
        <w:t>d</w:t>
      </w:r>
      <w:r w:rsidRPr="00310FB6">
        <w:t>e Violencia</w:t>
      </w:r>
    </w:p>
    <w:p w:rsidR="00FB0BD9" w:rsidRPr="00310FB6" w:rsidRDefault="00FB0BD9" w:rsidP="00FB0BD9">
      <w:pPr>
        <w:spacing w:line="240" w:lineRule="auto"/>
        <w:jc w:val="both"/>
      </w:pPr>
      <w:r w:rsidRPr="00310FB6">
        <w:t xml:space="preserve">Plan El Salvador Seguro </w:t>
      </w:r>
    </w:p>
    <w:p w:rsidR="00FB0BD9" w:rsidRPr="00310FB6" w:rsidRDefault="00FB0BD9" w:rsidP="00FB0BD9">
      <w:pPr>
        <w:spacing w:line="240" w:lineRule="auto"/>
        <w:jc w:val="both"/>
      </w:pPr>
      <w:r w:rsidRPr="00310FB6">
        <w:t>Programa Salud 503</w:t>
      </w:r>
    </w:p>
    <w:p w:rsidR="00FB0BD9" w:rsidRDefault="00FB0BD9" w:rsidP="00FB0BD9">
      <w:pPr>
        <w:spacing w:line="240" w:lineRule="auto"/>
        <w:jc w:val="both"/>
      </w:pPr>
      <w:r w:rsidRPr="00310FB6">
        <w:t>Política Nacional De Atención A Victimas</w:t>
      </w:r>
      <w:r>
        <w:t>.</w:t>
      </w:r>
    </w:p>
    <w:p w:rsidR="00FB0BD9" w:rsidRDefault="00FB0BD9" w:rsidP="00FB0BD9">
      <w:pPr>
        <w:spacing w:line="240" w:lineRule="auto"/>
        <w:jc w:val="both"/>
        <w:rPr>
          <w:lang w:val="es-ES_tradnl"/>
        </w:rPr>
      </w:pPr>
      <w:r>
        <w:lastRenderedPageBreak/>
        <w:t>Programa CANAF, de ISNA, entre otros.</w:t>
      </w:r>
    </w:p>
    <w:p w:rsidR="00FB0BD9" w:rsidRDefault="00FB0BD9" w:rsidP="00FB0BD9">
      <w:pPr>
        <w:spacing w:line="240" w:lineRule="auto"/>
        <w:jc w:val="both"/>
      </w:pPr>
      <w:r>
        <w:rPr>
          <w:lang w:val="es-ES_tradnl"/>
        </w:rPr>
        <w:t xml:space="preserve">Cabe advertir que el CONNA dentro de sus competencias no tiene la ejecución de programas, pero si, ha participado en la creación de las políticas, planes y solicitado a las autoridades la creación de programas conforme a la necesidad de la población migrante salvadoreña, entre ellos al </w:t>
      </w:r>
      <w:r w:rsidRPr="00070D5B">
        <w:t>Consejo Nacional para la Persona Migrante Salvadoreña y su Familia</w:t>
      </w:r>
      <w:r>
        <w:t xml:space="preserve"> CONMIGRANTES, quien tiene como</w:t>
      </w:r>
      <w:r w:rsidRPr="00070D5B">
        <w:t xml:space="preserve"> fin</w:t>
      </w:r>
      <w:r>
        <w:t>:</w:t>
      </w:r>
      <w:r w:rsidRPr="00070D5B">
        <w:t xml:space="preserve"> elaborar, proponer, canalizar, verificar el cumplimiento de la política integral de protección y aquellas políticas relacionadas a los vínculos entre migración y desarrollo. Asimismo, será un ente de coordinación interinstitucional e intersectorial del Estado y los migrantes salvadoreños</w:t>
      </w:r>
      <w:r>
        <w:t>; de quien por ley emanan planes, programas y proyectos para la población migrante y sus familias.</w:t>
      </w:r>
    </w:p>
    <w:p w:rsidR="00FB0BD9" w:rsidRDefault="00FB0BD9" w:rsidP="00FB0BD9">
      <w:pPr>
        <w:spacing w:line="240" w:lineRule="auto"/>
        <w:jc w:val="both"/>
        <w:rPr>
          <w:lang w:val="es-ES_tradnl"/>
        </w:rPr>
      </w:pPr>
      <w:r>
        <w:t xml:space="preserve">En tanto, desde el CONNA se ha liderado </w:t>
      </w:r>
      <w:r w:rsidRPr="009E2BFB">
        <w:rPr>
          <w:lang w:val="es-ES_tradnl"/>
        </w:rPr>
        <w:t>la Mesa de Coordinación para la Protección y Atención a Niñez y Adolescencia migrante,</w:t>
      </w:r>
      <w:r>
        <w:rPr>
          <w:lang w:val="es-ES_tradnl"/>
        </w:rPr>
        <w:t xml:space="preserve"> para brindar respuestas oportunas y coordinadas a la niñez y adolescencia;</w:t>
      </w:r>
      <w:r w:rsidRPr="009E2BFB">
        <w:rPr>
          <w:lang w:val="es-ES_tradnl"/>
        </w:rPr>
        <w:t xml:space="preserve"> dicha Mesa está conformada por las instituciones públicas y privadas, siguientes:</w:t>
      </w:r>
      <w:r>
        <w:rPr>
          <w:lang w:val="es-ES_tradnl"/>
        </w:rPr>
        <w:t xml:space="preserve"> </w:t>
      </w:r>
      <w:r w:rsidRPr="009E2BFB">
        <w:rPr>
          <w:lang w:val="es-ES_tradnl"/>
        </w:rPr>
        <w:t>Ministerio de Relaciones Exteriores, Ministerio de Salud, Dirección General de Migración y Extranjería, Policía Nacional Civil, Procuraduría General de la República, Instituto Salvadoreño para el Desarrollo Integral de la Niñez y la Adolescencia, Organización Internacional para las Migraciones</w:t>
      </w:r>
      <w:r>
        <w:rPr>
          <w:lang w:val="es-ES_tradnl"/>
        </w:rPr>
        <w:t>.</w:t>
      </w:r>
    </w:p>
    <w:p w:rsidR="00FB0BD9" w:rsidRDefault="00FB0BD9" w:rsidP="00FB0BD9">
      <w:pPr>
        <w:spacing w:line="240" w:lineRule="auto"/>
        <w:jc w:val="both"/>
        <w:rPr>
          <w:lang w:val="es-ES_tradnl"/>
        </w:rPr>
      </w:pPr>
      <w:r>
        <w:rPr>
          <w:lang w:val="es-ES_tradnl"/>
        </w:rPr>
        <w:t>Finalmente, en materia de prevención también se han desarrollado campañas de sensibilización sobre los peligros de la migración irregular de niñas, niños y adolescentes, la cual ha sido apoyada por las instituciones que conforman el Sistema, y se han emitido comunicados de prensa en esa vía. Asimismo, en el marco de las caravanas de personas migrantes se han realizado acciones tendientes a verificación, observancia, información, orientación y cumplimiento de requisitos de ley para evitar la migración riesgosa hacia niñas, niños y adolescentes en cada una de las caravanas, desde el momento de las concentraciones de personas hasta los controles migratorios.</w:t>
      </w:r>
    </w:p>
    <w:p w:rsidR="004C7D8A" w:rsidRDefault="004C7D8A" w:rsidP="004C7D8A">
      <w:pPr>
        <w:rPr>
          <w:rFonts w:cs="Times New Roman"/>
          <w:b/>
        </w:rPr>
      </w:pPr>
      <w:r w:rsidRPr="00FB0BD9">
        <w:rPr>
          <w:rFonts w:cs="Times New Roman"/>
          <w:b/>
        </w:rPr>
        <w:t>9.</w:t>
      </w:r>
      <w:r w:rsidRPr="00FB0BD9">
        <w:rPr>
          <w:rFonts w:cs="Times New Roman"/>
          <w:b/>
        </w:rPr>
        <w:tab/>
        <w:t>Coordinaciones realizadas o acuerdos logrados, si los hubiere, con otros países para garantizar los derechos de la niñez retornada.</w:t>
      </w:r>
    </w:p>
    <w:p w:rsidR="00FB0BD9" w:rsidRDefault="00FB0BD9" w:rsidP="00FB0BD9">
      <w:pPr>
        <w:spacing w:line="240" w:lineRule="auto"/>
        <w:jc w:val="both"/>
      </w:pPr>
      <w:r>
        <w:rPr>
          <w:lang w:val="es-ES_tradnl"/>
        </w:rPr>
        <w:t xml:space="preserve">Para el fin anterior, se sugiere consultar al Ministerio de Relaciones Exteriores, que cuenta con la </w:t>
      </w:r>
      <w:r>
        <w:t xml:space="preserve">Dirección General de Derechos Humanos antes mencionada </w:t>
      </w:r>
    </w:p>
    <w:p w:rsidR="00FB0BD9" w:rsidRDefault="004C7D8A" w:rsidP="00FB0BD9">
      <w:pPr>
        <w:spacing w:line="240" w:lineRule="auto"/>
        <w:jc w:val="both"/>
        <w:rPr>
          <w:lang w:val="es-ES"/>
        </w:rPr>
      </w:pPr>
      <w:r w:rsidRPr="00FB0BD9">
        <w:rPr>
          <w:rFonts w:cs="Times New Roman"/>
          <w:b/>
        </w:rPr>
        <w:t>10.</w:t>
      </w:r>
      <w:r w:rsidRPr="00FB0BD9">
        <w:rPr>
          <w:rFonts w:cs="Times New Roman"/>
          <w:b/>
        </w:rPr>
        <w:tab/>
        <w:t>Coordinaciones realizadas o acuerdos logrados con las instituciones públicas o privadas qu</w:t>
      </w:r>
      <w:r w:rsidR="00FB0BD9" w:rsidRPr="00FB0BD9">
        <w:rPr>
          <w:rFonts w:cs="Times New Roman"/>
          <w:b/>
        </w:rPr>
        <w:t xml:space="preserve">e operan en el país y que trabajan a favor de las NNA. </w:t>
      </w:r>
      <w:r w:rsidR="00FB0BD9" w:rsidRPr="00FB0BD9">
        <w:t xml:space="preserve"> </w:t>
      </w:r>
      <w:r w:rsidR="00FB0BD9">
        <w:t xml:space="preserve"> En cuanto a las coordinaciones dentro del territorio de la República, se han logrado definir coordinaciones con las instituciones que conforman la </w:t>
      </w:r>
      <w:r w:rsidR="00FB0BD9" w:rsidRPr="009E2BFB">
        <w:rPr>
          <w:lang w:val="es-ES_tradnl"/>
        </w:rPr>
        <w:t xml:space="preserve">Mesa de Coordinación para la Protección y Atención a Niñez y Adolescencia </w:t>
      </w:r>
      <w:r w:rsidR="00FB0BD9">
        <w:rPr>
          <w:lang w:val="es-ES_tradnl"/>
        </w:rPr>
        <w:t>M</w:t>
      </w:r>
      <w:r w:rsidR="00FB0BD9" w:rsidRPr="009E2BFB">
        <w:rPr>
          <w:lang w:val="es-ES_tradnl"/>
        </w:rPr>
        <w:t xml:space="preserve">igrante, </w:t>
      </w:r>
      <w:r w:rsidR="00FB0BD9">
        <w:rPr>
          <w:lang w:val="es-ES_tradnl"/>
        </w:rPr>
        <w:t xml:space="preserve">el referido espacio interinstitucional ha permitido la toma de decisiones y la elaboración de documentos como la Cartilla de ruta de atención y protección a niñez y adolescencia migrante en el año 2014, el </w:t>
      </w:r>
      <w:r w:rsidR="00FB0BD9" w:rsidRPr="00283AD1">
        <w:t>Protocolo de Protección y Atención de Niñez y Adolescencia Migrante Salvadoreña</w:t>
      </w:r>
      <w:r w:rsidR="00FB0BD9">
        <w:t xml:space="preserve"> en el año 2017, actualmente se está construyendo la </w:t>
      </w:r>
      <w:bookmarkStart w:id="1" w:name="_Hlk531682409"/>
      <w:proofErr w:type="spellStart"/>
      <w:r w:rsidR="00FB0BD9">
        <w:rPr>
          <w:lang w:val="es-ES"/>
        </w:rPr>
        <w:t>S</w:t>
      </w:r>
      <w:r w:rsidR="00FB0BD9" w:rsidRPr="00283AD1">
        <w:rPr>
          <w:lang w:val="es-ES"/>
        </w:rPr>
        <w:t>ubruta</w:t>
      </w:r>
      <w:proofErr w:type="spellEnd"/>
      <w:r w:rsidR="00FB0BD9" w:rsidRPr="00283AD1">
        <w:rPr>
          <w:lang w:val="es-ES"/>
        </w:rPr>
        <w:t xml:space="preserve"> para la atención y protección de niñas, niños o adolescentes que pudieran estar en riesgo al regresar a su lugar de origen o residencia habitual</w:t>
      </w:r>
      <w:bookmarkEnd w:id="1"/>
      <w:r w:rsidR="00FB0BD9">
        <w:rPr>
          <w:lang w:val="es-ES"/>
        </w:rPr>
        <w:t>; entre otros documentos que han permito la coordinación y articulación para atender y proteger los derechos de las niñas, niños y adolescentes migrantes; no obstante, es una realidad que la falta de ofertas programáticas (la cual como se apuntó, por mandato de Ley le corresponde a ISNA, CONMIGRANTES, entre otros) para brindar una respuesta efectiva a las niñas, niños y adolescentes y sus familias continua latente.</w:t>
      </w:r>
    </w:p>
    <w:p w:rsidR="00FB0BD9" w:rsidRDefault="00FB0BD9" w:rsidP="00FB0BD9">
      <w:pPr>
        <w:spacing w:line="240" w:lineRule="auto"/>
        <w:jc w:val="both"/>
        <w:rPr>
          <w:lang w:val="es-ES"/>
        </w:rPr>
      </w:pPr>
    </w:p>
    <w:p w:rsidR="00FB0BD9" w:rsidRDefault="00FB0BD9" w:rsidP="00FB0BD9">
      <w:pPr>
        <w:spacing w:line="240" w:lineRule="auto"/>
        <w:jc w:val="both"/>
        <w:rPr>
          <w:lang w:val="es-ES"/>
        </w:rPr>
      </w:pPr>
    </w:p>
    <w:p w:rsidR="00FB0BD9" w:rsidRDefault="00FB0BD9" w:rsidP="00FB0BD9">
      <w:pPr>
        <w:spacing w:line="240" w:lineRule="auto"/>
        <w:jc w:val="both"/>
        <w:rPr>
          <w:lang w:val="es-ES"/>
        </w:rPr>
      </w:pPr>
    </w:p>
    <w:p w:rsidR="00FB0BD9" w:rsidRDefault="00FB0BD9" w:rsidP="00FB0BD9">
      <w:pPr>
        <w:spacing w:line="240" w:lineRule="auto"/>
        <w:jc w:val="both"/>
        <w:rPr>
          <w:lang w:val="es-ES_tradnl"/>
        </w:rPr>
      </w:pPr>
    </w:p>
    <w:p w:rsidR="00FB0BD9" w:rsidRDefault="00FB0BD9" w:rsidP="00FB0BD9">
      <w:pPr>
        <w:spacing w:line="240" w:lineRule="auto"/>
        <w:jc w:val="both"/>
        <w:rPr>
          <w:lang w:val="es-ES_tradnl"/>
        </w:rPr>
      </w:pPr>
      <w:r>
        <w:rPr>
          <w:lang w:val="es-ES_tradnl"/>
        </w:rPr>
        <w:t xml:space="preserve">Asimismo, se han efectuado coordinaciones por parte de las Juntas de Protección, dependencias administrativas departamentales del CONNA, con instituciones públicas y privadas que en los territorios se encuentren como </w:t>
      </w:r>
      <w:proofErr w:type="spellStart"/>
      <w:r>
        <w:rPr>
          <w:lang w:val="es-ES_tradnl"/>
        </w:rPr>
        <w:t>Save</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Children</w:t>
      </w:r>
      <w:proofErr w:type="spellEnd"/>
      <w:r>
        <w:rPr>
          <w:lang w:val="es-ES_tradnl"/>
        </w:rPr>
        <w:t>, Aldeas Infantiles SOS, IRC, MINED, PGR, ISNA, entre otros, a fin de procurar dar respuesta oportunas a los casos de las niñas, niños y adolescentes migrantes.</w:t>
      </w:r>
    </w:p>
    <w:p w:rsidR="004C7D8A" w:rsidRDefault="004C7D8A" w:rsidP="004C7D8A">
      <w:pPr>
        <w:rPr>
          <w:rFonts w:cs="Times New Roman"/>
          <w:b/>
        </w:rPr>
      </w:pPr>
      <w:r w:rsidRPr="00FB0BD9">
        <w:rPr>
          <w:rFonts w:cs="Times New Roman"/>
          <w:b/>
        </w:rPr>
        <w:t>11.</w:t>
      </w:r>
      <w:r w:rsidRPr="00FB0BD9">
        <w:rPr>
          <w:rFonts w:cs="Times New Roman"/>
          <w:b/>
        </w:rPr>
        <w:tab/>
        <w:t>Explicación general del procedimiento de recepción y atención de la niñez migrante retornada.</w:t>
      </w:r>
    </w:p>
    <w:p w:rsidR="00FB0BD9" w:rsidRDefault="00FB0BD9" w:rsidP="00FB0BD9">
      <w:pPr>
        <w:spacing w:after="0" w:line="240" w:lineRule="auto"/>
        <w:jc w:val="both"/>
        <w:rPr>
          <w:lang w:val="es-ES_tradnl"/>
        </w:rPr>
      </w:pPr>
      <w:r w:rsidRPr="0054588A">
        <w:rPr>
          <w:lang w:val="es-ES_tradnl"/>
        </w:rPr>
        <w:t xml:space="preserve">El proceso de atención y recepción se divide en tres fases, </w:t>
      </w:r>
      <w:r>
        <w:rPr>
          <w:lang w:val="es-ES_tradnl"/>
        </w:rPr>
        <w:t>que tiene sus variaciones particulares según la niña, niño o adolescente esté acompañado o no, pero en términos generales el procedimiento se detalla a continuación</w:t>
      </w:r>
      <w:r w:rsidRPr="0054588A">
        <w:rPr>
          <w:lang w:val="es-ES_tradnl"/>
        </w:rPr>
        <w:t>:</w:t>
      </w:r>
    </w:p>
    <w:p w:rsidR="00FB0BD9" w:rsidRPr="0054588A" w:rsidRDefault="00FB0BD9" w:rsidP="00FB0BD9">
      <w:pPr>
        <w:spacing w:after="0" w:line="240" w:lineRule="auto"/>
        <w:jc w:val="both"/>
        <w:rPr>
          <w:lang w:val="es-ES_tradnl"/>
        </w:rPr>
      </w:pPr>
    </w:p>
    <w:p w:rsidR="00FB0BD9" w:rsidRPr="0054588A" w:rsidRDefault="00FB0BD9" w:rsidP="00FB0BD9">
      <w:pPr>
        <w:spacing w:after="0" w:line="240" w:lineRule="auto"/>
        <w:jc w:val="both"/>
        <w:rPr>
          <w:b/>
          <w:lang w:val="es-ES_tradnl"/>
        </w:rPr>
      </w:pPr>
      <w:r w:rsidRPr="0054588A">
        <w:rPr>
          <w:b/>
          <w:lang w:val="es-ES_tradnl"/>
        </w:rPr>
        <w:t>FASE 1: PREVIA AL RETORNO</w:t>
      </w:r>
    </w:p>
    <w:p w:rsidR="00FB0BD9" w:rsidRPr="0054588A" w:rsidRDefault="00FB0BD9" w:rsidP="00FB0BD9">
      <w:pPr>
        <w:spacing w:after="0" w:line="240" w:lineRule="auto"/>
        <w:jc w:val="both"/>
        <w:rPr>
          <w:b/>
          <w:bCs/>
        </w:rPr>
      </w:pPr>
      <w:r w:rsidRPr="0054588A">
        <w:rPr>
          <w:lang w:val="es-ES_tradnl"/>
        </w:rPr>
        <w:t>Comprende desde el momento que las niñas, niños o adolescentes son identificados en un país de tránsito o destino y puestos en contacto con la representación consular de El Salvador, quien a su vez establece comunicación con la Dirección de Asistencia y Protección para Salvadoreños en el Exterior (DAPSALEX), del Ministerio de Relaciones Exteriores (RREE), la cual tiene entre sus funciones la identificación de la niñas, niños y adolescentes, así como la obtención de documentación correspondiente, gestionar la búsqueda de familiares en su lugar de origen, la obtención de actas de familiar responsable u opinión jurídica en los casos que sea necesario en coordinación con la Procuraduría General de la República (PGR); asimismo, informa a las Juntas de protección de la Niñez y de la Adolescencia, sobre posibles casos identificados y que requieran la intervención previa de dicha dependencia administrativa, a su vez, la DAPSALEX establece coordinación con la Dirección General de Migración y Extranjería (DGME), el Equipo Multidisciplinario del Departamento de Protección (EMDP) del Consejo Nacional de la Niñez y de la Adolescencia (CONNA), y el Instituto Salvadoreño para el Desarrollo Integral de la Niñez y la Adolescencia (ISNA), la Procuraduría General de la República (PGR); a quienes se les informa fecha y hora de llegada al país, así como información referente al caso, a fin de garantizar el abordaje correspondiente al momento del retorno de la niña, niño o adolescente, con lo cual finaliza dicha fase.</w:t>
      </w:r>
      <w:r w:rsidRPr="0054588A">
        <w:rPr>
          <w:b/>
          <w:lang w:val="es-ES_tradnl"/>
        </w:rPr>
        <w:t xml:space="preserve"> </w:t>
      </w:r>
    </w:p>
    <w:p w:rsidR="00FB0BD9" w:rsidRPr="0054588A" w:rsidRDefault="00FB0BD9" w:rsidP="00FB0BD9">
      <w:pPr>
        <w:spacing w:after="0" w:line="240" w:lineRule="auto"/>
        <w:jc w:val="both"/>
      </w:pPr>
    </w:p>
    <w:p w:rsidR="00FB0BD9" w:rsidRPr="0054588A" w:rsidRDefault="00FB0BD9" w:rsidP="00FB0BD9">
      <w:pPr>
        <w:spacing w:after="0" w:line="240" w:lineRule="auto"/>
        <w:jc w:val="both"/>
        <w:rPr>
          <w:b/>
        </w:rPr>
      </w:pPr>
      <w:r w:rsidRPr="0054588A">
        <w:rPr>
          <w:b/>
        </w:rPr>
        <w:t>FASE 2: DURANTE EL RETORNO</w:t>
      </w:r>
    </w:p>
    <w:p w:rsidR="00FB0BD9" w:rsidRDefault="00FB0BD9" w:rsidP="00FB0BD9">
      <w:pPr>
        <w:spacing w:after="0" w:line="240" w:lineRule="auto"/>
        <w:jc w:val="both"/>
      </w:pPr>
      <w:r w:rsidRPr="0054588A">
        <w:t>Comprende desde el momento que la niña, niño o adolescente ingresa a las instalaciones de la Dirección General de Migración y Extranjería (DGME), tanto en los retornos aéreos como terrestres. La atención durante el retorno se refiere al registro y control migratorio por la DGME, atención médica por parte del Ministerio de Salud, atención psicológica grupal e individual por parte de ISNA, entrevista por parte del EMDP y PGR; así como a la derivación del caso a la Dirección de Atención a Víctimas (DAV) a través de la Oficina Local de Atención a Víctimas (OLAV) del Ministerio de Justicia y Seguridad e ISDEMU.</w:t>
      </w:r>
    </w:p>
    <w:p w:rsidR="00FB0BD9" w:rsidRPr="0054588A" w:rsidRDefault="00FB0BD9" w:rsidP="00FB0BD9">
      <w:pPr>
        <w:spacing w:after="0" w:line="240" w:lineRule="auto"/>
        <w:jc w:val="both"/>
      </w:pPr>
    </w:p>
    <w:p w:rsidR="00FB0BD9" w:rsidRPr="0054588A" w:rsidRDefault="00FB0BD9" w:rsidP="00FB0BD9">
      <w:pPr>
        <w:spacing w:after="0" w:line="240" w:lineRule="auto"/>
        <w:jc w:val="both"/>
        <w:rPr>
          <w:b/>
        </w:rPr>
      </w:pPr>
      <w:r w:rsidRPr="0054588A">
        <w:rPr>
          <w:b/>
        </w:rPr>
        <w:t>FASE 3: POSTERIOR AL RETORNO</w:t>
      </w:r>
    </w:p>
    <w:p w:rsidR="00FB0BD9" w:rsidRDefault="00FB0BD9" w:rsidP="00FB0BD9">
      <w:pPr>
        <w:spacing w:after="0" w:line="240" w:lineRule="auto"/>
        <w:jc w:val="both"/>
      </w:pPr>
      <w:r w:rsidRPr="0054588A">
        <w:t xml:space="preserve">Inicia una vez que el  EMDP y PGR, han concluido con la entrevista; en la intervención posterior al retorno intervienen instituciones tales como Juntas de protección, a la cual le corresponde iniciar un procedimiento administrativo de protección, PGR a través de la representación legal de las niñas, niños y adolescentes en los procedimientos administrativos, ISNA en lo correspondiente a los </w:t>
      </w:r>
    </w:p>
    <w:p w:rsidR="00FB0BD9" w:rsidRDefault="00FB0BD9" w:rsidP="00FB0BD9">
      <w:pPr>
        <w:spacing w:after="0" w:line="240" w:lineRule="auto"/>
        <w:jc w:val="both"/>
      </w:pPr>
    </w:p>
    <w:p w:rsidR="00FB0BD9" w:rsidRPr="0054588A" w:rsidRDefault="00FB0BD9" w:rsidP="00FB0BD9">
      <w:pPr>
        <w:spacing w:after="0" w:line="240" w:lineRule="auto"/>
        <w:jc w:val="both"/>
      </w:pPr>
      <w:proofErr w:type="gramStart"/>
      <w:r w:rsidRPr="0054588A">
        <w:t>programas</w:t>
      </w:r>
      <w:proofErr w:type="gramEnd"/>
      <w:r w:rsidRPr="0054588A">
        <w:t xml:space="preserve"> y el seguimiento de medidas dictadas por Juntas de Protección, DAV-OLAV para la coordinación y búsqueda de soluciones. Dichas instituciones trabajarán de manera articulada, buscando una respuesta a las necesidades de niñas, niños y adolescentes, solos o no acompañados, separados y acompañados, con el fin de brindarles una alternativa de protección a sus derechos.</w:t>
      </w:r>
    </w:p>
    <w:p w:rsidR="00FB0BD9" w:rsidRDefault="00FB0BD9" w:rsidP="004C7D8A">
      <w:pPr>
        <w:rPr>
          <w:rFonts w:cs="Times New Roman"/>
        </w:rPr>
      </w:pPr>
    </w:p>
    <w:p w:rsidR="004C7D8A" w:rsidRDefault="004C7D8A" w:rsidP="004C7D8A">
      <w:pPr>
        <w:rPr>
          <w:rFonts w:cs="Times New Roman"/>
          <w:b/>
        </w:rPr>
      </w:pPr>
      <w:r w:rsidRPr="00FB0BD9">
        <w:rPr>
          <w:rFonts w:cs="Times New Roman"/>
          <w:b/>
        </w:rPr>
        <w:t>12.</w:t>
      </w:r>
      <w:r w:rsidRPr="00FB0BD9">
        <w:rPr>
          <w:rFonts w:cs="Times New Roman"/>
          <w:b/>
        </w:rPr>
        <w:tab/>
        <w:t>¿Existen barreras (legales, políticas, financieras, administrativas, económicas, sociales y culturales) que impidan la protección efectiva de NNA migrantes no acompañados? ¿Cuáles serían?</w:t>
      </w:r>
    </w:p>
    <w:p w:rsidR="00FB0BD9" w:rsidRDefault="00FB0BD9" w:rsidP="00FB0BD9">
      <w:pPr>
        <w:spacing w:line="240" w:lineRule="auto"/>
        <w:jc w:val="both"/>
      </w:pPr>
      <w:r>
        <w:t>Es fundamental destacar que l</w:t>
      </w:r>
      <w:r w:rsidRPr="0054588A">
        <w:t>a migración de niñas, niños y adolescentes es un fenómeno multicausal e histórico</w:t>
      </w:r>
      <w:r>
        <w:t>, que para su atención se ve limitado por multiplicidad de factores, financieros, administrativos, económicos, sociales y culturales, que no dependen de una sola institución, sino que requieren de la atención en corresponsabilidad por las diferentes instituciones públicas y privadas, para brindar una protección efectiva hacia niñas, niños y adolescentes.</w:t>
      </w:r>
    </w:p>
    <w:p w:rsidR="00FB0BD9" w:rsidRDefault="00FB0BD9" w:rsidP="00FB0BD9">
      <w:pPr>
        <w:spacing w:line="240" w:lineRule="auto"/>
        <w:jc w:val="both"/>
      </w:pPr>
      <w:r>
        <w:t>Debe realizarse un examen con detenimiento de las causas principales de la migración, que tienen que ver con situaciones estructurales e históricas, como lo es el hecho que muchas niñas, niños y adolescentes migren por procurar la reunificación familiar, (atendiendo a que muchos salvadoreños emigraron hace muchos años y con el paso del tiempo anhelan estar con su familia); tiene que ver además con la búsqueda de mejores condiciones de vida, en el que se deben analizar la gama de factores económicos que inciden en que las y los salvadoreños tomen la decisión de migrar, así mismo, con la situación de violencia e inseguridad social; y además, tiene que ver con el hecho que una vez vulnerados los derechos, las alternativas programáticas para garantizar la efectividad de las medidas de protección que pueda dictar las Juntas de Protección no son posibles en algunas zonas del país; es decir, las barreras que existen son de diversos tipos y requieren corresponsabilidad desde las instituciones del Estado, hacia la sociedad civil y hacia las familias de las niñas, niños y adolescentes.</w:t>
      </w:r>
    </w:p>
    <w:p w:rsidR="004C7D8A" w:rsidRDefault="004C7D8A" w:rsidP="004C7D8A">
      <w:pPr>
        <w:rPr>
          <w:rFonts w:cs="Times New Roman"/>
          <w:b/>
        </w:rPr>
      </w:pPr>
      <w:r w:rsidRPr="00FB0BD9">
        <w:rPr>
          <w:rFonts w:cs="Times New Roman"/>
          <w:b/>
        </w:rPr>
        <w:t>13.</w:t>
      </w:r>
      <w:r w:rsidRPr="00FB0BD9">
        <w:rPr>
          <w:rFonts w:cs="Times New Roman"/>
          <w:b/>
        </w:rPr>
        <w:tab/>
        <w:t xml:space="preserve">¿Existen mecanismos de coordinación para asegurar que todas las entidades concernidas elaboren medidas efectivas para la protección de los derechos de NNA en contextos de migración no acompañada?, ¿Cuáles son, en su caso? </w:t>
      </w:r>
    </w:p>
    <w:p w:rsidR="00FB0BD9" w:rsidRDefault="00FB0BD9" w:rsidP="00FB0BD9">
      <w:pPr>
        <w:spacing w:line="240" w:lineRule="auto"/>
        <w:jc w:val="both"/>
      </w:pPr>
      <w:r>
        <w:t>Mecanismos de coordinación y articulación existen, dentro de los cuales se mencionan:</w:t>
      </w:r>
    </w:p>
    <w:p w:rsidR="00FB0BD9" w:rsidRPr="00842918" w:rsidRDefault="00FB0BD9" w:rsidP="00FB0BD9">
      <w:pPr>
        <w:spacing w:line="240" w:lineRule="auto"/>
        <w:jc w:val="both"/>
      </w:pPr>
      <w:r w:rsidRPr="00842918">
        <w:t>El Consejo Nacional para la Protección y Desarrollo de la Persona Migrante y su Familia (CONMIGRANTES)</w:t>
      </w:r>
    </w:p>
    <w:p w:rsidR="00FB0BD9" w:rsidRDefault="00FB0BD9" w:rsidP="00FB0BD9">
      <w:pPr>
        <w:spacing w:line="240" w:lineRule="auto"/>
        <w:jc w:val="both"/>
      </w:pPr>
      <w:r w:rsidRPr="00842918">
        <w:t>La Mesa de Coordinación para la Protección y Atención a Niñez y Adolescencia migrante</w:t>
      </w:r>
      <w:r>
        <w:t>, liderada por el CONNA</w:t>
      </w:r>
    </w:p>
    <w:p w:rsidR="00FB0BD9" w:rsidRDefault="00FB0BD9" w:rsidP="00FB0BD9">
      <w:pPr>
        <w:spacing w:line="240" w:lineRule="auto"/>
        <w:jc w:val="both"/>
      </w:pPr>
      <w:r>
        <w:t>Los cuales, han permitido la creación también de redes de coordinación interinstitucional a nivel operativo, se han generado referentes en la temática y se ha procurado que las instituciones según sus competencias legales se vayan empapando de manera progresiva con el enfoque de niñez y adolescencia que nos compete a todas y todos.</w:t>
      </w:r>
    </w:p>
    <w:p w:rsidR="00FB0BD9" w:rsidRDefault="00FB0BD9" w:rsidP="00FB0BD9">
      <w:pPr>
        <w:spacing w:line="240" w:lineRule="auto"/>
        <w:jc w:val="both"/>
      </w:pPr>
    </w:p>
    <w:p w:rsidR="00FB0BD9" w:rsidRDefault="00FB0BD9" w:rsidP="00FB0BD9">
      <w:pPr>
        <w:spacing w:line="240" w:lineRule="auto"/>
        <w:jc w:val="both"/>
      </w:pPr>
    </w:p>
    <w:p w:rsidR="00FB0BD9" w:rsidRDefault="00FB0BD9" w:rsidP="00FB0BD9">
      <w:pPr>
        <w:spacing w:line="240" w:lineRule="auto"/>
        <w:jc w:val="both"/>
      </w:pPr>
    </w:p>
    <w:p w:rsidR="004C7D8A" w:rsidRDefault="004C7D8A" w:rsidP="004C7D8A">
      <w:pPr>
        <w:rPr>
          <w:rFonts w:cs="Times New Roman"/>
          <w:b/>
        </w:rPr>
      </w:pPr>
      <w:r w:rsidRPr="00FB0BD9">
        <w:rPr>
          <w:rFonts w:cs="Times New Roman"/>
          <w:b/>
        </w:rPr>
        <w:t>14.</w:t>
      </w:r>
      <w:r w:rsidRPr="00FB0BD9">
        <w:rPr>
          <w:rFonts w:cs="Times New Roman"/>
          <w:b/>
        </w:rPr>
        <w:tab/>
        <w:t>¿El Sistema Nacional de Protección de la Niñez y la Adolescencia (SNPNA) reacciona de manera oportuna y coordinada para la atención a NNA migrantes no acompañados?</w:t>
      </w:r>
    </w:p>
    <w:p w:rsidR="00FB0BD9" w:rsidRDefault="00FB0BD9" w:rsidP="00FB0BD9">
      <w:pPr>
        <w:spacing w:line="240" w:lineRule="auto"/>
        <w:jc w:val="both"/>
      </w:pPr>
      <w:r>
        <w:t>Como se ha podido advertir en interrogantes anteriores, se han definido a partir del año 2014 rutas y protocolos que han permitido que las instituciones conozcan el paso a paso que se debe efectuar para la procura de la protección de las niñas, niños y adolescentes tanto en los casos de los no acompañados como los acompañados, asimismo, con apoyo financiero de ACNUR se ha podido socializar el protocolo y capacitado al personal de las diferentes que conforman el sistema y que tienen participación en las diferentes fases del retorno de la niñez y adolescencia.</w:t>
      </w:r>
    </w:p>
    <w:p w:rsidR="00FB0BD9" w:rsidRDefault="00FB0BD9" w:rsidP="00FB0BD9">
      <w:pPr>
        <w:spacing w:line="240" w:lineRule="auto"/>
        <w:jc w:val="both"/>
      </w:pPr>
      <w:r>
        <w:t>En el sentido anterior, se ha trabajado de manera oportuna siguiendo las fases citadas en la pregunta 11 del presente documento.</w:t>
      </w:r>
    </w:p>
    <w:p w:rsidR="004C7D8A" w:rsidRDefault="004C7D8A" w:rsidP="004C7D8A">
      <w:pPr>
        <w:rPr>
          <w:rFonts w:cs="Times New Roman"/>
          <w:b/>
        </w:rPr>
      </w:pPr>
      <w:r w:rsidRPr="00FB0BD9">
        <w:rPr>
          <w:rFonts w:cs="Times New Roman"/>
          <w:b/>
        </w:rPr>
        <w:t>15.</w:t>
      </w:r>
      <w:r w:rsidRPr="00FB0BD9">
        <w:rPr>
          <w:rFonts w:cs="Times New Roman"/>
          <w:b/>
        </w:rPr>
        <w:tab/>
        <w:t>Los mecanismos de seguimiento para la niñez y adolescencia retornada.</w:t>
      </w:r>
    </w:p>
    <w:p w:rsidR="00FB0BD9" w:rsidRDefault="00FB0BD9" w:rsidP="00FB0BD9">
      <w:pPr>
        <w:spacing w:line="240" w:lineRule="auto"/>
        <w:jc w:val="both"/>
      </w:pPr>
      <w:r>
        <w:t>Una vez que se advierte la necesidad del dictado de medidas de protección en favor de una niña, niño o adolescente se hace la remisión a la Juntas de Protección, las cuales, de conformidad con el artículo 159 y 161 de la LEPINA, son las competentes para conocer de oficio o a petición de parte, de las violaciones individualizadas de los derechos de las niñas, niños y adolescentes; en tal sentido, son tales entidades quienes dan trámite al procedimiento administrativo de protección en cada caso, según lo dispuesto en la LEPINA, a partir del artículo 203, dictando las medidas que considere oportunas y conforme la oferta programática que a nivel local existe; y a su vez, son ellas quienes brindan seguimiento a las medidas de protección, por ser la autoridad que las ha dictado.</w:t>
      </w:r>
    </w:p>
    <w:p w:rsidR="005D7A6F" w:rsidRDefault="004C7D8A" w:rsidP="005D7A6F">
      <w:pPr>
        <w:rPr>
          <w:rFonts w:cs="Times New Roman"/>
          <w:b/>
        </w:rPr>
      </w:pPr>
      <w:r w:rsidRPr="005D7A6F">
        <w:rPr>
          <w:rFonts w:cs="Times New Roman"/>
          <w:b/>
        </w:rPr>
        <w:t>16.</w:t>
      </w:r>
      <w:r w:rsidRPr="005D7A6F">
        <w:rPr>
          <w:rFonts w:cs="Times New Roman"/>
          <w:b/>
        </w:rPr>
        <w:tab/>
        <w:t>Los protocolos que existen para la protección de la niñez migrante en general y de la no ac</w:t>
      </w:r>
      <w:r w:rsidR="005D7A6F" w:rsidRPr="005D7A6F">
        <w:rPr>
          <w:rFonts w:cs="Times New Roman"/>
          <w:b/>
        </w:rPr>
        <w:t>ompañada en particular</w:t>
      </w:r>
    </w:p>
    <w:p w:rsidR="005D7A6F" w:rsidRDefault="005D7A6F" w:rsidP="005D7A6F">
      <w:pPr>
        <w:spacing w:line="240" w:lineRule="auto"/>
        <w:jc w:val="both"/>
      </w:pPr>
      <w:r>
        <w:t xml:space="preserve">El </w:t>
      </w:r>
      <w:r w:rsidRPr="0035521D">
        <w:t>Protocolo de Protección y Atención de Niñez y Adolescencia Migrante Salvadoreña, es aplicable</w:t>
      </w:r>
      <w:r>
        <w:t xml:space="preserve"> tanto para la población de niñez y adolescencia acompañada como la no acompañada.</w:t>
      </w:r>
    </w:p>
    <w:p w:rsidR="004C7D8A" w:rsidRDefault="004C7D8A" w:rsidP="004C7D8A">
      <w:pPr>
        <w:rPr>
          <w:rFonts w:cs="Times New Roman"/>
          <w:b/>
        </w:rPr>
      </w:pPr>
      <w:r w:rsidRPr="005D7A6F">
        <w:rPr>
          <w:rFonts w:cs="Times New Roman"/>
          <w:b/>
        </w:rPr>
        <w:t>17.</w:t>
      </w:r>
      <w:r w:rsidRPr="005D7A6F">
        <w:rPr>
          <w:rFonts w:cs="Times New Roman"/>
          <w:b/>
        </w:rPr>
        <w:tab/>
        <w:t xml:space="preserve">Las políticas públicas migratorias de El Salvador; si tales políticas tienen en cuenta la protección de los derechos de los NNA migrantes en general, y de las niñas no acompañadas en particular.  </w:t>
      </w:r>
    </w:p>
    <w:p w:rsidR="005D7A6F" w:rsidRDefault="005D7A6F" w:rsidP="005D7A6F">
      <w:pPr>
        <w:spacing w:line="240" w:lineRule="auto"/>
        <w:jc w:val="both"/>
      </w:pPr>
      <w:r>
        <w:t xml:space="preserve">Las políticas públicas en materia migratoria en El Salvador, en particular la </w:t>
      </w:r>
      <w:r w:rsidRPr="00310FB6">
        <w:t xml:space="preserve">Política Nacional </w:t>
      </w:r>
      <w:r>
        <w:t>d</w:t>
      </w:r>
      <w:r w:rsidRPr="00310FB6">
        <w:t xml:space="preserve">e Protección Integral </w:t>
      </w:r>
      <w:r>
        <w:t>d</w:t>
      </w:r>
      <w:r w:rsidRPr="00310FB6">
        <w:t xml:space="preserve">e </w:t>
      </w:r>
      <w:r>
        <w:t>l</w:t>
      </w:r>
      <w:r w:rsidRPr="00310FB6">
        <w:t xml:space="preserve">a Niñez </w:t>
      </w:r>
      <w:r>
        <w:t>y</w:t>
      </w:r>
      <w:r w:rsidRPr="00310FB6">
        <w:t xml:space="preserve"> </w:t>
      </w:r>
      <w:r>
        <w:t>d</w:t>
      </w:r>
      <w:r w:rsidRPr="00310FB6">
        <w:t xml:space="preserve">e </w:t>
      </w:r>
      <w:r>
        <w:t>l</w:t>
      </w:r>
      <w:r w:rsidRPr="00310FB6">
        <w:t>a Adolescencia</w:t>
      </w:r>
      <w:r>
        <w:t xml:space="preserve"> tiene dentro de sus líneas de acción aquellas relativas a niñez y adolescencia migrante y sus familias: Estrategia 2.3: líneas de acción 2.3.1, 2.3.2, 2.3.3, 2.3.4, 2.3.5, 2.3.6 y 2.3.7.</w:t>
      </w:r>
    </w:p>
    <w:p w:rsidR="004C7D8A" w:rsidRDefault="004C7D8A" w:rsidP="004C7D8A">
      <w:pPr>
        <w:rPr>
          <w:rFonts w:cs="Times New Roman"/>
          <w:b/>
        </w:rPr>
      </w:pPr>
      <w:r w:rsidRPr="005D7A6F">
        <w:rPr>
          <w:rFonts w:cs="Times New Roman"/>
          <w:b/>
        </w:rPr>
        <w:t>18.</w:t>
      </w:r>
      <w:r w:rsidRPr="005D7A6F">
        <w:rPr>
          <w:rFonts w:cs="Times New Roman"/>
          <w:b/>
        </w:rPr>
        <w:tab/>
        <w:t xml:space="preserve">Los resultados obtenidos de la misión oficial realizada por la señora directora ejecutiva del CONNA en agosto de 2018 a los Estados Unidos de América en el tema de la niñez migrante, según se informa en el enlace: </w:t>
      </w:r>
      <w:hyperlink r:id="rId7" w:history="1">
        <w:r w:rsidR="005D7A6F" w:rsidRPr="008E6313">
          <w:rPr>
            <w:rStyle w:val="Hipervnculo"/>
            <w:rFonts w:cs="Times New Roman"/>
            <w:b/>
          </w:rPr>
          <w:t>https://rree.gob.sv/el-salvador-continua-con-acciones-para-garantizar-el-cumplimiento-de-los-derechos-de-la-ninez-migrante-en-eua/</w:t>
        </w:r>
      </w:hyperlink>
    </w:p>
    <w:p w:rsidR="005D7A6F" w:rsidRPr="005D7A6F" w:rsidRDefault="005D7A6F" w:rsidP="005D7A6F">
      <w:pPr>
        <w:jc w:val="center"/>
        <w:rPr>
          <w:rFonts w:cs="Times New Roman"/>
          <w:b/>
        </w:rPr>
      </w:pPr>
      <w:r w:rsidRPr="005D7A6F">
        <w:rPr>
          <w:rFonts w:cs="Times New Roman"/>
          <w:b/>
        </w:rPr>
        <w:t>INFORME CONJUNTO DE MISIÓN OFICIAL</w:t>
      </w:r>
    </w:p>
    <w:p w:rsidR="005D7A6F" w:rsidRPr="005D7A6F" w:rsidRDefault="005D7A6F" w:rsidP="005D7A6F">
      <w:pPr>
        <w:jc w:val="both"/>
        <w:rPr>
          <w:rFonts w:cs="Times New Roman"/>
        </w:rPr>
      </w:pPr>
      <w:r w:rsidRPr="005D7A6F">
        <w:rPr>
          <w:rFonts w:cs="Times New Roman"/>
        </w:rPr>
        <w:t xml:space="preserve">VISITA DEL SISTEMA DE PROTECCIÓN DE NIÑEZ Y ADOLESCENCIA (CONNA), DIRECCIÓN GENERAL DE MIGRACIÓN Y EXTRANJERÍA Y MINISTERIO DE RELACIONES EXTERIORES A ESTADOS UNIDOS DE </w:t>
      </w:r>
      <w:r w:rsidRPr="005D7A6F">
        <w:rPr>
          <w:rFonts w:cs="Times New Roman"/>
        </w:rPr>
        <w:lastRenderedPageBreak/>
        <w:t>AMÉRICA EN EL MARCO DE LA MIGRACIÓN SALVADOREÑA DE NIÑOS, NIÑAS Y ADOLESCENTES Y DE LA SEPARACIÓN EN FRONTERA DE NIÑOS Y NIÑAS.</w:t>
      </w:r>
    </w:p>
    <w:p w:rsidR="005D7A6F" w:rsidRPr="005D7A6F" w:rsidRDefault="005D7A6F" w:rsidP="005D7A6F">
      <w:pPr>
        <w:jc w:val="both"/>
        <w:rPr>
          <w:rFonts w:cs="Times New Roman"/>
        </w:rPr>
      </w:pPr>
      <w:r w:rsidRPr="005D7A6F">
        <w:rPr>
          <w:rFonts w:cs="Times New Roman"/>
        </w:rPr>
        <w:t>Lugar: Washington, D.C. Estados Unidos de América, 19 al 23 de agosto de 2018</w:t>
      </w:r>
    </w:p>
    <w:p w:rsidR="005D7A6F" w:rsidRPr="005D7A6F" w:rsidRDefault="005D7A6F" w:rsidP="005D7A6F">
      <w:pPr>
        <w:jc w:val="both"/>
        <w:rPr>
          <w:rFonts w:cs="Times New Roman"/>
        </w:rPr>
      </w:pPr>
      <w:r w:rsidRPr="005D7A6F">
        <w:rPr>
          <w:rFonts w:cs="Times New Roman"/>
        </w:rPr>
        <w:t>Resumen de la Visita:</w:t>
      </w:r>
    </w:p>
    <w:p w:rsidR="005D7A6F" w:rsidRPr="005D7A6F" w:rsidRDefault="005D7A6F" w:rsidP="005D7A6F">
      <w:pPr>
        <w:jc w:val="both"/>
        <w:rPr>
          <w:rFonts w:cs="Times New Roman"/>
        </w:rPr>
      </w:pPr>
      <w:r w:rsidRPr="005D7A6F">
        <w:rPr>
          <w:rFonts w:cs="Times New Roman"/>
        </w:rPr>
        <w:t xml:space="preserve">Del 19 al 23 de agosto se llevó a cabo la visita de la señora Viceministra para Salvadoreños en el Exterior, </w:t>
      </w:r>
      <w:proofErr w:type="spellStart"/>
      <w:r w:rsidRPr="005D7A6F">
        <w:rPr>
          <w:rFonts w:cs="Times New Roman"/>
        </w:rPr>
        <w:t>Liduvina</w:t>
      </w:r>
      <w:proofErr w:type="spellEnd"/>
      <w:r w:rsidRPr="005D7A6F">
        <w:rPr>
          <w:rFonts w:cs="Times New Roman"/>
        </w:rPr>
        <w:t xml:space="preserve"> </w:t>
      </w:r>
      <w:proofErr w:type="spellStart"/>
      <w:r w:rsidRPr="005D7A6F">
        <w:rPr>
          <w:rFonts w:cs="Times New Roman"/>
        </w:rPr>
        <w:t>Magarín</w:t>
      </w:r>
      <w:proofErr w:type="spellEnd"/>
      <w:r w:rsidRPr="005D7A6F">
        <w:rPr>
          <w:rFonts w:cs="Times New Roman"/>
        </w:rPr>
        <w:t xml:space="preserve">, Zaira Navas, Directora del CONNA, Evelyn Marroquín, Directora General de la Dirección General de Migración y Extranjería, Emilia Portal, Procuradora Adjunta de Niñez de la Procuraduría General de la República, visita que se realizó a la ciudad de Washington, </w:t>
      </w:r>
      <w:proofErr w:type="spellStart"/>
      <w:r w:rsidRPr="005D7A6F">
        <w:rPr>
          <w:rFonts w:cs="Times New Roman"/>
        </w:rPr>
        <w:t>Distric</w:t>
      </w:r>
      <w:proofErr w:type="spellEnd"/>
      <w:r w:rsidRPr="005D7A6F">
        <w:rPr>
          <w:rFonts w:cs="Times New Roman"/>
        </w:rPr>
        <w:t xml:space="preserve"> of Columbia, con el objetivo de posicionar ante las diferentes autoridades y sectores en los Estados Unidos de América el enfoque de El Salvador, principalmente sobre la situación de la separación de familias migrantes en la frontera sur de Estados Unidos, así como abordar el tema de la niñez migrante no acompañada. Asimismo, la visita cumplió con el propósito que las instituciones nacionales en el tema de niñez de nuestro país dieran a conocer el marco institucional y sobre todo los mecanismos y procedimientos de acuerdo a su competencia en el tema.</w:t>
      </w:r>
    </w:p>
    <w:p w:rsidR="005D7A6F" w:rsidRPr="005D7A6F" w:rsidRDefault="005D7A6F" w:rsidP="005D7A6F">
      <w:pPr>
        <w:jc w:val="both"/>
        <w:rPr>
          <w:rFonts w:cs="Times New Roman"/>
        </w:rPr>
      </w:pPr>
      <w:r w:rsidRPr="005D7A6F">
        <w:rPr>
          <w:rFonts w:cs="Times New Roman"/>
        </w:rPr>
        <w:t>En ese mismo marco se sostuvieron importantes reuniones que se mencionan a continuación:</w:t>
      </w:r>
    </w:p>
    <w:p w:rsidR="005D7A6F" w:rsidRPr="005D7A6F" w:rsidRDefault="005D7A6F" w:rsidP="005D7A6F">
      <w:pPr>
        <w:jc w:val="both"/>
        <w:rPr>
          <w:rFonts w:cs="Times New Roman"/>
        </w:rPr>
      </w:pPr>
      <w:r w:rsidRPr="005D7A6F">
        <w:rPr>
          <w:rFonts w:cs="Times New Roman"/>
        </w:rPr>
        <w:t>• Organizaciones de Sociedad Civil en temas migratorios y en grupos poblacionales tales como mujer, niñez, familia,</w:t>
      </w:r>
    </w:p>
    <w:p w:rsidR="005D7A6F" w:rsidRPr="005D7A6F" w:rsidRDefault="005D7A6F" w:rsidP="005D7A6F">
      <w:pPr>
        <w:jc w:val="both"/>
        <w:rPr>
          <w:rFonts w:cs="Times New Roman"/>
        </w:rPr>
      </w:pPr>
      <w:r w:rsidRPr="005D7A6F">
        <w:rPr>
          <w:rFonts w:cs="Times New Roman"/>
        </w:rPr>
        <w:t>• Reuniones con representantes de Iglesias,</w:t>
      </w:r>
    </w:p>
    <w:p w:rsidR="005D7A6F" w:rsidRPr="005D7A6F" w:rsidRDefault="005D7A6F" w:rsidP="005D7A6F">
      <w:pPr>
        <w:jc w:val="both"/>
        <w:rPr>
          <w:rFonts w:cs="Times New Roman"/>
        </w:rPr>
      </w:pPr>
      <w:r w:rsidRPr="005D7A6F">
        <w:rPr>
          <w:rFonts w:cs="Times New Roman"/>
        </w:rPr>
        <w:t>• Líderes comunitarios</w:t>
      </w:r>
    </w:p>
    <w:p w:rsidR="005D7A6F" w:rsidRPr="005D7A6F" w:rsidRDefault="005D7A6F" w:rsidP="005D7A6F">
      <w:pPr>
        <w:jc w:val="both"/>
        <w:rPr>
          <w:rFonts w:cs="Times New Roman"/>
        </w:rPr>
      </w:pPr>
      <w:r w:rsidRPr="005D7A6F">
        <w:rPr>
          <w:rFonts w:cs="Times New Roman"/>
        </w:rPr>
        <w:t>• Tanques de pensamiento</w:t>
      </w:r>
    </w:p>
    <w:p w:rsidR="005D7A6F" w:rsidRPr="005D7A6F" w:rsidRDefault="005D7A6F" w:rsidP="005D7A6F">
      <w:pPr>
        <w:jc w:val="both"/>
        <w:rPr>
          <w:rFonts w:cs="Times New Roman"/>
        </w:rPr>
      </w:pPr>
      <w:r w:rsidRPr="005D7A6F">
        <w:rPr>
          <w:rFonts w:cs="Times New Roman"/>
        </w:rPr>
        <w:t>• Senadores</w:t>
      </w:r>
    </w:p>
    <w:p w:rsidR="005D7A6F" w:rsidRPr="005D7A6F" w:rsidRDefault="005D7A6F" w:rsidP="005D7A6F">
      <w:pPr>
        <w:jc w:val="both"/>
        <w:rPr>
          <w:rFonts w:cs="Times New Roman"/>
        </w:rPr>
      </w:pPr>
      <w:r w:rsidRPr="005D7A6F">
        <w:rPr>
          <w:rFonts w:cs="Times New Roman"/>
        </w:rPr>
        <w:t xml:space="preserve">Además, se realizó una visita al albergue Shenandoah Valley </w:t>
      </w:r>
      <w:proofErr w:type="spellStart"/>
      <w:r w:rsidRPr="005D7A6F">
        <w:rPr>
          <w:rFonts w:cs="Times New Roman"/>
        </w:rPr>
        <w:t>Juvenile</w:t>
      </w:r>
      <w:proofErr w:type="spellEnd"/>
      <w:r w:rsidRPr="005D7A6F">
        <w:rPr>
          <w:rFonts w:cs="Times New Roman"/>
        </w:rPr>
        <w:t xml:space="preserve"> Center, ubicado en el estado de Virginia y en el cual se encontraron a tres salvadoreños/a adolescentes migrantes que ingresaron a los Estados Unidos de América de forma no acompañada.</w:t>
      </w:r>
    </w:p>
    <w:p w:rsidR="005D7A6F" w:rsidRPr="005D7A6F" w:rsidRDefault="005D7A6F" w:rsidP="005D7A6F">
      <w:pPr>
        <w:jc w:val="both"/>
        <w:rPr>
          <w:rFonts w:cs="Times New Roman"/>
        </w:rPr>
      </w:pPr>
      <w:r w:rsidRPr="005D7A6F">
        <w:rPr>
          <w:rFonts w:cs="Times New Roman"/>
        </w:rPr>
        <w:t>Paralelo a la visita se consideró de principal importancia divulgar las acciones impulsadas por El Salvador en temas migratorios y en temas particulares de niñez migrante y por ello se realizaron 6 entrevistas de parte de la delegación, con diferentes medios de comunicación explicando el propósito y resultados de la visita.</w:t>
      </w:r>
    </w:p>
    <w:p w:rsidR="005D7A6F" w:rsidRPr="005D7A6F" w:rsidRDefault="005D7A6F" w:rsidP="005D7A6F">
      <w:pPr>
        <w:jc w:val="both"/>
        <w:rPr>
          <w:rFonts w:cs="Times New Roman"/>
        </w:rPr>
      </w:pPr>
      <w:r w:rsidRPr="005D7A6F">
        <w:rPr>
          <w:rFonts w:cs="Times New Roman"/>
        </w:rPr>
        <w:t xml:space="preserve">En el marco de esa visita a Washington, la Viceministra </w:t>
      </w:r>
      <w:proofErr w:type="spellStart"/>
      <w:r w:rsidRPr="005D7A6F">
        <w:rPr>
          <w:rFonts w:cs="Times New Roman"/>
        </w:rPr>
        <w:t>Magarín</w:t>
      </w:r>
      <w:proofErr w:type="spellEnd"/>
      <w:r w:rsidRPr="005D7A6F">
        <w:rPr>
          <w:rFonts w:cs="Times New Roman"/>
        </w:rPr>
        <w:t xml:space="preserve"> hizo público el caso de abuso sexual en adolescentes albergadas en Estados Unidos, en el Estado de Arizona.</w:t>
      </w:r>
    </w:p>
    <w:p w:rsidR="005D7A6F" w:rsidRPr="005D7A6F" w:rsidRDefault="005D7A6F" w:rsidP="005D7A6F">
      <w:pPr>
        <w:jc w:val="both"/>
        <w:rPr>
          <w:rFonts w:cs="Times New Roman"/>
        </w:rPr>
      </w:pPr>
      <w:r w:rsidRPr="005D7A6F">
        <w:rPr>
          <w:rFonts w:cs="Times New Roman"/>
        </w:rPr>
        <w:t>Breve descripción de las reuniones sostenidas y visitas realizadas:</w:t>
      </w:r>
    </w:p>
    <w:p w:rsidR="005D7A6F" w:rsidRPr="005D7A6F" w:rsidRDefault="005D7A6F" w:rsidP="005D7A6F">
      <w:pPr>
        <w:jc w:val="both"/>
        <w:rPr>
          <w:rFonts w:cs="Times New Roman"/>
        </w:rPr>
      </w:pPr>
      <w:r w:rsidRPr="005D7A6F">
        <w:rPr>
          <w:rFonts w:cs="Times New Roman"/>
        </w:rPr>
        <w:t>20 de agosto de 2018 Reunión con organizaciones pro-migratorias:</w:t>
      </w:r>
    </w:p>
    <w:p w:rsidR="005D7A6F" w:rsidRPr="005D7A6F" w:rsidRDefault="005D7A6F" w:rsidP="005D7A6F">
      <w:pPr>
        <w:jc w:val="both"/>
        <w:rPr>
          <w:rFonts w:cs="Times New Roman"/>
          <w:lang w:val="en-US"/>
        </w:rPr>
      </w:pPr>
      <w:r w:rsidRPr="005D7A6F">
        <w:rPr>
          <w:rFonts w:cs="Times New Roman"/>
          <w:lang w:val="en-US"/>
        </w:rPr>
        <w:t>• LGSW/MPH</w:t>
      </w:r>
    </w:p>
    <w:p w:rsidR="005D7A6F" w:rsidRPr="005D7A6F" w:rsidRDefault="005D7A6F" w:rsidP="005D7A6F">
      <w:pPr>
        <w:jc w:val="both"/>
        <w:rPr>
          <w:rFonts w:cs="Times New Roman"/>
          <w:lang w:val="en-US"/>
        </w:rPr>
      </w:pPr>
      <w:r w:rsidRPr="005D7A6F">
        <w:rPr>
          <w:rFonts w:cs="Times New Roman"/>
          <w:lang w:val="en-US"/>
        </w:rPr>
        <w:t>• Program and Training Manager</w:t>
      </w:r>
    </w:p>
    <w:p w:rsidR="005D7A6F" w:rsidRPr="005D7A6F" w:rsidRDefault="005D7A6F" w:rsidP="005D7A6F">
      <w:pPr>
        <w:jc w:val="both"/>
        <w:rPr>
          <w:rFonts w:cs="Times New Roman"/>
          <w:lang w:val="en-US"/>
        </w:rPr>
      </w:pPr>
      <w:r w:rsidRPr="005D7A6F">
        <w:rPr>
          <w:rFonts w:cs="Times New Roman"/>
          <w:lang w:val="en-US"/>
        </w:rPr>
        <w:t>• International Social Service, USA</w:t>
      </w:r>
    </w:p>
    <w:p w:rsidR="005D7A6F" w:rsidRPr="005D7A6F" w:rsidRDefault="005D7A6F" w:rsidP="005D7A6F">
      <w:pPr>
        <w:jc w:val="both"/>
        <w:rPr>
          <w:rFonts w:cs="Times New Roman"/>
          <w:lang w:val="en-US"/>
        </w:rPr>
      </w:pPr>
      <w:r w:rsidRPr="005D7A6F">
        <w:rPr>
          <w:rFonts w:cs="Times New Roman"/>
          <w:lang w:val="en-US"/>
        </w:rPr>
        <w:lastRenderedPageBreak/>
        <w:t>• Evangelical Lutheran Church in America</w:t>
      </w:r>
    </w:p>
    <w:p w:rsidR="005D7A6F" w:rsidRPr="005D7A6F" w:rsidRDefault="005D7A6F" w:rsidP="005D7A6F">
      <w:pPr>
        <w:jc w:val="both"/>
        <w:rPr>
          <w:rFonts w:cs="Times New Roman"/>
          <w:lang w:val="en-US"/>
        </w:rPr>
      </w:pPr>
      <w:r w:rsidRPr="005D7A6F">
        <w:rPr>
          <w:rFonts w:cs="Times New Roman"/>
          <w:lang w:val="en-US"/>
        </w:rPr>
        <w:t>• U.S. Committee for Refugees and Immigrant (USCRI)</w:t>
      </w:r>
    </w:p>
    <w:p w:rsidR="005D7A6F" w:rsidRPr="005D7A6F" w:rsidRDefault="005D7A6F" w:rsidP="005D7A6F">
      <w:pPr>
        <w:jc w:val="both"/>
        <w:rPr>
          <w:rFonts w:cs="Times New Roman"/>
          <w:lang w:val="en-US"/>
        </w:rPr>
      </w:pPr>
      <w:r w:rsidRPr="005D7A6F">
        <w:rPr>
          <w:rFonts w:cs="Times New Roman"/>
          <w:lang w:val="en-US"/>
        </w:rPr>
        <w:t>• CARECEN/Washington, DC</w:t>
      </w:r>
    </w:p>
    <w:p w:rsidR="005D7A6F" w:rsidRPr="005D7A6F" w:rsidRDefault="005D7A6F" w:rsidP="005D7A6F">
      <w:pPr>
        <w:jc w:val="both"/>
        <w:rPr>
          <w:rFonts w:cs="Times New Roman"/>
          <w:lang w:val="en-US"/>
        </w:rPr>
      </w:pPr>
      <w:r w:rsidRPr="005D7A6F">
        <w:rPr>
          <w:rFonts w:cs="Times New Roman"/>
          <w:lang w:val="en-US"/>
        </w:rPr>
        <w:t>• Catholic Legal Immigration Network</w:t>
      </w:r>
    </w:p>
    <w:p w:rsidR="005D7A6F" w:rsidRPr="005D7A6F" w:rsidRDefault="005D7A6F" w:rsidP="005D7A6F">
      <w:pPr>
        <w:jc w:val="both"/>
        <w:rPr>
          <w:rFonts w:cs="Times New Roman"/>
        </w:rPr>
      </w:pPr>
      <w:r w:rsidRPr="005D7A6F">
        <w:rPr>
          <w:rFonts w:cs="Times New Roman"/>
        </w:rPr>
        <w:t xml:space="preserve">• American </w:t>
      </w:r>
      <w:proofErr w:type="spellStart"/>
      <w:r w:rsidRPr="005D7A6F">
        <w:rPr>
          <w:rFonts w:cs="Times New Roman"/>
        </w:rPr>
        <w:t>Immigration</w:t>
      </w:r>
      <w:proofErr w:type="spellEnd"/>
      <w:r w:rsidRPr="005D7A6F">
        <w:rPr>
          <w:rFonts w:cs="Times New Roman"/>
        </w:rPr>
        <w:t xml:space="preserve"> Council</w:t>
      </w:r>
    </w:p>
    <w:p w:rsidR="005D7A6F" w:rsidRPr="005D7A6F" w:rsidRDefault="005D7A6F" w:rsidP="005D7A6F">
      <w:pPr>
        <w:jc w:val="both"/>
        <w:rPr>
          <w:rFonts w:cs="Times New Roman"/>
        </w:rPr>
      </w:pPr>
      <w:r w:rsidRPr="005D7A6F">
        <w:rPr>
          <w:rFonts w:cs="Times New Roman"/>
        </w:rPr>
        <w:t>• Casa Parroquial de la Iglesia Sagrado Corazón</w:t>
      </w:r>
    </w:p>
    <w:p w:rsidR="005D7A6F" w:rsidRPr="005D7A6F" w:rsidRDefault="005D7A6F" w:rsidP="005D7A6F">
      <w:pPr>
        <w:jc w:val="both"/>
        <w:rPr>
          <w:rFonts w:cs="Times New Roman"/>
        </w:rPr>
      </w:pPr>
      <w:r w:rsidRPr="005D7A6F">
        <w:rPr>
          <w:rFonts w:cs="Times New Roman"/>
        </w:rPr>
        <w:t>Se comparte información relativa a la situación de los niños, niñas y adolescentes migrantes separados en el marco de la política denominada Cero Tolerancia.</w:t>
      </w:r>
    </w:p>
    <w:p w:rsidR="005D7A6F" w:rsidRPr="005D7A6F" w:rsidRDefault="005D7A6F" w:rsidP="005D7A6F">
      <w:pPr>
        <w:jc w:val="both"/>
        <w:rPr>
          <w:rFonts w:cs="Times New Roman"/>
        </w:rPr>
      </w:pPr>
      <w:r w:rsidRPr="005D7A6F">
        <w:rPr>
          <w:rFonts w:cs="Times New Roman"/>
        </w:rPr>
        <w:t>Que conocen y reconocen que los flujos migratorios salvadoreños han bajado y que ello se mide en los retornos y aprensiones de migrantes.</w:t>
      </w:r>
    </w:p>
    <w:p w:rsidR="005D7A6F" w:rsidRPr="005D7A6F" w:rsidRDefault="005D7A6F" w:rsidP="005D7A6F">
      <w:pPr>
        <w:jc w:val="both"/>
        <w:rPr>
          <w:rFonts w:cs="Times New Roman"/>
        </w:rPr>
      </w:pPr>
      <w:r w:rsidRPr="005D7A6F">
        <w:rPr>
          <w:rFonts w:cs="Times New Roman"/>
        </w:rPr>
        <w:t>Las instituciones de niñez y adolescencia dieron a conocer el trabajo que realizan en el país y como pueden jugar un papel relevante para trabajar sobre la situación de separación de niños y niñas, o en el tema de los niños migrantes en general.</w:t>
      </w:r>
    </w:p>
    <w:p w:rsidR="005D7A6F" w:rsidRPr="005D7A6F" w:rsidRDefault="005D7A6F" w:rsidP="005D7A6F">
      <w:pPr>
        <w:jc w:val="both"/>
        <w:rPr>
          <w:rFonts w:cs="Times New Roman"/>
        </w:rPr>
      </w:pPr>
      <w:r w:rsidRPr="005D7A6F">
        <w:rPr>
          <w:rFonts w:cs="Times New Roman"/>
        </w:rPr>
        <w:t xml:space="preserve">21 de agosto de 2018, visita Shenandoah Valley </w:t>
      </w:r>
      <w:proofErr w:type="spellStart"/>
      <w:r w:rsidRPr="005D7A6F">
        <w:rPr>
          <w:rFonts w:cs="Times New Roman"/>
        </w:rPr>
        <w:t>Juvenile</w:t>
      </w:r>
      <w:proofErr w:type="spellEnd"/>
      <w:r w:rsidRPr="005D7A6F">
        <w:rPr>
          <w:rFonts w:cs="Times New Roman"/>
        </w:rPr>
        <w:t xml:space="preserve"> Center. Es un albergue fuera de la ciudad de Washington, DC, en las afueras de Virginia y en el cual encontramos a tres adolescentes, una del sexo femenino y dos del sexo masculino. Se pudo constatar las condiciones en las cuales se encontraban y pudimos sostener un diálogo sincero y pausado sobre cada caso particular. Se sostuvieron reuniones con el responsable del albergue, algunos empleados, trabajadores sociales y además de realizar un recorrido exhaustivo de las instalaciones.</w:t>
      </w:r>
    </w:p>
    <w:p w:rsidR="005D7A6F" w:rsidRPr="005D7A6F" w:rsidRDefault="005D7A6F" w:rsidP="005D7A6F">
      <w:pPr>
        <w:jc w:val="both"/>
        <w:rPr>
          <w:rFonts w:cs="Times New Roman"/>
        </w:rPr>
      </w:pPr>
      <w:r w:rsidRPr="005D7A6F">
        <w:rPr>
          <w:rFonts w:cs="Times New Roman"/>
        </w:rPr>
        <w:t>22 de agosto de 2018, reuniones en Wilson Center. Reunión con tanques de pensamiento.</w:t>
      </w:r>
    </w:p>
    <w:p w:rsidR="005D7A6F" w:rsidRPr="005D7A6F" w:rsidRDefault="005D7A6F" w:rsidP="005D7A6F">
      <w:pPr>
        <w:jc w:val="both"/>
        <w:rPr>
          <w:rFonts w:cs="Times New Roman"/>
          <w:lang w:val="en-US"/>
        </w:rPr>
      </w:pPr>
      <w:proofErr w:type="spellStart"/>
      <w:r w:rsidRPr="005D7A6F">
        <w:rPr>
          <w:rFonts w:cs="Times New Roman"/>
          <w:lang w:val="en-US"/>
        </w:rPr>
        <w:t>Presentes</w:t>
      </w:r>
      <w:proofErr w:type="spellEnd"/>
      <w:r w:rsidRPr="005D7A6F">
        <w:rPr>
          <w:rFonts w:cs="Times New Roman"/>
          <w:lang w:val="en-US"/>
        </w:rPr>
        <w:t xml:space="preserve">: WOLA, Save the Children, </w:t>
      </w:r>
      <w:proofErr w:type="spellStart"/>
      <w:r w:rsidRPr="005D7A6F">
        <w:rPr>
          <w:rFonts w:cs="Times New Roman"/>
          <w:lang w:val="en-US"/>
        </w:rPr>
        <w:t>Diálogo</w:t>
      </w:r>
      <w:proofErr w:type="spellEnd"/>
      <w:r w:rsidRPr="005D7A6F">
        <w:rPr>
          <w:rFonts w:cs="Times New Roman"/>
          <w:lang w:val="en-US"/>
        </w:rPr>
        <w:t xml:space="preserve"> </w:t>
      </w:r>
      <w:proofErr w:type="spellStart"/>
      <w:r w:rsidRPr="005D7A6F">
        <w:rPr>
          <w:rFonts w:cs="Times New Roman"/>
          <w:lang w:val="en-US"/>
        </w:rPr>
        <w:t>latinoamericano</w:t>
      </w:r>
      <w:proofErr w:type="spellEnd"/>
      <w:r w:rsidRPr="005D7A6F">
        <w:rPr>
          <w:rFonts w:cs="Times New Roman"/>
          <w:lang w:val="en-US"/>
        </w:rPr>
        <w:t xml:space="preserve">, </w:t>
      </w:r>
      <w:proofErr w:type="spellStart"/>
      <w:r w:rsidRPr="005D7A6F">
        <w:rPr>
          <w:rFonts w:cs="Times New Roman"/>
          <w:lang w:val="en-US"/>
        </w:rPr>
        <w:t>Dueprocess</w:t>
      </w:r>
      <w:proofErr w:type="spellEnd"/>
      <w:r w:rsidRPr="005D7A6F">
        <w:rPr>
          <w:rFonts w:cs="Times New Roman"/>
          <w:lang w:val="en-US"/>
        </w:rPr>
        <w:t xml:space="preserve"> of law </w:t>
      </w:r>
      <w:proofErr w:type="spellStart"/>
      <w:r w:rsidRPr="005D7A6F">
        <w:rPr>
          <w:rFonts w:cs="Times New Roman"/>
          <w:lang w:val="en-US"/>
        </w:rPr>
        <w:t>fundation</w:t>
      </w:r>
      <w:proofErr w:type="spellEnd"/>
      <w:r w:rsidRPr="005D7A6F">
        <w:rPr>
          <w:rFonts w:cs="Times New Roman"/>
          <w:lang w:val="en-US"/>
        </w:rPr>
        <w:t>.</w:t>
      </w:r>
    </w:p>
    <w:p w:rsidR="005D7A6F" w:rsidRPr="005D7A6F" w:rsidRDefault="005D7A6F" w:rsidP="005D7A6F">
      <w:pPr>
        <w:jc w:val="both"/>
        <w:rPr>
          <w:rFonts w:cs="Times New Roman"/>
        </w:rPr>
      </w:pPr>
      <w:r w:rsidRPr="005D7A6F">
        <w:rPr>
          <w:rFonts w:cs="Times New Roman"/>
        </w:rPr>
        <w:t xml:space="preserve">Se entabla un diálogo sobre el impacto en niños, niñas, padres, madres, sobre la separación familiar enmarcada en el plan cero </w:t>
      </w:r>
      <w:proofErr w:type="gramStart"/>
      <w:r w:rsidRPr="005D7A6F">
        <w:rPr>
          <w:rFonts w:cs="Times New Roman"/>
        </w:rPr>
        <w:t>tolerancia</w:t>
      </w:r>
      <w:proofErr w:type="gramEnd"/>
      <w:r w:rsidRPr="005D7A6F">
        <w:rPr>
          <w:rFonts w:cs="Times New Roman"/>
        </w:rPr>
        <w:t>, el número de personas afectadas por dicho plan para el caso salvadoreño.</w:t>
      </w:r>
    </w:p>
    <w:p w:rsidR="005D7A6F" w:rsidRPr="005D7A6F" w:rsidRDefault="005D7A6F" w:rsidP="005D7A6F">
      <w:pPr>
        <w:jc w:val="both"/>
        <w:rPr>
          <w:rFonts w:cs="Times New Roman"/>
        </w:rPr>
      </w:pPr>
      <w:r w:rsidRPr="005D7A6F">
        <w:rPr>
          <w:rFonts w:cs="Times New Roman"/>
        </w:rPr>
        <w:t>Ese mismo día se realizaron tres reuniones con senadores y con sus asesores, espacio en el cual se pudo discutir el tema de los niños y niñas migrantes, sobre los efectos de la política Cero Tolerancia, sobre la dificultad de obtener datos oportunos y certeros de ese proceso de separación familiar. Se posicionó además el interés de nuestro país en los temas migratorios y se comparte todas las acciones, políticas públicas que nos encontramos impulsando.</w:t>
      </w:r>
    </w:p>
    <w:p w:rsidR="005D7A6F" w:rsidRPr="005D7A6F" w:rsidRDefault="005D7A6F" w:rsidP="005D7A6F">
      <w:pPr>
        <w:jc w:val="both"/>
        <w:rPr>
          <w:rFonts w:cs="Times New Roman"/>
        </w:rPr>
      </w:pPr>
      <w:r w:rsidRPr="005D7A6F">
        <w:rPr>
          <w:rFonts w:cs="Times New Roman"/>
        </w:rPr>
        <w:t>Resultados obtenidos de la Visita:</w:t>
      </w:r>
    </w:p>
    <w:p w:rsidR="005D7A6F" w:rsidRPr="005D7A6F" w:rsidRDefault="005D7A6F" w:rsidP="005D7A6F">
      <w:pPr>
        <w:jc w:val="both"/>
        <w:rPr>
          <w:rFonts w:cs="Times New Roman"/>
        </w:rPr>
      </w:pPr>
      <w:r w:rsidRPr="005D7A6F">
        <w:rPr>
          <w:rFonts w:cs="Times New Roman"/>
        </w:rPr>
        <w:t>Las representantes de las instituciones pudieron constatar de primera mano las políticas que impulsa el gobierno de Estados Unidos así como el accionar de la sociedad civil en el tema migratorio.</w:t>
      </w:r>
    </w:p>
    <w:p w:rsidR="005D7A6F" w:rsidRDefault="005D7A6F" w:rsidP="005D7A6F">
      <w:pPr>
        <w:jc w:val="both"/>
        <w:rPr>
          <w:rFonts w:cs="Times New Roman"/>
        </w:rPr>
      </w:pPr>
      <w:r w:rsidRPr="005D7A6F">
        <w:rPr>
          <w:rFonts w:cs="Times New Roman"/>
        </w:rPr>
        <w:t>Unidad y un frente común en temas de niñez que permitirán ordenar procesos y priorizar institucionalmente el tema migratorio, especialmente de este grupo poblacional.</w:t>
      </w:r>
    </w:p>
    <w:p w:rsidR="007002F0" w:rsidRPr="005D7A6F" w:rsidRDefault="007002F0" w:rsidP="005D7A6F">
      <w:pPr>
        <w:jc w:val="both"/>
        <w:rPr>
          <w:rFonts w:cs="Times New Roman"/>
        </w:rPr>
      </w:pPr>
    </w:p>
    <w:p w:rsidR="005D7A6F" w:rsidRPr="005D7A6F" w:rsidRDefault="005D7A6F" w:rsidP="005D7A6F">
      <w:pPr>
        <w:jc w:val="both"/>
        <w:rPr>
          <w:rFonts w:cs="Times New Roman"/>
        </w:rPr>
      </w:pPr>
      <w:r w:rsidRPr="005D7A6F">
        <w:rPr>
          <w:rFonts w:cs="Times New Roman"/>
        </w:rPr>
        <w:t>Las organizaciones sociales y eclesiales manifestaron su reconocimiento a nuestro país, por siempre estar exigiendo el respeto a los derechos humanos de los salvadoreños y salvadoreñas migrantes, no importando los escenarios y coyunturas, además reconocieron en gran medida las acciones emprendidas para generar arraigo así como atención a los compatriotas en el exterior.</w:t>
      </w:r>
    </w:p>
    <w:p w:rsidR="005D7A6F" w:rsidRPr="005D7A6F" w:rsidRDefault="005D7A6F" w:rsidP="005D7A6F">
      <w:pPr>
        <w:jc w:val="both"/>
        <w:rPr>
          <w:rFonts w:cs="Times New Roman"/>
        </w:rPr>
      </w:pPr>
      <w:r w:rsidRPr="005D7A6F">
        <w:rPr>
          <w:rFonts w:cs="Times New Roman"/>
        </w:rPr>
        <w:t>Se dejó en firme el compromiso de las organizaciones y tanques de pensamiento de continuar apoyando a la comunidad Salvadoreña y dando el apoyo en asesorías legales migratorias.</w:t>
      </w:r>
    </w:p>
    <w:p w:rsidR="005D7A6F" w:rsidRPr="005D7A6F" w:rsidRDefault="005D7A6F" w:rsidP="005D7A6F">
      <w:pPr>
        <w:jc w:val="both"/>
        <w:rPr>
          <w:rFonts w:cs="Times New Roman"/>
        </w:rPr>
      </w:pPr>
      <w:r w:rsidRPr="005D7A6F">
        <w:rPr>
          <w:rFonts w:cs="Times New Roman"/>
        </w:rPr>
        <w:t>Diálogo con las autoridades del centro de jóvenes en cuanto a agilizar sus procesos y garantizar sus derechos humanos no obstante su estatus migratorio.</w:t>
      </w:r>
    </w:p>
    <w:p w:rsidR="005D7A6F" w:rsidRPr="005D7A6F" w:rsidRDefault="005D7A6F" w:rsidP="005D7A6F">
      <w:pPr>
        <w:jc w:val="both"/>
        <w:rPr>
          <w:rFonts w:cs="Times New Roman"/>
        </w:rPr>
      </w:pPr>
      <w:r w:rsidRPr="005D7A6F">
        <w:rPr>
          <w:rFonts w:cs="Times New Roman"/>
        </w:rPr>
        <w:t>También las representantes de las instituciones pudieron constatar de primera mano las políticas que impulsa el gobierno de Estados Unidos, así como el accionar de la sociedad civil en el tema migratorio.</w:t>
      </w:r>
    </w:p>
    <w:p w:rsidR="005D7A6F" w:rsidRPr="005D7A6F" w:rsidRDefault="005D7A6F" w:rsidP="005D7A6F">
      <w:pPr>
        <w:jc w:val="both"/>
        <w:rPr>
          <w:rFonts w:cs="Times New Roman"/>
        </w:rPr>
      </w:pPr>
      <w:r w:rsidRPr="005D7A6F">
        <w:rPr>
          <w:rFonts w:cs="Times New Roman"/>
        </w:rPr>
        <w:t>Se pudo posicionar que en El Salvador exista unidad y un frente común en temas de niñez que permitirán ordenar procesos y priorizar institucionalmente el tema migratorio, especialmente de este grupo poblacional.</w:t>
      </w:r>
    </w:p>
    <w:p w:rsidR="005D7A6F" w:rsidRPr="005D7A6F" w:rsidRDefault="005D7A6F" w:rsidP="005D7A6F">
      <w:pPr>
        <w:jc w:val="both"/>
        <w:rPr>
          <w:rFonts w:cs="Times New Roman"/>
        </w:rPr>
      </w:pPr>
      <w:r w:rsidRPr="005D7A6F">
        <w:rPr>
          <w:rFonts w:cs="Times New Roman"/>
        </w:rPr>
        <w:t>Las organizaciones sociales y eclesiales manifestaron su reconocimiento a nuestro país, por siempre estar exigiendo el respeto a los derechos humanos de los salvadoreños y salvadoreñas migrantes, no importando los escenarios y coyunturas, además reconocieron en gran medida las acciones emprendidas para generar arraigo, así como atención a los compatriotas en el exterior.</w:t>
      </w:r>
    </w:p>
    <w:p w:rsidR="007002F0" w:rsidRDefault="007002F0">
      <w:pPr>
        <w:rPr>
          <w:rFonts w:cs="Times New Roman"/>
        </w:rPr>
      </w:pPr>
    </w:p>
    <w:p w:rsidR="0047319A" w:rsidRPr="0047319A" w:rsidRDefault="007002F0">
      <w:pPr>
        <w:rPr>
          <w:rFonts w:cs="Times New Roman"/>
        </w:rPr>
      </w:pPr>
      <w:r>
        <w:rPr>
          <w:rFonts w:cs="Times New Roman"/>
        </w:rPr>
        <w:t>En espera de que la información sea a su satisfacción.</w:t>
      </w:r>
    </w:p>
    <w:p w:rsidR="007002F0" w:rsidRDefault="007002F0">
      <w:pPr>
        <w:rPr>
          <w:rFonts w:cs="Times New Roman"/>
        </w:rPr>
      </w:pPr>
    </w:p>
    <w:p w:rsidR="00835221" w:rsidRPr="0047319A" w:rsidRDefault="00107C91">
      <w:pPr>
        <w:rPr>
          <w:rFonts w:cs="Times New Roman"/>
        </w:rPr>
      </w:pPr>
      <w:r w:rsidRPr="0047319A">
        <w:rPr>
          <w:rFonts w:cs="Times New Roman"/>
        </w:rPr>
        <w:t>Atentamente,</w:t>
      </w:r>
    </w:p>
    <w:p w:rsidR="0047319A" w:rsidRPr="0047319A" w:rsidRDefault="0047319A">
      <w:pPr>
        <w:rPr>
          <w:rFonts w:cs="Times New Roman"/>
        </w:rPr>
      </w:pPr>
    </w:p>
    <w:p w:rsidR="0047319A" w:rsidRPr="0047319A" w:rsidRDefault="0047319A">
      <w:pPr>
        <w:rPr>
          <w:rFonts w:cs="Times New Roman"/>
        </w:rPr>
      </w:pPr>
    </w:p>
    <w:p w:rsidR="0047319A" w:rsidRPr="0047319A" w:rsidRDefault="0047319A" w:rsidP="0047319A">
      <w:pPr>
        <w:spacing w:after="0" w:line="240" w:lineRule="auto"/>
        <w:jc w:val="center"/>
        <w:rPr>
          <w:rFonts w:cs="Times New Roman"/>
          <w:b/>
        </w:rPr>
      </w:pPr>
      <w:r w:rsidRPr="0047319A">
        <w:rPr>
          <w:rFonts w:cs="Times New Roman"/>
          <w:b/>
        </w:rPr>
        <w:t>Silvia Soledad Orellana Guillén</w:t>
      </w:r>
    </w:p>
    <w:p w:rsidR="0047319A" w:rsidRPr="0047319A" w:rsidRDefault="0047319A" w:rsidP="0047319A">
      <w:pPr>
        <w:spacing w:after="0" w:line="240" w:lineRule="auto"/>
        <w:jc w:val="center"/>
        <w:rPr>
          <w:rFonts w:cs="Times New Roman"/>
          <w:b/>
        </w:rPr>
      </w:pPr>
      <w:r w:rsidRPr="0047319A">
        <w:rPr>
          <w:rFonts w:cs="Times New Roman"/>
          <w:b/>
        </w:rPr>
        <w:t>Oficial de Información</w:t>
      </w:r>
    </w:p>
    <w:sectPr w:rsidR="0047319A" w:rsidRPr="0047319A" w:rsidSect="004C685C">
      <w:head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F3E" w:rsidRDefault="00907F3E" w:rsidP="00C60725">
      <w:pPr>
        <w:spacing w:after="0" w:line="240" w:lineRule="auto"/>
      </w:pPr>
      <w:r>
        <w:separator/>
      </w:r>
    </w:p>
  </w:endnote>
  <w:endnote w:type="continuationSeparator" w:id="0">
    <w:p w:rsidR="00907F3E" w:rsidRDefault="00907F3E" w:rsidP="00C6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F3E" w:rsidRDefault="00907F3E" w:rsidP="00C60725">
      <w:pPr>
        <w:spacing w:after="0" w:line="240" w:lineRule="auto"/>
      </w:pPr>
      <w:r>
        <w:separator/>
      </w:r>
    </w:p>
  </w:footnote>
  <w:footnote w:type="continuationSeparator" w:id="0">
    <w:p w:rsidR="00907F3E" w:rsidRDefault="00907F3E" w:rsidP="00C60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8A" w:rsidRDefault="004C7D8A">
    <w:pPr>
      <w:pStyle w:val="Encabezado"/>
    </w:pPr>
    <w:r>
      <w:rPr>
        <w:noProof/>
        <w:lang w:eastAsia="es-SV"/>
      </w:rPr>
      <w:drawing>
        <wp:anchor distT="0" distB="0" distL="114300" distR="114300" simplePos="0" relativeHeight="251661312" behindDoc="1" locked="0" layoutInCell="1" allowOverlap="1" wp14:anchorId="6136F2A3" wp14:editId="14074BE2">
          <wp:simplePos x="0" y="0"/>
          <wp:positionH relativeFrom="margin">
            <wp:posOffset>4787265</wp:posOffset>
          </wp:positionH>
          <wp:positionV relativeFrom="paragraph">
            <wp:posOffset>-135255</wp:posOffset>
          </wp:positionV>
          <wp:extent cx="858425" cy="6000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425" cy="600075"/>
                  </a:xfrm>
                  <a:prstGeom prst="rect">
                    <a:avLst/>
                  </a:prstGeom>
                  <a:noFill/>
                </pic:spPr>
              </pic:pic>
            </a:graphicData>
          </a:graphic>
          <wp14:sizeRelH relativeFrom="page">
            <wp14:pctWidth>0</wp14:pctWidth>
          </wp14:sizeRelH>
          <wp14:sizeRelV relativeFrom="page">
            <wp14:pctHeight>0</wp14:pctHeight>
          </wp14:sizeRelV>
        </wp:anchor>
      </w:drawing>
    </w:r>
    <w:r w:rsidRPr="00A92F9A">
      <w:rPr>
        <w:noProof/>
        <w:lang w:eastAsia="es-SV"/>
      </w:rPr>
      <w:drawing>
        <wp:anchor distT="0" distB="0" distL="114300" distR="114300" simplePos="0" relativeHeight="251659264" behindDoc="1" locked="0" layoutInCell="1" allowOverlap="1" wp14:anchorId="3EA55C68" wp14:editId="68D6CA03">
          <wp:simplePos x="0" y="0"/>
          <wp:positionH relativeFrom="margin">
            <wp:posOffset>-57150</wp:posOffset>
          </wp:positionH>
          <wp:positionV relativeFrom="paragraph">
            <wp:posOffset>-85725</wp:posOffset>
          </wp:positionV>
          <wp:extent cx="638175" cy="628650"/>
          <wp:effectExtent l="0" t="0" r="9525" b="0"/>
          <wp:wrapTight wrapText="bothSides">
            <wp:wrapPolygon edited="0">
              <wp:start x="0" y="0"/>
              <wp:lineTo x="0" y="20945"/>
              <wp:lineTo x="21278" y="20945"/>
              <wp:lineTo x="21278" y="0"/>
              <wp:lineTo x="0" y="0"/>
            </wp:wrapPolygon>
          </wp:wrapTight>
          <wp:docPr id="3" name="Imagen 3" descr="Descripción: 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4.bp.blogspot.com/_3VzUEunqqnY/TQuNpdRux1I/AAAAAAAAG4E/pVKnICoI1ow/s1600/Escudo+de+El+Salvad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CBA"/>
    <w:multiLevelType w:val="hybridMultilevel"/>
    <w:tmpl w:val="C2FE246E"/>
    <w:lvl w:ilvl="0" w:tplc="B6AEA66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4AC5F96"/>
    <w:multiLevelType w:val="hybridMultilevel"/>
    <w:tmpl w:val="21A059BC"/>
    <w:lvl w:ilvl="0" w:tplc="12024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DC2942"/>
    <w:multiLevelType w:val="hybridMultilevel"/>
    <w:tmpl w:val="0326088E"/>
    <w:lvl w:ilvl="0" w:tplc="986AA65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C0B2C62"/>
    <w:multiLevelType w:val="hybridMultilevel"/>
    <w:tmpl w:val="B99641E0"/>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DCF68A5"/>
    <w:multiLevelType w:val="hybridMultilevel"/>
    <w:tmpl w:val="D60AFC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DC3AFC"/>
    <w:multiLevelType w:val="hybridMultilevel"/>
    <w:tmpl w:val="4AB08FCE"/>
    <w:lvl w:ilvl="0" w:tplc="7B24AD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18106550"/>
    <w:multiLevelType w:val="hybridMultilevel"/>
    <w:tmpl w:val="F47277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932514E"/>
    <w:multiLevelType w:val="hybridMultilevel"/>
    <w:tmpl w:val="CF6870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495C24"/>
    <w:multiLevelType w:val="hybridMultilevel"/>
    <w:tmpl w:val="24DC939A"/>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1271D1B"/>
    <w:multiLevelType w:val="hybridMultilevel"/>
    <w:tmpl w:val="9D28AD2A"/>
    <w:lvl w:ilvl="0" w:tplc="2FEE061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25027943"/>
    <w:multiLevelType w:val="hybridMultilevel"/>
    <w:tmpl w:val="74E84400"/>
    <w:lvl w:ilvl="0" w:tplc="473AD6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A824ED7"/>
    <w:multiLevelType w:val="hybridMultilevel"/>
    <w:tmpl w:val="9E523F10"/>
    <w:lvl w:ilvl="0" w:tplc="B0FE813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15:restartNumberingAfterBreak="0">
    <w:nsid w:val="46932D4C"/>
    <w:multiLevelType w:val="hybridMultilevel"/>
    <w:tmpl w:val="21C49D0A"/>
    <w:lvl w:ilvl="0" w:tplc="3574FDD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4F3039D9"/>
    <w:multiLevelType w:val="hybridMultilevel"/>
    <w:tmpl w:val="5A5855FC"/>
    <w:lvl w:ilvl="0" w:tplc="1F28B5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FE6BB7"/>
    <w:multiLevelType w:val="hybridMultilevel"/>
    <w:tmpl w:val="1A76687E"/>
    <w:lvl w:ilvl="0" w:tplc="927877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A07BE5"/>
    <w:multiLevelType w:val="hybridMultilevel"/>
    <w:tmpl w:val="BF2EF126"/>
    <w:lvl w:ilvl="0" w:tplc="CBC0443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9A81B25"/>
    <w:multiLevelType w:val="hybridMultilevel"/>
    <w:tmpl w:val="358C8E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F4E55F4"/>
    <w:multiLevelType w:val="hybridMultilevel"/>
    <w:tmpl w:val="B846FFD8"/>
    <w:lvl w:ilvl="0" w:tplc="AFAE191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C96F98"/>
    <w:multiLevelType w:val="hybridMultilevel"/>
    <w:tmpl w:val="D2B03500"/>
    <w:lvl w:ilvl="0" w:tplc="CD98D3C2">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6"/>
  </w:num>
  <w:num w:numId="2">
    <w:abstractNumId w:val="8"/>
  </w:num>
  <w:num w:numId="3">
    <w:abstractNumId w:val="1"/>
  </w:num>
  <w:num w:numId="4">
    <w:abstractNumId w:val="13"/>
  </w:num>
  <w:num w:numId="5">
    <w:abstractNumId w:val="11"/>
  </w:num>
  <w:num w:numId="6">
    <w:abstractNumId w:val="12"/>
  </w:num>
  <w:num w:numId="7">
    <w:abstractNumId w:val="9"/>
  </w:num>
  <w:num w:numId="8">
    <w:abstractNumId w:val="0"/>
  </w:num>
  <w:num w:numId="9">
    <w:abstractNumId w:val="2"/>
  </w:num>
  <w:num w:numId="10">
    <w:abstractNumId w:val="5"/>
  </w:num>
  <w:num w:numId="11">
    <w:abstractNumId w:val="18"/>
  </w:num>
  <w:num w:numId="12">
    <w:abstractNumId w:val="14"/>
  </w:num>
  <w:num w:numId="13">
    <w:abstractNumId w:val="4"/>
  </w:num>
  <w:num w:numId="14">
    <w:abstractNumId w:val="15"/>
  </w:num>
  <w:num w:numId="15">
    <w:abstractNumId w:val="3"/>
  </w:num>
  <w:num w:numId="16">
    <w:abstractNumId w:val="7"/>
  </w:num>
  <w:num w:numId="17">
    <w:abstractNumId w:val="10"/>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21"/>
    <w:rsid w:val="00026BB9"/>
    <w:rsid w:val="00040176"/>
    <w:rsid w:val="000422CE"/>
    <w:rsid w:val="000A2776"/>
    <w:rsid w:val="000A6B47"/>
    <w:rsid w:val="000B3D4C"/>
    <w:rsid w:val="000E1494"/>
    <w:rsid w:val="00107AC1"/>
    <w:rsid w:val="00107C91"/>
    <w:rsid w:val="00152539"/>
    <w:rsid w:val="00160EB7"/>
    <w:rsid w:val="002151B2"/>
    <w:rsid w:val="00220EC5"/>
    <w:rsid w:val="00221427"/>
    <w:rsid w:val="00273716"/>
    <w:rsid w:val="00295DFD"/>
    <w:rsid w:val="002B0DAC"/>
    <w:rsid w:val="002C7292"/>
    <w:rsid w:val="002D4B48"/>
    <w:rsid w:val="00300AAF"/>
    <w:rsid w:val="003E2AC2"/>
    <w:rsid w:val="00400398"/>
    <w:rsid w:val="0047319A"/>
    <w:rsid w:val="004C685C"/>
    <w:rsid w:val="004C7D8A"/>
    <w:rsid w:val="0057454B"/>
    <w:rsid w:val="005912C1"/>
    <w:rsid w:val="005A7803"/>
    <w:rsid w:val="005D7A6F"/>
    <w:rsid w:val="00663E4B"/>
    <w:rsid w:val="006662DB"/>
    <w:rsid w:val="007002F0"/>
    <w:rsid w:val="00700F48"/>
    <w:rsid w:val="00715506"/>
    <w:rsid w:val="0072517E"/>
    <w:rsid w:val="00767674"/>
    <w:rsid w:val="00801181"/>
    <w:rsid w:val="00814A61"/>
    <w:rsid w:val="008238C2"/>
    <w:rsid w:val="00835221"/>
    <w:rsid w:val="00847449"/>
    <w:rsid w:val="008B4757"/>
    <w:rsid w:val="00907F3E"/>
    <w:rsid w:val="00910AA9"/>
    <w:rsid w:val="00925EE2"/>
    <w:rsid w:val="00986F59"/>
    <w:rsid w:val="009F373A"/>
    <w:rsid w:val="00A558A4"/>
    <w:rsid w:val="00A877EC"/>
    <w:rsid w:val="00B00871"/>
    <w:rsid w:val="00B241DC"/>
    <w:rsid w:val="00B35788"/>
    <w:rsid w:val="00BB6F3F"/>
    <w:rsid w:val="00C22856"/>
    <w:rsid w:val="00C60725"/>
    <w:rsid w:val="00CE37EB"/>
    <w:rsid w:val="00D11EC0"/>
    <w:rsid w:val="00D1588A"/>
    <w:rsid w:val="00D55342"/>
    <w:rsid w:val="00DF4818"/>
    <w:rsid w:val="00DF5EB9"/>
    <w:rsid w:val="00E075CC"/>
    <w:rsid w:val="00E246D6"/>
    <w:rsid w:val="00EA52A3"/>
    <w:rsid w:val="00EE0052"/>
    <w:rsid w:val="00EF4238"/>
    <w:rsid w:val="00FB0B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FC8CE-DF95-445D-8BF8-A9FCC7AB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7803"/>
    <w:pPr>
      <w:keepNext/>
      <w:keepLines/>
      <w:spacing w:before="480" w:after="0" w:line="276" w:lineRule="auto"/>
      <w:outlineLvl w:val="0"/>
    </w:pPr>
    <w:rPr>
      <w:rFonts w:ascii="Cambria" w:eastAsia="Times New Roman" w:hAnsi="Cambria" w:cs="Times New Roman"/>
      <w:b/>
      <w:bCs/>
      <w:color w:val="365F91"/>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B48"/>
    <w:pPr>
      <w:ind w:left="720"/>
      <w:contextualSpacing/>
    </w:pPr>
  </w:style>
  <w:style w:type="character" w:customStyle="1" w:styleId="Ttulo1Car">
    <w:name w:val="Título 1 Car"/>
    <w:basedOn w:val="Fuentedeprrafopredeter"/>
    <w:link w:val="Ttulo1"/>
    <w:uiPriority w:val="9"/>
    <w:rsid w:val="005A7803"/>
    <w:rPr>
      <w:rFonts w:ascii="Cambria" w:eastAsia="Times New Roman" w:hAnsi="Cambria" w:cs="Times New Roman"/>
      <w:b/>
      <w:bCs/>
      <w:color w:val="365F91"/>
      <w:sz w:val="28"/>
      <w:szCs w:val="28"/>
      <w:lang w:val="es-MX"/>
    </w:rPr>
  </w:style>
  <w:style w:type="paragraph" w:customStyle="1" w:styleId="Ttulodeldocumento">
    <w:name w:val="Título del documento"/>
    <w:basedOn w:val="Normal"/>
    <w:rsid w:val="005A7803"/>
    <w:pPr>
      <w:spacing w:after="200" w:line="276" w:lineRule="auto"/>
    </w:pPr>
    <w:rPr>
      <w:rFonts w:ascii="Calibri" w:eastAsia="Calibri" w:hAnsi="Calibri" w:cs="Times New Roman"/>
      <w:lang w:val="es-MX"/>
    </w:rPr>
  </w:style>
  <w:style w:type="paragraph" w:styleId="Sinespaciado">
    <w:name w:val="No Spacing"/>
    <w:uiPriority w:val="1"/>
    <w:qFormat/>
    <w:rsid w:val="005A7803"/>
    <w:pPr>
      <w:spacing w:after="0"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607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0725"/>
  </w:style>
  <w:style w:type="paragraph" w:styleId="Piedepgina">
    <w:name w:val="footer"/>
    <w:basedOn w:val="Normal"/>
    <w:link w:val="PiedepginaCar"/>
    <w:uiPriority w:val="99"/>
    <w:unhideWhenUsed/>
    <w:rsid w:val="00C607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0725"/>
  </w:style>
  <w:style w:type="numbering" w:customStyle="1" w:styleId="Sinlista1">
    <w:name w:val="Sin lista1"/>
    <w:next w:val="Sinlista"/>
    <w:uiPriority w:val="99"/>
    <w:semiHidden/>
    <w:unhideWhenUsed/>
    <w:rsid w:val="004C7D8A"/>
  </w:style>
  <w:style w:type="paragraph" w:styleId="Textodeglobo">
    <w:name w:val="Balloon Text"/>
    <w:basedOn w:val="Normal"/>
    <w:link w:val="TextodegloboCar"/>
    <w:uiPriority w:val="99"/>
    <w:semiHidden/>
    <w:unhideWhenUsed/>
    <w:rsid w:val="004C7D8A"/>
    <w:pPr>
      <w:spacing w:after="0" w:line="240" w:lineRule="auto"/>
    </w:pPr>
    <w:rPr>
      <w:rFonts w:ascii="Tahoma" w:eastAsia="Calibri" w:hAnsi="Tahoma" w:cs="Tahoma"/>
      <w:sz w:val="16"/>
      <w:szCs w:val="16"/>
      <w:lang w:val="es-MX"/>
    </w:rPr>
  </w:style>
  <w:style w:type="character" w:customStyle="1" w:styleId="TextodegloboCar">
    <w:name w:val="Texto de globo Car"/>
    <w:basedOn w:val="Fuentedeprrafopredeter"/>
    <w:link w:val="Textodeglobo"/>
    <w:uiPriority w:val="99"/>
    <w:semiHidden/>
    <w:rsid w:val="004C7D8A"/>
    <w:rPr>
      <w:rFonts w:ascii="Tahoma" w:eastAsia="Calibri" w:hAnsi="Tahoma" w:cs="Tahoma"/>
      <w:sz w:val="16"/>
      <w:szCs w:val="16"/>
      <w:lang w:val="es-MX"/>
    </w:rPr>
  </w:style>
  <w:style w:type="table" w:styleId="Tablaconcuadrcula">
    <w:name w:val="Table Grid"/>
    <w:basedOn w:val="Tablanormal"/>
    <w:uiPriority w:val="59"/>
    <w:rsid w:val="004C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C7D8A"/>
    <w:pPr>
      <w:spacing w:after="0" w:line="240" w:lineRule="auto"/>
    </w:pPr>
    <w:rPr>
      <w:rFonts w:ascii="Calibri" w:eastAsia="Calibri" w:hAnsi="Calibri" w:cs="Times New Roman"/>
      <w:sz w:val="20"/>
      <w:szCs w:val="20"/>
      <w:lang w:val="es-MX"/>
    </w:rPr>
  </w:style>
  <w:style w:type="character" w:customStyle="1" w:styleId="TextonotapieCar">
    <w:name w:val="Texto nota pie Car"/>
    <w:basedOn w:val="Fuentedeprrafopredeter"/>
    <w:link w:val="Textonotapie"/>
    <w:uiPriority w:val="99"/>
    <w:semiHidden/>
    <w:rsid w:val="004C7D8A"/>
    <w:rPr>
      <w:rFonts w:ascii="Calibri" w:eastAsia="Calibri" w:hAnsi="Calibri" w:cs="Times New Roman"/>
      <w:sz w:val="20"/>
      <w:szCs w:val="20"/>
      <w:lang w:val="es-MX"/>
    </w:rPr>
  </w:style>
  <w:style w:type="character" w:styleId="Refdenotaalpie">
    <w:name w:val="footnote reference"/>
    <w:basedOn w:val="Fuentedeprrafopredeter"/>
    <w:uiPriority w:val="99"/>
    <w:semiHidden/>
    <w:unhideWhenUsed/>
    <w:rsid w:val="004C7D8A"/>
    <w:rPr>
      <w:vertAlign w:val="superscript"/>
    </w:rPr>
  </w:style>
  <w:style w:type="character" w:styleId="Hipervnculo">
    <w:name w:val="Hyperlink"/>
    <w:basedOn w:val="Fuentedeprrafopredeter"/>
    <w:uiPriority w:val="99"/>
    <w:unhideWhenUsed/>
    <w:rsid w:val="004C7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6899">
      <w:bodyDiv w:val="1"/>
      <w:marLeft w:val="0"/>
      <w:marRight w:val="0"/>
      <w:marTop w:val="0"/>
      <w:marBottom w:val="0"/>
      <w:divBdr>
        <w:top w:val="none" w:sz="0" w:space="0" w:color="auto"/>
        <w:left w:val="none" w:sz="0" w:space="0" w:color="auto"/>
        <w:bottom w:val="none" w:sz="0" w:space="0" w:color="auto"/>
        <w:right w:val="none" w:sz="0" w:space="0" w:color="auto"/>
      </w:divBdr>
    </w:div>
    <w:div w:id="827402330">
      <w:bodyDiv w:val="1"/>
      <w:marLeft w:val="0"/>
      <w:marRight w:val="0"/>
      <w:marTop w:val="0"/>
      <w:marBottom w:val="0"/>
      <w:divBdr>
        <w:top w:val="none" w:sz="0" w:space="0" w:color="auto"/>
        <w:left w:val="none" w:sz="0" w:space="0" w:color="auto"/>
        <w:bottom w:val="none" w:sz="0" w:space="0" w:color="auto"/>
        <w:right w:val="none" w:sz="0" w:space="0" w:color="auto"/>
      </w:divBdr>
    </w:div>
    <w:div w:id="11364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ree.gob.sv/el-salvador-continua-con-acciones-para-garantizar-el-cumplimiento-de-los-derechos-de-la-ninez-migrante-en-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5435</Words>
  <Characters>29898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Ernesto Ramos Contreras</dc:creator>
  <cp:keywords/>
  <dc:description/>
  <cp:lastModifiedBy>Silvia Soledad SO. Orellana Guillen</cp:lastModifiedBy>
  <cp:revision>2</cp:revision>
  <cp:lastPrinted>2019-03-01T20:16:00Z</cp:lastPrinted>
  <dcterms:created xsi:type="dcterms:W3CDTF">2019-05-15T14:34:00Z</dcterms:created>
  <dcterms:modified xsi:type="dcterms:W3CDTF">2019-05-15T14:34:00Z</dcterms:modified>
</cp:coreProperties>
</file>