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0746C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01</w:t>
                                </w:r>
                                <w:r w:rsidR="000C3A9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.1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0746C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0746C0">
                            <w:rPr>
                              <w:sz w:val="18"/>
                              <w:szCs w:val="18"/>
                              <w:lang w:val="es-SV"/>
                            </w:rPr>
                            <w:t>01</w:t>
                          </w:r>
                          <w:r w:rsidR="000C3A95">
                            <w:rPr>
                              <w:sz w:val="18"/>
                              <w:szCs w:val="18"/>
                              <w:lang w:val="es-SV"/>
                            </w:rPr>
                            <w:t>.1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0746C0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0746C0">
        <w:rPr>
          <w:rFonts w:cs="Calibri"/>
          <w:b/>
          <w:w w:val="102"/>
        </w:rPr>
        <w:t>0</w:t>
      </w:r>
      <w:r w:rsidR="006C33BB">
        <w:rPr>
          <w:rFonts w:cs="Calibri"/>
          <w:b/>
          <w:w w:val="102"/>
        </w:rPr>
        <w:t>1</w:t>
      </w:r>
      <w:r w:rsidRPr="009014BA">
        <w:rPr>
          <w:rFonts w:cs="Calibri"/>
          <w:b/>
          <w:w w:val="102"/>
        </w:rPr>
        <w:t>/201</w:t>
      </w:r>
      <w:r w:rsidR="000746C0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0746C0">
        <w:rPr>
          <w:rFonts w:cs="Calibri"/>
          <w:b/>
          <w:w w:val="102"/>
        </w:rPr>
        <w:t>31 de enero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0746C0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B65BD2">
        <w:tab/>
      </w:r>
      <w:r w:rsidR="00B65BD2">
        <w:tab/>
      </w:r>
      <w:r w:rsidR="00B65BD2">
        <w:tab/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En relación con las señoras: María Dolores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Membreño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 y Leticia Escobar: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1.- Nombre completo y grado o título académico obtenido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2.- Nombramiento o cargo que ostentan en el CONNA y perfil de la plaza en cuestión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3.- Funciones derivadas de dicho nombramiento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4.- Salario devengado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5.- Resultados de las evaluaciones de desempeño realizadas cada año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6.- Ternas en las que compitieron y criterios de selección por las que fueron elegidas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7.- Persona (s) involucrada(s) en su selección para las plazas que optaron y fundamentos o criterios para seleccionarlas; además el resultado de las diferentes evaluaciones o pruebas realizadas para valorar la capacidad e idoneidad para optar a dichas plazas.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8.- Resultados del Plan Operativo Anual al cual corresponde su trabajo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9.- Principales logros laborales obtenidos desde su nombramiento a la fecha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10.- Registro de documentos producidos o proyectos generados al interior de sus departamentos en el marco de sus funciones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11.- Planificación anual de trabajo que respalde sus labores, logros obtenidos y justifiquen su contratación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12.- Detalle de cada comité, comisión, mesa de trabajo u otros espacios en el que colaboren o brinden apoyo de relevancia para las funciones que desempeñan al interior del CONNA, haciendo hincapié en las horas laborales dedicadas a los mismos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13.- Fecha de incorporación al sindicato y tiempo laboral autorizado para realizar actividades sindicales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14.- Cuales son los mecanismos de control utilizados para verificar que se cumplan con las funciones y el aprovechamiento al máximo de las jornadas laborales, como se ejecutan dichos controles y como se garantiza el rendimiento de sus jornadas de trabajo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15.- En relación con la Sra.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Membreño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>, cuales son las funciones que desarrolla y que hacen necesario el uso de una computadora personal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16.- En el caso de la Sra. Escobar se solicita copia de los proyectos de cooperación internacionales gestionados,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cuales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 han sido aprobados y puestos en funcionamiento.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17.- Detalle de Solicitudes de permisos personales, permisos con goce de sueldo, licencias y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 compensatorios,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asi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 como detalle de marcaciones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tardias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 y/u omisiones de marcaciones tanto de horario de entrada como de salida con sus respectivas justificaciones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18.-  detalle de incapacidades medicas presentadas incluyendo fuente de la incapacidad (ISSS,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Clinica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 Empresarial, Unidades de Salud, Medico Particular,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etc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)  incluyendo los </w:t>
      </w:r>
      <w:proofErr w:type="spellStart"/>
      <w:r w:rsidRPr="000746C0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0746C0">
        <w:rPr>
          <w:rFonts w:ascii="Calibri" w:eastAsia="Calibri" w:hAnsi="Calibri" w:cs="Times New Roman"/>
          <w:i/>
          <w:szCs w:val="21"/>
          <w:lang w:val="es-SV"/>
        </w:rPr>
        <w:t xml:space="preserve"> y fechas de incapacidad.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lastRenderedPageBreak/>
        <w:t xml:space="preserve">Ambos puntos desde su ingreso al CONNA hasta la fecha. </w:t>
      </w: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0746C0" w:rsidRPr="000746C0" w:rsidRDefault="000746C0" w:rsidP="000746C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746C0">
        <w:rPr>
          <w:rFonts w:ascii="Calibri" w:eastAsia="Calibri" w:hAnsi="Calibri" w:cs="Times New Roman"/>
          <w:i/>
          <w:szCs w:val="21"/>
          <w:lang w:val="es-SV"/>
        </w:rPr>
        <w:t>En ambos casos se requiere la información desde el día que fueron contratadas a la fecha</w:t>
      </w:r>
      <w:r>
        <w:rPr>
          <w:rFonts w:ascii="Calibri" w:eastAsia="Calibri" w:hAnsi="Calibri" w:cs="Times New Roman"/>
          <w:i/>
          <w:szCs w:val="21"/>
          <w:lang w:val="es-SV"/>
        </w:rPr>
        <w:t>”</w:t>
      </w:r>
    </w:p>
    <w:p w:rsid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0C3A95" w:rsidRDefault="000C3A95" w:rsidP="00612ACA">
      <w:pPr>
        <w:jc w:val="both"/>
        <w:rPr>
          <w:rFonts w:cs="Calibri"/>
          <w:w w:val="102"/>
          <w:lang w:val="es-SV"/>
        </w:rPr>
      </w:pPr>
    </w:p>
    <w:p w:rsidR="00612ACA" w:rsidRDefault="000C3A95" w:rsidP="00612ACA">
      <w:pPr>
        <w:jc w:val="both"/>
        <w:rPr>
          <w:rFonts w:cs="Calibri"/>
          <w:w w:val="102"/>
          <w:lang w:val="es-SV"/>
        </w:rPr>
      </w:pPr>
      <w:r>
        <w:rPr>
          <w:rFonts w:cs="Calibri"/>
          <w:w w:val="102"/>
          <w:lang w:val="es-SV"/>
        </w:rPr>
        <w:t>En los numerales 1, 2, 3, 4, 5, 6, 7, 13, 17 y 18. El resto de información, fue proporcionada el catorce de febrero de 2019.</w:t>
      </w: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0C3A95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0C3A95">
        <w:rPr>
          <w:rFonts w:cs="Calibri"/>
          <w:color w:val="000000" w:themeColor="text1"/>
          <w:w w:val="102"/>
          <w:lang w:val="es-SV"/>
        </w:rPr>
        <w:t>veintiuno</w:t>
      </w:r>
      <w:r w:rsidR="00024117">
        <w:rPr>
          <w:rFonts w:cs="Calibri"/>
          <w:color w:val="000000" w:themeColor="text1"/>
          <w:w w:val="102"/>
          <w:lang w:val="es-SV"/>
        </w:rPr>
        <w:t xml:space="preserve"> de febrero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B65BD2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533" w:rsidRDefault="000C0533" w:rsidP="007E276E">
      <w:r>
        <w:separator/>
      </w:r>
    </w:p>
  </w:endnote>
  <w:endnote w:type="continuationSeparator" w:id="0">
    <w:p w:rsidR="000C0533" w:rsidRDefault="000C053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533" w:rsidRDefault="000C0533" w:rsidP="007E276E">
      <w:r>
        <w:separator/>
      </w:r>
    </w:p>
  </w:footnote>
  <w:footnote w:type="continuationSeparator" w:id="0">
    <w:p w:rsidR="000C0533" w:rsidRDefault="000C053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B65BD2" w:rsidRPr="00B65BD2" w:rsidTr="00C27770">
      <w:trPr>
        <w:jc w:val="center"/>
      </w:trPr>
      <w:tc>
        <w:tcPr>
          <w:tcW w:w="2689" w:type="dxa"/>
        </w:tcPr>
        <w:p w:rsidR="00B65BD2" w:rsidRPr="00891539" w:rsidRDefault="00B65BD2" w:rsidP="00B65BD2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B65BD2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24117"/>
    <w:rsid w:val="0003453A"/>
    <w:rsid w:val="000361BE"/>
    <w:rsid w:val="00046FCE"/>
    <w:rsid w:val="00051747"/>
    <w:rsid w:val="00055A27"/>
    <w:rsid w:val="000746C0"/>
    <w:rsid w:val="00081A5B"/>
    <w:rsid w:val="000965EA"/>
    <w:rsid w:val="00096782"/>
    <w:rsid w:val="000A2B58"/>
    <w:rsid w:val="000A2D61"/>
    <w:rsid w:val="000A72DC"/>
    <w:rsid w:val="000C0533"/>
    <w:rsid w:val="000C3A95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1F0AA2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168D9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B6A2F"/>
    <w:rsid w:val="009F0417"/>
    <w:rsid w:val="009F5AF7"/>
    <w:rsid w:val="00A03C39"/>
    <w:rsid w:val="00A05DD6"/>
    <w:rsid w:val="00A209C5"/>
    <w:rsid w:val="00A21ECB"/>
    <w:rsid w:val="00A234E7"/>
    <w:rsid w:val="00A337C2"/>
    <w:rsid w:val="00A512E7"/>
    <w:rsid w:val="00A5262C"/>
    <w:rsid w:val="00A63AE1"/>
    <w:rsid w:val="00A70ED6"/>
    <w:rsid w:val="00A82FD1"/>
    <w:rsid w:val="00AA4D93"/>
    <w:rsid w:val="00AA678A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65BD2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3F77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8466-D8BB-4038-B5D7-8C741139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2018-11-26T14:57:00Z</cp:lastPrinted>
  <dcterms:created xsi:type="dcterms:W3CDTF">2020-07-24T20:52:00Z</dcterms:created>
  <dcterms:modified xsi:type="dcterms:W3CDTF">2020-07-24T20:57:00Z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