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38" w:rsidRDefault="00C02838" w:rsidP="00CF732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111EE7" w:rsidRDefault="00111EE7" w:rsidP="00EC4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49BC" w:rsidRPr="00EC49BC" w:rsidRDefault="00EC49BC" w:rsidP="00EC4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49BC">
        <w:rPr>
          <w:rFonts w:ascii="Times New Roman" w:hAnsi="Times New Roman" w:cs="Times New Roman"/>
          <w:b/>
          <w:sz w:val="24"/>
          <w:szCs w:val="24"/>
        </w:rPr>
        <w:t>San Salvador, 10 de agosto de 2018</w:t>
      </w:r>
    </w:p>
    <w:p w:rsidR="00EC49BC" w:rsidRPr="00EC49BC" w:rsidRDefault="00EC49BC" w:rsidP="00CF73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EE7" w:rsidRDefault="00111EE7" w:rsidP="00CF7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9BC" w:rsidRDefault="00EC49BC" w:rsidP="00CF7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atención a la solicitud de información No 028/2018, que usted presento a esta Unidad el día 17 de julio de 2018, atentamente remito a usted información proporcionada por el Departamento de Recursos Humanos: </w:t>
      </w:r>
    </w:p>
    <w:p w:rsidR="00EC49BC" w:rsidRDefault="00EC49BC" w:rsidP="00CF7329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291F1D" w:rsidRDefault="00291F1D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Número de personas que han solicitado permiso por diferentes motivos, según detalle:</w:t>
      </w:r>
    </w:p>
    <w:p w:rsidR="00111EE7" w:rsidRPr="000B222D" w:rsidRDefault="00111EE7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4482"/>
      </w:tblGrid>
      <w:tr w:rsidR="00291F1D" w:rsidTr="00291F1D">
        <w:trPr>
          <w:jc w:val="center"/>
        </w:trPr>
        <w:tc>
          <w:tcPr>
            <w:tcW w:w="1750" w:type="dxa"/>
          </w:tcPr>
          <w:p w:rsidR="00291F1D" w:rsidRDefault="00291F1D" w:rsidP="00277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de Personas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Motivo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B937BF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Obligaciones Escolares 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277787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Licencia por Maternidad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B937BF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Formación Sindical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277787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Violencia Intrafamiliar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B937BF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 por Autoridad</w:t>
            </w:r>
          </w:p>
        </w:tc>
      </w:tr>
      <w:tr w:rsidR="00291F1D" w:rsidTr="00291F1D">
        <w:trPr>
          <w:jc w:val="center"/>
        </w:trPr>
        <w:tc>
          <w:tcPr>
            <w:tcW w:w="1750" w:type="dxa"/>
          </w:tcPr>
          <w:p w:rsidR="00291F1D" w:rsidRDefault="00277787" w:rsidP="002777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2" w:type="dxa"/>
          </w:tcPr>
          <w:p w:rsidR="00291F1D" w:rsidRDefault="00291F1D" w:rsidP="00291F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Graduación</w:t>
            </w:r>
          </w:p>
        </w:tc>
      </w:tr>
    </w:tbl>
    <w:p w:rsidR="00291F1D" w:rsidRDefault="00291F1D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1EE7" w:rsidRDefault="00111EE7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E59" w:rsidRPr="000B222D" w:rsidRDefault="00B57E59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Número de personas a quienes se les entregó prestación económica en efectivo durante el mes de enero de 2018, y monto total invertido: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2209"/>
      </w:tblGrid>
      <w:tr w:rsidR="00B57E59" w:rsidTr="0006087E">
        <w:trPr>
          <w:jc w:val="center"/>
        </w:trPr>
        <w:tc>
          <w:tcPr>
            <w:tcW w:w="1750" w:type="dxa"/>
          </w:tcPr>
          <w:p w:rsidR="00B57E59" w:rsidRDefault="00B57E59" w:rsidP="0014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de Personas</w:t>
            </w:r>
          </w:p>
        </w:tc>
        <w:tc>
          <w:tcPr>
            <w:tcW w:w="2209" w:type="dxa"/>
          </w:tcPr>
          <w:p w:rsidR="00B57E59" w:rsidRDefault="00B57E59" w:rsidP="001457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 total invertido</w:t>
            </w:r>
          </w:p>
        </w:tc>
      </w:tr>
      <w:tr w:rsidR="00B57E59" w:rsidTr="0006087E">
        <w:trPr>
          <w:jc w:val="center"/>
        </w:trPr>
        <w:tc>
          <w:tcPr>
            <w:tcW w:w="1750" w:type="dxa"/>
          </w:tcPr>
          <w:p w:rsidR="00B57E59" w:rsidRDefault="002F40C1" w:rsidP="000608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209" w:type="dxa"/>
          </w:tcPr>
          <w:p w:rsidR="00B57E59" w:rsidRDefault="002F40C1" w:rsidP="000608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$89,500.00</w:t>
            </w:r>
          </w:p>
        </w:tc>
      </w:tr>
    </w:tbl>
    <w:p w:rsidR="00B57E59" w:rsidRDefault="00B57E59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2E5E" w:rsidRDefault="003C2E5E" w:rsidP="000B2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Número de personas a quienes se les entregó Canasta Básica en el mes de mayo, monto total invertido, monto previsto a invertir en el mes de noviembre:</w:t>
      </w:r>
    </w:p>
    <w:p w:rsidR="00111EE7" w:rsidRPr="000B222D" w:rsidRDefault="00111EE7" w:rsidP="000B22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2251"/>
        <w:gridCol w:w="2251"/>
      </w:tblGrid>
      <w:tr w:rsidR="003C2E5E" w:rsidTr="00BB7E23">
        <w:trPr>
          <w:jc w:val="center"/>
        </w:trPr>
        <w:tc>
          <w:tcPr>
            <w:tcW w:w="1713" w:type="dxa"/>
          </w:tcPr>
          <w:p w:rsidR="003C2E5E" w:rsidRDefault="003C2E5E" w:rsidP="0014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de Personas</w:t>
            </w:r>
          </w:p>
        </w:tc>
        <w:tc>
          <w:tcPr>
            <w:tcW w:w="2251" w:type="dxa"/>
          </w:tcPr>
          <w:p w:rsidR="003C2E5E" w:rsidRDefault="003C2E5E" w:rsidP="001457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 Total invertido (Canasta de Mayo)</w:t>
            </w:r>
          </w:p>
        </w:tc>
        <w:tc>
          <w:tcPr>
            <w:tcW w:w="2251" w:type="dxa"/>
          </w:tcPr>
          <w:p w:rsidR="003C2E5E" w:rsidRDefault="003C2E5E" w:rsidP="003C2E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 Total previsto (Canasta Noviembre)</w:t>
            </w:r>
          </w:p>
        </w:tc>
      </w:tr>
      <w:tr w:rsidR="003C2E5E" w:rsidTr="00BB7E23">
        <w:trPr>
          <w:jc w:val="center"/>
        </w:trPr>
        <w:tc>
          <w:tcPr>
            <w:tcW w:w="1713" w:type="dxa"/>
          </w:tcPr>
          <w:p w:rsidR="003C2E5E" w:rsidRDefault="002F40C1" w:rsidP="00054B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251" w:type="dxa"/>
          </w:tcPr>
          <w:p w:rsidR="003C2E5E" w:rsidRDefault="002F40C1" w:rsidP="00054B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$18,250.00</w:t>
            </w:r>
          </w:p>
        </w:tc>
        <w:tc>
          <w:tcPr>
            <w:tcW w:w="2251" w:type="dxa"/>
          </w:tcPr>
          <w:p w:rsidR="00012538" w:rsidRDefault="002F40C1" w:rsidP="0001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$19,100.00</w:t>
            </w:r>
          </w:p>
          <w:p w:rsidR="003C2E5E" w:rsidRDefault="00012538" w:rsidP="00012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(382 personas)</w:t>
            </w:r>
          </w:p>
        </w:tc>
      </w:tr>
    </w:tbl>
    <w:p w:rsidR="003C2E5E" w:rsidRDefault="003C2E5E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CF732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11F91" w:rsidRDefault="00F11F91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Número de personas a quienes se les ha entregado subsidio por fallecimiento:</w:t>
      </w:r>
    </w:p>
    <w:p w:rsidR="00111EE7" w:rsidRPr="000B222D" w:rsidRDefault="00111EE7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9"/>
        <w:gridCol w:w="1701"/>
        <w:gridCol w:w="1433"/>
      </w:tblGrid>
      <w:tr w:rsidR="00F11F91" w:rsidTr="00F11F91">
        <w:trPr>
          <w:jc w:val="center"/>
        </w:trPr>
        <w:tc>
          <w:tcPr>
            <w:tcW w:w="999" w:type="dxa"/>
          </w:tcPr>
          <w:p w:rsidR="00F11F91" w:rsidRDefault="00F11F91" w:rsidP="00F11F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de Personas</w:t>
            </w:r>
          </w:p>
        </w:tc>
        <w:tc>
          <w:tcPr>
            <w:tcW w:w="1701" w:type="dxa"/>
          </w:tcPr>
          <w:p w:rsidR="00F11F91" w:rsidRDefault="00F11F91" w:rsidP="00BB49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 Unitario</w:t>
            </w:r>
          </w:p>
        </w:tc>
        <w:tc>
          <w:tcPr>
            <w:tcW w:w="1433" w:type="dxa"/>
          </w:tcPr>
          <w:p w:rsidR="00F11F91" w:rsidRDefault="00F11F91" w:rsidP="00F11F9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 Total</w:t>
            </w:r>
          </w:p>
        </w:tc>
      </w:tr>
      <w:tr w:rsidR="00F11F91" w:rsidTr="00F11F91">
        <w:trPr>
          <w:jc w:val="center"/>
        </w:trPr>
        <w:tc>
          <w:tcPr>
            <w:tcW w:w="999" w:type="dxa"/>
          </w:tcPr>
          <w:p w:rsidR="00F11F91" w:rsidRDefault="00131D1F" w:rsidP="00054B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11F91" w:rsidRDefault="00F11F91" w:rsidP="00054B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$500.00</w:t>
            </w:r>
          </w:p>
        </w:tc>
        <w:tc>
          <w:tcPr>
            <w:tcW w:w="1433" w:type="dxa"/>
          </w:tcPr>
          <w:p w:rsidR="00F11F91" w:rsidRDefault="00F11F91" w:rsidP="00131D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</w:t>
            </w:r>
            <w:r w:rsidR="00131D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00.00</w:t>
            </w:r>
          </w:p>
        </w:tc>
      </w:tr>
    </w:tbl>
    <w:p w:rsidR="00F11F91" w:rsidRDefault="00F11F91" w:rsidP="00BB49D5">
      <w:pPr>
        <w:spacing w:line="360" w:lineRule="auto"/>
        <w:jc w:val="both"/>
        <w:rPr>
          <w:rFonts w:ascii="Times New Roman" w:hAnsi="Times New Roman" w:cs="Times New Roman"/>
        </w:rPr>
      </w:pPr>
    </w:p>
    <w:p w:rsidR="00950FA6" w:rsidRPr="000B222D" w:rsidRDefault="00BE1CD7" w:rsidP="00CF7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Gestiones relativas a:</w:t>
      </w:r>
    </w:p>
    <w:p w:rsidR="00BE1CD7" w:rsidRPr="000B222D" w:rsidRDefault="00BE1CD7" w:rsidP="00CF732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Lentes graduados </w:t>
      </w:r>
      <w:r w:rsidR="0022268A" w:rsidRPr="000B222D">
        <w:rPr>
          <w:rFonts w:ascii="Times New Roman" w:hAnsi="Times New Roman" w:cs="Times New Roman"/>
          <w:sz w:val="24"/>
          <w:szCs w:val="24"/>
        </w:rPr>
        <w:t>(C.</w:t>
      </w:r>
      <w:r w:rsidRPr="000B222D">
        <w:rPr>
          <w:rFonts w:ascii="Times New Roman" w:hAnsi="Times New Roman" w:cs="Times New Roman"/>
          <w:sz w:val="24"/>
          <w:szCs w:val="24"/>
        </w:rPr>
        <w:t>2</w:t>
      </w:r>
      <w:r w:rsidR="0022268A" w:rsidRPr="000B222D">
        <w:rPr>
          <w:rFonts w:ascii="Times New Roman" w:hAnsi="Times New Roman" w:cs="Times New Roman"/>
          <w:sz w:val="24"/>
          <w:szCs w:val="24"/>
        </w:rPr>
        <w:t>8</w:t>
      </w:r>
      <w:r w:rsidRPr="000B222D">
        <w:rPr>
          <w:rFonts w:ascii="Times New Roman" w:hAnsi="Times New Roman" w:cs="Times New Roman"/>
          <w:sz w:val="24"/>
          <w:szCs w:val="24"/>
        </w:rPr>
        <w:t xml:space="preserve"> CCT)</w:t>
      </w:r>
    </w:p>
    <w:p w:rsidR="00CE1D79" w:rsidRPr="000B222D" w:rsidRDefault="00E969DD" w:rsidP="00CF7329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0B222D">
        <w:rPr>
          <w:rFonts w:ascii="Times New Roman" w:hAnsi="Times New Roman"/>
          <w:sz w:val="24"/>
          <w:szCs w:val="24"/>
        </w:rPr>
        <w:t>En conjunto con la Clínica Médica Institucional, s</w:t>
      </w:r>
      <w:r w:rsidR="005C50E3" w:rsidRPr="000B222D">
        <w:rPr>
          <w:rFonts w:ascii="Times New Roman" w:hAnsi="Times New Roman"/>
          <w:sz w:val="24"/>
          <w:szCs w:val="24"/>
        </w:rPr>
        <w:t xml:space="preserve">e ha realizado gestiones con </w:t>
      </w:r>
      <w:r w:rsidR="0070457B" w:rsidRPr="000B222D">
        <w:rPr>
          <w:rFonts w:ascii="Times New Roman" w:hAnsi="Times New Roman"/>
          <w:sz w:val="24"/>
          <w:szCs w:val="24"/>
        </w:rPr>
        <w:t xml:space="preserve">diferentes ópticas, concluyendo que </w:t>
      </w:r>
      <w:r w:rsidR="005C50E3" w:rsidRPr="000B222D">
        <w:rPr>
          <w:rFonts w:ascii="Times New Roman" w:hAnsi="Times New Roman"/>
          <w:sz w:val="24"/>
          <w:szCs w:val="24"/>
        </w:rPr>
        <w:t>Ópticas Fra</w:t>
      </w:r>
      <w:r w:rsidRPr="000B222D">
        <w:rPr>
          <w:rFonts w:ascii="Times New Roman" w:hAnsi="Times New Roman"/>
          <w:sz w:val="24"/>
          <w:szCs w:val="24"/>
        </w:rPr>
        <w:t>nklin</w:t>
      </w:r>
      <w:r w:rsidR="0070457B" w:rsidRPr="000B222D">
        <w:rPr>
          <w:rFonts w:ascii="Times New Roman" w:hAnsi="Times New Roman"/>
          <w:sz w:val="24"/>
          <w:szCs w:val="24"/>
        </w:rPr>
        <w:t xml:space="preserve">, es una buena opción para poder llevar a cabo un acuerdo </w:t>
      </w:r>
      <w:r w:rsidR="00E864FB" w:rsidRPr="000B222D">
        <w:rPr>
          <w:rFonts w:ascii="Times New Roman" w:hAnsi="Times New Roman"/>
          <w:sz w:val="24"/>
          <w:szCs w:val="24"/>
        </w:rPr>
        <w:t>y</w:t>
      </w:r>
      <w:r w:rsidR="0070457B" w:rsidRPr="000B222D">
        <w:rPr>
          <w:rFonts w:ascii="Times New Roman" w:hAnsi="Times New Roman"/>
          <w:sz w:val="24"/>
          <w:szCs w:val="24"/>
        </w:rPr>
        <w:t xml:space="preserve"> firmar una carta compromiso entre el CONNA y </w:t>
      </w:r>
      <w:r w:rsidRPr="000B222D">
        <w:rPr>
          <w:rFonts w:ascii="Times New Roman" w:hAnsi="Times New Roman"/>
          <w:sz w:val="24"/>
          <w:szCs w:val="24"/>
        </w:rPr>
        <w:t xml:space="preserve"> </w:t>
      </w:r>
      <w:r w:rsidR="0070457B" w:rsidRPr="000B222D">
        <w:rPr>
          <w:rFonts w:ascii="Times New Roman" w:hAnsi="Times New Roman"/>
          <w:sz w:val="24"/>
          <w:szCs w:val="24"/>
        </w:rPr>
        <w:t xml:space="preserve">Ópticas Franklin, </w:t>
      </w:r>
      <w:r w:rsidRPr="000B222D">
        <w:rPr>
          <w:rFonts w:ascii="Times New Roman" w:hAnsi="Times New Roman"/>
          <w:sz w:val="24"/>
          <w:szCs w:val="24"/>
        </w:rPr>
        <w:t xml:space="preserve">quienes ofrecen beneficios para las y los empleados y sus familiares, ya que </w:t>
      </w:r>
      <w:r w:rsidR="0070457B" w:rsidRPr="000B222D">
        <w:rPr>
          <w:rFonts w:ascii="Times New Roman" w:hAnsi="Times New Roman"/>
          <w:sz w:val="24"/>
          <w:szCs w:val="24"/>
        </w:rPr>
        <w:t>dicha ó</w:t>
      </w:r>
      <w:r w:rsidRPr="000B222D">
        <w:rPr>
          <w:rFonts w:ascii="Times New Roman" w:hAnsi="Times New Roman"/>
          <w:sz w:val="24"/>
          <w:szCs w:val="24"/>
        </w:rPr>
        <w:t>ptica cuenta</w:t>
      </w:r>
      <w:r w:rsidR="00467B0D" w:rsidRPr="000B222D">
        <w:rPr>
          <w:rFonts w:ascii="Times New Roman" w:hAnsi="Times New Roman"/>
          <w:sz w:val="24"/>
          <w:szCs w:val="24"/>
        </w:rPr>
        <w:t xml:space="preserve"> con 18 sucursales</w:t>
      </w:r>
      <w:r w:rsidR="0070457B" w:rsidRPr="000B222D">
        <w:rPr>
          <w:rFonts w:ascii="Times New Roman" w:hAnsi="Times New Roman"/>
          <w:sz w:val="24"/>
          <w:szCs w:val="24"/>
        </w:rPr>
        <w:t xml:space="preserve"> a nivel nacional</w:t>
      </w:r>
      <w:r w:rsidR="00467B0D" w:rsidRPr="000B222D">
        <w:rPr>
          <w:rFonts w:ascii="Times New Roman" w:hAnsi="Times New Roman"/>
          <w:sz w:val="24"/>
          <w:szCs w:val="24"/>
        </w:rPr>
        <w:t xml:space="preserve">, </w:t>
      </w:r>
      <w:r w:rsidR="00467B0D" w:rsidRPr="000B222D">
        <w:rPr>
          <w:rFonts w:ascii="Times New Roman" w:eastAsia="Batang" w:hAnsi="Times New Roman"/>
          <w:sz w:val="24"/>
          <w:szCs w:val="24"/>
        </w:rPr>
        <w:t xml:space="preserve">en el marco de cooperación entre </w:t>
      </w:r>
      <w:r w:rsidR="00467B0D" w:rsidRPr="000B222D">
        <w:rPr>
          <w:rFonts w:ascii="Times New Roman" w:hAnsi="Times New Roman"/>
          <w:sz w:val="24"/>
          <w:szCs w:val="24"/>
        </w:rPr>
        <w:t xml:space="preserve">Ópticas Franklin </w:t>
      </w:r>
      <w:r w:rsidR="00467B0D" w:rsidRPr="000B222D">
        <w:rPr>
          <w:rFonts w:ascii="Times New Roman" w:eastAsia="Batang" w:hAnsi="Times New Roman"/>
          <w:sz w:val="24"/>
          <w:szCs w:val="24"/>
        </w:rPr>
        <w:t xml:space="preserve">y el CONNA, </w:t>
      </w:r>
      <w:r w:rsidR="00467B0D" w:rsidRPr="000B222D">
        <w:rPr>
          <w:rFonts w:ascii="Times New Roman" w:hAnsi="Times New Roman"/>
          <w:sz w:val="24"/>
          <w:szCs w:val="24"/>
        </w:rPr>
        <w:t>con el objeto de facilitar a l</w:t>
      </w:r>
      <w:r w:rsidR="0070457B" w:rsidRPr="000B222D">
        <w:rPr>
          <w:rFonts w:ascii="Times New Roman" w:hAnsi="Times New Roman"/>
          <w:sz w:val="24"/>
          <w:szCs w:val="24"/>
        </w:rPr>
        <w:t>a</w:t>
      </w:r>
      <w:r w:rsidR="00467B0D" w:rsidRPr="000B222D">
        <w:rPr>
          <w:rFonts w:ascii="Times New Roman" w:hAnsi="Times New Roman"/>
          <w:sz w:val="24"/>
          <w:szCs w:val="24"/>
        </w:rPr>
        <w:t>s</w:t>
      </w:r>
      <w:r w:rsidR="0070457B" w:rsidRPr="000B222D">
        <w:rPr>
          <w:rFonts w:ascii="Times New Roman" w:hAnsi="Times New Roman"/>
          <w:sz w:val="24"/>
          <w:szCs w:val="24"/>
        </w:rPr>
        <w:t xml:space="preserve"> y los empleados y sus familiares </w:t>
      </w:r>
      <w:r w:rsidR="00467B0D" w:rsidRPr="000B222D">
        <w:rPr>
          <w:rFonts w:ascii="Times New Roman" w:hAnsi="Times New Roman"/>
          <w:sz w:val="24"/>
          <w:szCs w:val="24"/>
        </w:rPr>
        <w:t>que así lo requieran, la adquisición de anteojos (aros + lentes), a través de Ópticas Franklin, quienes ofrecerán en todas sus sucursales, un trato amable, otorgando exámenes visuales gratuitos,  un proceso de alta calidad y exactitud en los lentes. Además brindará</w:t>
      </w:r>
      <w:r w:rsidR="0070457B" w:rsidRPr="000B222D">
        <w:rPr>
          <w:rFonts w:ascii="Times New Roman" w:hAnsi="Times New Roman"/>
          <w:sz w:val="24"/>
          <w:szCs w:val="24"/>
        </w:rPr>
        <w:t>n</w:t>
      </w:r>
      <w:r w:rsidR="00467B0D" w:rsidRPr="000B222D">
        <w:rPr>
          <w:rFonts w:ascii="Times New Roman" w:hAnsi="Times New Roman"/>
          <w:sz w:val="24"/>
          <w:szCs w:val="24"/>
        </w:rPr>
        <w:t xml:space="preserve"> asesoría sobre los distintos precios de aros y lentes, así como ofrecer las diversas opciones de pago</w:t>
      </w:r>
      <w:r w:rsidR="0070457B" w:rsidRPr="000B222D">
        <w:rPr>
          <w:rFonts w:ascii="Times New Roman" w:hAnsi="Times New Roman"/>
          <w:sz w:val="24"/>
          <w:szCs w:val="24"/>
        </w:rPr>
        <w:t>,</w:t>
      </w:r>
      <w:r w:rsidR="00467B0D" w:rsidRPr="000B222D">
        <w:rPr>
          <w:rFonts w:ascii="Times New Roman" w:hAnsi="Times New Roman"/>
          <w:sz w:val="24"/>
          <w:szCs w:val="24"/>
        </w:rPr>
        <w:t xml:space="preserve"> aplicar descuentos especiales a quienes paguen al contado. </w:t>
      </w:r>
      <w:r w:rsidR="00CE1D79" w:rsidRPr="000B222D">
        <w:rPr>
          <w:rFonts w:ascii="Times New Roman" w:hAnsi="Times New Roman"/>
          <w:sz w:val="24"/>
          <w:szCs w:val="24"/>
        </w:rPr>
        <w:t>El CONNA se compromete a descontar mensualmente de la planilla de salario de</w:t>
      </w:r>
      <w:r w:rsidR="00FF32B4" w:rsidRPr="000B222D">
        <w:rPr>
          <w:rFonts w:ascii="Times New Roman" w:hAnsi="Times New Roman"/>
          <w:sz w:val="24"/>
          <w:szCs w:val="24"/>
        </w:rPr>
        <w:t xml:space="preserve"> </w:t>
      </w:r>
      <w:r w:rsidR="00CE1D79" w:rsidRPr="000B222D">
        <w:rPr>
          <w:rFonts w:ascii="Times New Roman" w:hAnsi="Times New Roman"/>
          <w:sz w:val="24"/>
          <w:szCs w:val="24"/>
        </w:rPr>
        <w:t>l</w:t>
      </w:r>
      <w:r w:rsidR="00FF32B4" w:rsidRPr="000B222D">
        <w:rPr>
          <w:rFonts w:ascii="Times New Roman" w:hAnsi="Times New Roman"/>
          <w:sz w:val="24"/>
          <w:szCs w:val="24"/>
        </w:rPr>
        <w:t>as y los</w:t>
      </w:r>
      <w:r w:rsidR="00CE1D79" w:rsidRPr="000B222D">
        <w:rPr>
          <w:rFonts w:ascii="Times New Roman" w:hAnsi="Times New Roman"/>
          <w:sz w:val="24"/>
          <w:szCs w:val="24"/>
        </w:rPr>
        <w:t xml:space="preserve"> </w:t>
      </w:r>
      <w:r w:rsidR="00FF32B4" w:rsidRPr="000B222D">
        <w:rPr>
          <w:rFonts w:ascii="Times New Roman" w:hAnsi="Times New Roman"/>
          <w:sz w:val="24"/>
          <w:szCs w:val="24"/>
        </w:rPr>
        <w:t xml:space="preserve">empleados </w:t>
      </w:r>
      <w:r w:rsidR="00CE1D79" w:rsidRPr="000B222D">
        <w:rPr>
          <w:rFonts w:ascii="Times New Roman" w:hAnsi="Times New Roman"/>
          <w:sz w:val="24"/>
          <w:szCs w:val="24"/>
        </w:rPr>
        <w:t xml:space="preserve"> del CONNA las cuotas correspondientes a anteojos que hayan sido autorizados previamente y a trasladar el pago mensualmente a </w:t>
      </w:r>
      <w:r w:rsidR="00FF32B4" w:rsidRPr="000B222D">
        <w:rPr>
          <w:rFonts w:ascii="Times New Roman" w:hAnsi="Times New Roman"/>
          <w:sz w:val="24"/>
          <w:szCs w:val="24"/>
        </w:rPr>
        <w:t xml:space="preserve">Ópticas Franklin, </w:t>
      </w:r>
      <w:r w:rsidR="00CE1D79" w:rsidRPr="000B222D">
        <w:rPr>
          <w:rFonts w:ascii="Times New Roman" w:hAnsi="Times New Roman"/>
          <w:sz w:val="24"/>
          <w:szCs w:val="24"/>
          <w:lang w:val="es-MX"/>
        </w:rPr>
        <w:t>reali</w:t>
      </w:r>
      <w:r w:rsidR="00FF32B4" w:rsidRPr="000B222D">
        <w:rPr>
          <w:rFonts w:ascii="Times New Roman" w:hAnsi="Times New Roman"/>
          <w:sz w:val="24"/>
          <w:szCs w:val="24"/>
          <w:lang w:val="es-MX"/>
        </w:rPr>
        <w:t>zación de</w:t>
      </w:r>
      <w:r w:rsidR="00CE1D79" w:rsidRPr="000B222D">
        <w:rPr>
          <w:rFonts w:ascii="Times New Roman" w:hAnsi="Times New Roman"/>
          <w:sz w:val="24"/>
          <w:szCs w:val="24"/>
          <w:lang w:val="es-MX"/>
        </w:rPr>
        <w:t xml:space="preserve"> Jornadas de Salud Visual, sin recargo alguno, </w:t>
      </w:r>
      <w:r w:rsidR="00FF32B4" w:rsidRPr="000B222D">
        <w:rPr>
          <w:rFonts w:ascii="Times New Roman" w:hAnsi="Times New Roman"/>
          <w:sz w:val="24"/>
          <w:szCs w:val="24"/>
          <w:lang w:val="es-MX"/>
        </w:rPr>
        <w:t>s</w:t>
      </w:r>
      <w:r w:rsidR="00CE1D79" w:rsidRPr="000B222D">
        <w:rPr>
          <w:rFonts w:ascii="Times New Roman" w:hAnsi="Times New Roman"/>
          <w:sz w:val="24"/>
          <w:szCs w:val="24"/>
          <w:lang w:val="es-MX"/>
        </w:rPr>
        <w:t>ervicio de mantenimiento de anteojos, tales como limpieza, nivelación y ajuste  completamente gratis, en todas las sucursales</w:t>
      </w:r>
      <w:r w:rsidR="00FF32B4" w:rsidRPr="000B222D">
        <w:rPr>
          <w:rFonts w:ascii="Times New Roman" w:hAnsi="Times New Roman"/>
          <w:sz w:val="24"/>
          <w:szCs w:val="24"/>
          <w:lang w:val="es-MX"/>
        </w:rPr>
        <w:t>, entre otros beneficios.</w:t>
      </w:r>
    </w:p>
    <w:p w:rsidR="00BE1CD7" w:rsidRPr="000B222D" w:rsidRDefault="00BE1CD7" w:rsidP="005B2CC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Gestión para vivienda (C.42 CCT)</w:t>
      </w:r>
    </w:p>
    <w:p w:rsidR="00403649" w:rsidRDefault="00403649" w:rsidP="00131D1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Se realizó visita al Fondo Social para la Vivienda, siendo atendidos por el Lic. Wilson Armando Romero, Jefe de Área de Ventas</w:t>
      </w:r>
      <w:r w:rsidR="00B72F4C" w:rsidRPr="000B222D">
        <w:rPr>
          <w:rFonts w:ascii="Times New Roman" w:hAnsi="Times New Roman" w:cs="Times New Roman"/>
          <w:sz w:val="24"/>
          <w:szCs w:val="24"/>
        </w:rPr>
        <w:t xml:space="preserve">, quien </w:t>
      </w:r>
      <w:r w:rsidR="00157B2E" w:rsidRPr="000B222D">
        <w:rPr>
          <w:rFonts w:ascii="Times New Roman" w:hAnsi="Times New Roman" w:cs="Times New Roman"/>
          <w:sz w:val="24"/>
          <w:szCs w:val="24"/>
        </w:rPr>
        <w:t xml:space="preserve">manifestó de algunos beneficios </w:t>
      </w:r>
      <w:r w:rsidR="001424C5" w:rsidRPr="000B222D">
        <w:rPr>
          <w:rFonts w:ascii="Times New Roman" w:hAnsi="Times New Roman" w:cs="Times New Roman"/>
          <w:sz w:val="24"/>
          <w:szCs w:val="24"/>
        </w:rPr>
        <w:t xml:space="preserve">tales como Casa Mujer y Casa Joven entre otros, que </w:t>
      </w:r>
      <w:r w:rsidR="00157B2E" w:rsidRPr="000B222D">
        <w:rPr>
          <w:rFonts w:ascii="Times New Roman" w:hAnsi="Times New Roman" w:cs="Times New Roman"/>
          <w:sz w:val="24"/>
          <w:szCs w:val="24"/>
        </w:rPr>
        <w:t xml:space="preserve">pueden ser presentados al </w:t>
      </w:r>
      <w:r w:rsidR="00B72F4C" w:rsidRPr="000B222D">
        <w:rPr>
          <w:rFonts w:ascii="Times New Roman" w:hAnsi="Times New Roman" w:cs="Times New Roman"/>
          <w:sz w:val="24"/>
          <w:szCs w:val="24"/>
        </w:rPr>
        <w:t xml:space="preserve">realizar una jornada con la Unidad Móvil, para que todo el personal pueda acceder y realizar todo tipo de inquietudes </w:t>
      </w:r>
      <w:r w:rsidR="00B72F4C" w:rsidRPr="000B222D">
        <w:rPr>
          <w:rFonts w:ascii="Times New Roman" w:hAnsi="Times New Roman" w:cs="Times New Roman"/>
          <w:sz w:val="24"/>
          <w:szCs w:val="24"/>
        </w:rPr>
        <w:lastRenderedPageBreak/>
        <w:t>relativas a la adquisición de vivienda</w:t>
      </w:r>
      <w:r w:rsidR="00157B2E" w:rsidRPr="000B222D">
        <w:rPr>
          <w:rFonts w:ascii="Times New Roman" w:hAnsi="Times New Roman" w:cs="Times New Roman"/>
          <w:sz w:val="24"/>
          <w:szCs w:val="24"/>
        </w:rPr>
        <w:t xml:space="preserve"> nueva o usada, la jornada se realizará el </w:t>
      </w:r>
      <w:r w:rsidR="00B937BF">
        <w:rPr>
          <w:rFonts w:ascii="Times New Roman" w:hAnsi="Times New Roman" w:cs="Times New Roman"/>
          <w:sz w:val="24"/>
          <w:szCs w:val="24"/>
        </w:rPr>
        <w:t xml:space="preserve">26 </w:t>
      </w:r>
      <w:r w:rsidR="00157B2E" w:rsidRPr="000B222D">
        <w:rPr>
          <w:rFonts w:ascii="Times New Roman" w:hAnsi="Times New Roman" w:cs="Times New Roman"/>
          <w:sz w:val="24"/>
          <w:szCs w:val="24"/>
        </w:rPr>
        <w:t xml:space="preserve">de </w:t>
      </w:r>
      <w:r w:rsidR="00B94748" w:rsidRPr="000B222D">
        <w:rPr>
          <w:rFonts w:ascii="Times New Roman" w:hAnsi="Times New Roman" w:cs="Times New Roman"/>
          <w:sz w:val="24"/>
          <w:szCs w:val="24"/>
        </w:rPr>
        <w:t>agosto</w:t>
      </w:r>
      <w:r w:rsidR="00157B2E" w:rsidRPr="000B222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111EE7" w:rsidRPr="000B222D" w:rsidRDefault="00111EE7" w:rsidP="00131D1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1CD7" w:rsidRPr="000B222D" w:rsidRDefault="0022268A" w:rsidP="005B2CC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Salud Preventiva </w:t>
      </w:r>
      <w:r w:rsidR="00BE1CD7" w:rsidRPr="000B222D">
        <w:rPr>
          <w:rFonts w:ascii="Times New Roman" w:hAnsi="Times New Roman" w:cs="Times New Roman"/>
          <w:sz w:val="24"/>
          <w:szCs w:val="24"/>
        </w:rPr>
        <w:t>(C.</w:t>
      </w:r>
      <w:r w:rsidRPr="000B222D">
        <w:rPr>
          <w:rFonts w:ascii="Times New Roman" w:hAnsi="Times New Roman" w:cs="Times New Roman"/>
          <w:sz w:val="24"/>
          <w:szCs w:val="24"/>
        </w:rPr>
        <w:t>37</w:t>
      </w:r>
      <w:r w:rsidR="00BE1CD7" w:rsidRPr="000B222D">
        <w:rPr>
          <w:rFonts w:ascii="Times New Roman" w:hAnsi="Times New Roman" w:cs="Times New Roman"/>
          <w:sz w:val="24"/>
          <w:szCs w:val="24"/>
        </w:rPr>
        <w:t xml:space="preserve"> CCT)</w:t>
      </w:r>
    </w:p>
    <w:p w:rsidR="001424C5" w:rsidRPr="000B222D" w:rsidRDefault="001424C5" w:rsidP="00131D1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La clínica institucional en coordinación con la clínica médica del Instituto Salvadoreño del Seguro Social, ubicada en San Jacinto, </w:t>
      </w:r>
      <w:r w:rsidR="00C53FCD" w:rsidRPr="000B222D">
        <w:rPr>
          <w:rFonts w:ascii="Times New Roman" w:hAnsi="Times New Roman" w:cs="Times New Roman"/>
          <w:sz w:val="24"/>
          <w:szCs w:val="24"/>
        </w:rPr>
        <w:t>han</w:t>
      </w:r>
      <w:r w:rsidRPr="000B222D">
        <w:rPr>
          <w:rFonts w:ascii="Times New Roman" w:hAnsi="Times New Roman" w:cs="Times New Roman"/>
          <w:sz w:val="24"/>
          <w:szCs w:val="24"/>
        </w:rPr>
        <w:t xml:space="preserve"> realizando diferentes actividades</w:t>
      </w:r>
      <w:r w:rsidR="00181BFA" w:rsidRPr="000B222D">
        <w:rPr>
          <w:rFonts w:ascii="Times New Roman" w:hAnsi="Times New Roman" w:cs="Times New Roman"/>
          <w:sz w:val="24"/>
          <w:szCs w:val="24"/>
        </w:rPr>
        <w:t xml:space="preserve"> en pro de la salud preventiva del personal de la Sede </w:t>
      </w:r>
      <w:r w:rsidR="00D659CB" w:rsidRPr="000B222D">
        <w:rPr>
          <w:rFonts w:ascii="Times New Roman" w:hAnsi="Times New Roman" w:cs="Times New Roman"/>
          <w:sz w:val="24"/>
          <w:szCs w:val="24"/>
        </w:rPr>
        <w:t xml:space="preserve">Central, tales como: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4962"/>
      </w:tblGrid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en que se realizó la actividad</w:t>
            </w:r>
          </w:p>
        </w:tc>
        <w:tc>
          <w:tcPr>
            <w:tcW w:w="4962" w:type="dxa"/>
          </w:tcPr>
          <w:p w:rsidR="00240867" w:rsidRDefault="00240867" w:rsidP="00FB133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B1334" w:rsidRDefault="00FB1334" w:rsidP="00FB133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Actividad</w:t>
            </w:r>
          </w:p>
        </w:tc>
      </w:tr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01/03/2018</w:t>
            </w:r>
          </w:p>
        </w:tc>
        <w:tc>
          <w:tcPr>
            <w:tcW w:w="4962" w:type="dxa"/>
          </w:tcPr>
          <w:p w:rsidR="00FB1334" w:rsidRDefault="00FB1334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Uso y abuso de drogas</w:t>
            </w:r>
          </w:p>
        </w:tc>
      </w:tr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15/03/2018</w:t>
            </w:r>
          </w:p>
        </w:tc>
        <w:tc>
          <w:tcPr>
            <w:tcW w:w="4962" w:type="dxa"/>
          </w:tcPr>
          <w:p w:rsidR="00FB1334" w:rsidRDefault="00FB1334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Información sobre </w:t>
            </w:r>
            <w:r w:rsidR="00F83BF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línica de </w:t>
            </w:r>
            <w:r w:rsidR="00F83BF0">
              <w:rPr>
                <w:rFonts w:ascii="Times New Roman" w:hAnsi="Times New Roman" w:cs="Times New Roman"/>
              </w:rPr>
              <w:t>Cesantía</w:t>
            </w:r>
            <w:r>
              <w:rPr>
                <w:rFonts w:ascii="Times New Roman" w:hAnsi="Times New Roman" w:cs="Times New Roman"/>
              </w:rPr>
              <w:t xml:space="preserve"> de </w:t>
            </w:r>
            <w:r w:rsidR="00F83BF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abaco</w:t>
            </w:r>
          </w:p>
        </w:tc>
      </w:tr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21/03/2018</w:t>
            </w:r>
          </w:p>
        </w:tc>
        <w:tc>
          <w:tcPr>
            <w:tcW w:w="4962" w:type="dxa"/>
          </w:tcPr>
          <w:p w:rsidR="00FB1334" w:rsidRDefault="00FB1334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Primera Campaña de Citología</w:t>
            </w:r>
          </w:p>
        </w:tc>
      </w:tr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31/05/2018</w:t>
            </w:r>
          </w:p>
        </w:tc>
        <w:tc>
          <w:tcPr>
            <w:tcW w:w="4962" w:type="dxa"/>
          </w:tcPr>
          <w:p w:rsidR="00FB1334" w:rsidRDefault="00FB1334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 sobre prevención de enfermedades gastrointestinales</w:t>
            </w:r>
          </w:p>
        </w:tc>
      </w:tr>
      <w:tr w:rsidR="00FB1334" w:rsidTr="00535EC6">
        <w:trPr>
          <w:jc w:val="center"/>
        </w:trPr>
        <w:tc>
          <w:tcPr>
            <w:tcW w:w="2110" w:type="dxa"/>
          </w:tcPr>
          <w:p w:rsidR="00FB1334" w:rsidRDefault="00FB1334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28/06/2018</w:t>
            </w:r>
          </w:p>
        </w:tc>
        <w:tc>
          <w:tcPr>
            <w:tcW w:w="4962" w:type="dxa"/>
          </w:tcPr>
          <w:p w:rsidR="00FB1334" w:rsidRDefault="00FB1334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Charla sobre “Acoso Laboral”</w:t>
            </w:r>
          </w:p>
        </w:tc>
      </w:tr>
      <w:tr w:rsidR="00D0641E" w:rsidTr="00535EC6">
        <w:trPr>
          <w:jc w:val="center"/>
        </w:trPr>
        <w:tc>
          <w:tcPr>
            <w:tcW w:w="2110" w:type="dxa"/>
          </w:tcPr>
          <w:p w:rsidR="00D0641E" w:rsidRDefault="00D0641E" w:rsidP="00FB1334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4962" w:type="dxa"/>
          </w:tcPr>
          <w:p w:rsidR="00D0641E" w:rsidRDefault="00D0641E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Primeros Auxilios</w:t>
            </w:r>
          </w:p>
        </w:tc>
      </w:tr>
      <w:tr w:rsidR="00D0641E" w:rsidTr="00535EC6">
        <w:trPr>
          <w:jc w:val="center"/>
        </w:trPr>
        <w:tc>
          <w:tcPr>
            <w:tcW w:w="2110" w:type="dxa"/>
          </w:tcPr>
          <w:p w:rsidR="00D0641E" w:rsidRDefault="00D0641E" w:rsidP="00D0641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Primero y segundo trimestre</w:t>
            </w:r>
          </w:p>
        </w:tc>
        <w:tc>
          <w:tcPr>
            <w:tcW w:w="4962" w:type="dxa"/>
          </w:tcPr>
          <w:p w:rsidR="00D0641E" w:rsidRDefault="00D0641E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Jornadas educativas en las sedes departamentales </w:t>
            </w:r>
          </w:p>
        </w:tc>
      </w:tr>
      <w:tr w:rsidR="00D0641E" w:rsidTr="00535EC6">
        <w:trPr>
          <w:jc w:val="center"/>
        </w:trPr>
        <w:tc>
          <w:tcPr>
            <w:tcW w:w="2110" w:type="dxa"/>
          </w:tcPr>
          <w:p w:rsidR="00D0641E" w:rsidRDefault="00D0641E" w:rsidP="00D0641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Primero y segundo trimestre</w:t>
            </w:r>
          </w:p>
        </w:tc>
        <w:tc>
          <w:tcPr>
            <w:tcW w:w="4962" w:type="dxa"/>
          </w:tcPr>
          <w:p w:rsidR="00D0641E" w:rsidRDefault="00D0641E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Exámenes de tamizaje</w:t>
            </w:r>
          </w:p>
        </w:tc>
      </w:tr>
      <w:tr w:rsidR="00D0641E" w:rsidTr="00535EC6">
        <w:trPr>
          <w:jc w:val="center"/>
        </w:trPr>
        <w:tc>
          <w:tcPr>
            <w:tcW w:w="2110" w:type="dxa"/>
          </w:tcPr>
          <w:p w:rsidR="00D0641E" w:rsidRDefault="00D0641E" w:rsidP="00D0641E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Marzo/2018</w:t>
            </w:r>
          </w:p>
        </w:tc>
        <w:tc>
          <w:tcPr>
            <w:tcW w:w="4962" w:type="dxa"/>
          </w:tcPr>
          <w:p w:rsidR="00D0641E" w:rsidRDefault="00D0641E" w:rsidP="00D064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Inspección sanitaria en baños para eliminación de vectores. </w:t>
            </w:r>
          </w:p>
        </w:tc>
      </w:tr>
    </w:tbl>
    <w:p w:rsidR="00FB1334" w:rsidRDefault="00FB1334" w:rsidP="001424C5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BE1CD7" w:rsidRPr="000B222D" w:rsidRDefault="0022268A" w:rsidP="005B2CC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Actividades Sociales, Culturales, Artísticas y Deportivas </w:t>
      </w:r>
      <w:r w:rsidR="00BE1CD7" w:rsidRPr="000B222D">
        <w:rPr>
          <w:rFonts w:ascii="Times New Roman" w:hAnsi="Times New Roman" w:cs="Times New Roman"/>
          <w:sz w:val="24"/>
          <w:szCs w:val="24"/>
        </w:rPr>
        <w:t>(C.4</w:t>
      </w:r>
      <w:r w:rsidRPr="000B222D">
        <w:rPr>
          <w:rFonts w:ascii="Times New Roman" w:hAnsi="Times New Roman" w:cs="Times New Roman"/>
          <w:sz w:val="24"/>
          <w:szCs w:val="24"/>
        </w:rPr>
        <w:t>3</w:t>
      </w:r>
      <w:r w:rsidR="00BE1CD7" w:rsidRPr="000B222D">
        <w:rPr>
          <w:rFonts w:ascii="Times New Roman" w:hAnsi="Times New Roman" w:cs="Times New Roman"/>
          <w:sz w:val="24"/>
          <w:szCs w:val="24"/>
        </w:rPr>
        <w:t xml:space="preserve"> CCT)</w:t>
      </w:r>
    </w:p>
    <w:p w:rsidR="00403649" w:rsidRPr="000B222D" w:rsidRDefault="00403649" w:rsidP="00131D1F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Se realizó visita al Instituto Nacional de los Deportes con el Lic. Ernesto Antonio Hernández, Gerente de Deporte Social, </w:t>
      </w:r>
      <w:r w:rsidR="00883C97" w:rsidRPr="000B222D">
        <w:rPr>
          <w:rFonts w:ascii="Times New Roman" w:hAnsi="Times New Roman" w:cs="Times New Roman"/>
          <w:sz w:val="24"/>
          <w:szCs w:val="24"/>
        </w:rPr>
        <w:t>quien manifestó que se podría gestionar diferentes beneficios mediant</w:t>
      </w:r>
      <w:r w:rsidR="00C57636" w:rsidRPr="000B222D">
        <w:rPr>
          <w:rFonts w:ascii="Times New Roman" w:hAnsi="Times New Roman" w:cs="Times New Roman"/>
          <w:sz w:val="24"/>
          <w:szCs w:val="24"/>
        </w:rPr>
        <w:t xml:space="preserve">e solicitud escrita dirigida al Lic. Jorge Pérez, Presidente del INDES, </w:t>
      </w:r>
      <w:r w:rsidR="00535EC6" w:rsidRPr="000B222D">
        <w:rPr>
          <w:rFonts w:ascii="Times New Roman" w:hAnsi="Times New Roman" w:cs="Times New Roman"/>
          <w:sz w:val="24"/>
          <w:szCs w:val="24"/>
        </w:rPr>
        <w:t>requiriendo</w:t>
      </w:r>
      <w:r w:rsidR="00B72F4C" w:rsidRPr="000B222D">
        <w:rPr>
          <w:rFonts w:ascii="Times New Roman" w:hAnsi="Times New Roman" w:cs="Times New Roman"/>
          <w:sz w:val="24"/>
          <w:szCs w:val="24"/>
        </w:rPr>
        <w:t xml:space="preserve"> los siguientes beneficios:</w:t>
      </w:r>
    </w:p>
    <w:p w:rsidR="005B2CC0" w:rsidRPr="000B222D" w:rsidRDefault="005B2CC0" w:rsidP="005B2CC0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Entrada gratis </w:t>
      </w:r>
      <w:r w:rsidR="00D659CB" w:rsidRPr="000B222D">
        <w:rPr>
          <w:rFonts w:ascii="Times New Roman" w:hAnsi="Times New Roman" w:cs="Times New Roman"/>
          <w:sz w:val="24"/>
          <w:szCs w:val="24"/>
        </w:rPr>
        <w:t xml:space="preserve">para niñas, niños y adolescentes que comprenden las edades de 7 a 17 años, </w:t>
      </w:r>
      <w:r w:rsidRPr="000B222D">
        <w:rPr>
          <w:rFonts w:ascii="Times New Roman" w:hAnsi="Times New Roman" w:cs="Times New Roman"/>
          <w:sz w:val="24"/>
          <w:szCs w:val="24"/>
        </w:rPr>
        <w:t>a la Cancha del Polvorín ubicada frente al Zoológico Nacional de lunes a viernes, de 08:00 am a 12:00 md. Y de 02:00/04:00 pm., al mismo tiempo pueden ser beneficiarios del programa de natación im</w:t>
      </w:r>
      <w:r w:rsidR="00113CF0" w:rsidRPr="000B222D">
        <w:rPr>
          <w:rFonts w:ascii="Times New Roman" w:hAnsi="Times New Roman" w:cs="Times New Roman"/>
          <w:sz w:val="24"/>
          <w:szCs w:val="24"/>
        </w:rPr>
        <w:t>partido por personal profesional del INDES</w:t>
      </w:r>
      <w:r w:rsidRPr="000B222D">
        <w:rPr>
          <w:rFonts w:ascii="Times New Roman" w:hAnsi="Times New Roman" w:cs="Times New Roman"/>
          <w:sz w:val="24"/>
          <w:szCs w:val="24"/>
        </w:rPr>
        <w:t>.</w:t>
      </w:r>
    </w:p>
    <w:p w:rsidR="005B2CC0" w:rsidRPr="000B222D" w:rsidRDefault="005B2CC0" w:rsidP="005B2CC0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Programa de aprendizaje de natación para personas adultas </w:t>
      </w:r>
      <w:r w:rsidR="00113CF0" w:rsidRPr="000B222D">
        <w:rPr>
          <w:rFonts w:ascii="Times New Roman" w:hAnsi="Times New Roman" w:cs="Times New Roman"/>
          <w:sz w:val="24"/>
          <w:szCs w:val="24"/>
        </w:rPr>
        <w:t xml:space="preserve">de lunes a viernes </w:t>
      </w:r>
      <w:r w:rsidRPr="000B222D">
        <w:rPr>
          <w:rFonts w:ascii="Times New Roman" w:hAnsi="Times New Roman" w:cs="Times New Roman"/>
          <w:sz w:val="24"/>
          <w:szCs w:val="24"/>
        </w:rPr>
        <w:t xml:space="preserve">a partir de 06:00 </w:t>
      </w:r>
      <w:r w:rsidR="00F635C5" w:rsidRPr="000B222D">
        <w:rPr>
          <w:rFonts w:ascii="Times New Roman" w:hAnsi="Times New Roman" w:cs="Times New Roman"/>
          <w:sz w:val="24"/>
          <w:szCs w:val="24"/>
        </w:rPr>
        <w:t>a 08:00 pm</w:t>
      </w:r>
      <w:r w:rsidRPr="000B222D">
        <w:rPr>
          <w:rFonts w:ascii="Times New Roman" w:hAnsi="Times New Roman" w:cs="Times New Roman"/>
          <w:sz w:val="24"/>
          <w:szCs w:val="24"/>
        </w:rPr>
        <w:t>., en el</w:t>
      </w:r>
      <w:r w:rsidR="00113CF0" w:rsidRPr="000B222D">
        <w:rPr>
          <w:rFonts w:ascii="Times New Roman" w:hAnsi="Times New Roman" w:cs="Times New Roman"/>
          <w:sz w:val="24"/>
          <w:szCs w:val="24"/>
        </w:rPr>
        <w:t xml:space="preserve"> Polideportivo de Ciudad </w:t>
      </w:r>
      <w:proofErr w:type="spellStart"/>
      <w:r w:rsidR="00113CF0" w:rsidRPr="000B222D">
        <w:rPr>
          <w:rFonts w:ascii="Times New Roman" w:hAnsi="Times New Roman" w:cs="Times New Roman"/>
          <w:sz w:val="24"/>
          <w:szCs w:val="24"/>
        </w:rPr>
        <w:t>Merliot</w:t>
      </w:r>
      <w:proofErr w:type="spellEnd"/>
      <w:r w:rsidR="00113CF0" w:rsidRPr="000B222D">
        <w:rPr>
          <w:rFonts w:ascii="Times New Roman" w:hAnsi="Times New Roman" w:cs="Times New Roman"/>
          <w:sz w:val="24"/>
          <w:szCs w:val="24"/>
        </w:rPr>
        <w:t>.</w:t>
      </w:r>
    </w:p>
    <w:p w:rsidR="006B4D27" w:rsidRDefault="006B4D27" w:rsidP="006B4D27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lastRenderedPageBreak/>
        <w:t>Se está realizando gestiones con la Casa de la Cultura, a fin que las hijas e hijos de las y los empleados del CONNA, puedan participar en diferentes programas que ofrece SECULTURA.</w:t>
      </w:r>
    </w:p>
    <w:p w:rsidR="00B937BF" w:rsidRDefault="00B937BF" w:rsidP="006B4D27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realizó contacto vía telefónica con el Ministerio de Trabajo, consultando sobre las facilidades de ingreso a los Centros Recreativos, manifestando que la persona interesada puede acudir a </w:t>
      </w:r>
      <w:r w:rsidR="00DA725A">
        <w:rPr>
          <w:rFonts w:ascii="Times New Roman" w:hAnsi="Times New Roman" w:cs="Times New Roman"/>
          <w:sz w:val="24"/>
          <w:szCs w:val="24"/>
        </w:rPr>
        <w:t>cualquiera</w:t>
      </w:r>
      <w:r>
        <w:rPr>
          <w:rFonts w:ascii="Times New Roman" w:hAnsi="Times New Roman" w:cs="Times New Roman"/>
          <w:sz w:val="24"/>
          <w:szCs w:val="24"/>
        </w:rPr>
        <w:t xml:space="preserve"> de los 4 Centros Recreativos, únicamente cance</w:t>
      </w:r>
      <w:r w:rsidR="00DA725A">
        <w:rPr>
          <w:rFonts w:ascii="Times New Roman" w:hAnsi="Times New Roman" w:cs="Times New Roman"/>
          <w:sz w:val="24"/>
          <w:szCs w:val="24"/>
        </w:rPr>
        <w:t>lando los aranceles a utilizar como por ejemplo entrada al lugar, uso de cabañas, etc., en las oficinas del Ministerio de Trabajo o en el centro recreativo elegido</w:t>
      </w:r>
      <w:r w:rsidR="000F2BA8">
        <w:rPr>
          <w:rFonts w:ascii="Times New Roman" w:hAnsi="Times New Roman" w:cs="Times New Roman"/>
          <w:sz w:val="24"/>
          <w:szCs w:val="24"/>
        </w:rPr>
        <w:t xml:space="preserve"> el día de la visita, aclarando que las y los empleados de gobierno con carnet no pagan la entrada, las niñas, niños y adolescentes pagan por su ingres</w:t>
      </w:r>
      <w:r w:rsidR="003C6AB3">
        <w:rPr>
          <w:rFonts w:ascii="Times New Roman" w:hAnsi="Times New Roman" w:cs="Times New Roman"/>
          <w:sz w:val="24"/>
          <w:szCs w:val="24"/>
        </w:rPr>
        <w:t>o el monto de $0.50 por persona, los centros recreativos son los siguientes:</w:t>
      </w:r>
    </w:p>
    <w:p w:rsidR="003C6AB3" w:rsidRPr="003C6AB3" w:rsidRDefault="003C6AB3" w:rsidP="003C6AB3">
      <w:pPr>
        <w:pStyle w:val="Prrafodelista"/>
        <w:numPr>
          <w:ilvl w:val="0"/>
          <w:numId w:val="4"/>
        </w:numPr>
        <w:spacing w:before="150"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SV"/>
        </w:rPr>
      </w:pPr>
      <w:r w:rsidRPr="003C6A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SV"/>
        </w:rPr>
        <w:t>“Constitución 1950″, Lago de Coatepeque – Departamento de Santa Ana</w:t>
      </w:r>
    </w:p>
    <w:p w:rsidR="003C6AB3" w:rsidRPr="003C6AB3" w:rsidRDefault="003C6AB3" w:rsidP="003C6AB3">
      <w:pPr>
        <w:pStyle w:val="Ttulo1"/>
        <w:numPr>
          <w:ilvl w:val="0"/>
          <w:numId w:val="4"/>
        </w:numPr>
        <w:spacing w:before="15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 w:rsidRPr="003C6AB3">
        <w:rPr>
          <w:b w:val="0"/>
          <w:sz w:val="24"/>
          <w:szCs w:val="24"/>
        </w:rPr>
        <w:t xml:space="preserve">“Dr. Miguel </w:t>
      </w:r>
      <w:proofErr w:type="spellStart"/>
      <w:r w:rsidRPr="003C6AB3">
        <w:rPr>
          <w:b w:val="0"/>
          <w:sz w:val="24"/>
          <w:szCs w:val="24"/>
        </w:rPr>
        <w:t>Felix</w:t>
      </w:r>
      <w:proofErr w:type="spellEnd"/>
      <w:r w:rsidRPr="003C6AB3">
        <w:rPr>
          <w:b w:val="0"/>
          <w:sz w:val="24"/>
          <w:szCs w:val="24"/>
        </w:rPr>
        <w:t xml:space="preserve"> </w:t>
      </w:r>
      <w:proofErr w:type="spellStart"/>
      <w:r w:rsidRPr="003C6AB3">
        <w:rPr>
          <w:b w:val="0"/>
          <w:sz w:val="24"/>
          <w:szCs w:val="24"/>
        </w:rPr>
        <w:t>Charlaix</w:t>
      </w:r>
      <w:proofErr w:type="spellEnd"/>
      <w:r w:rsidRPr="003C6AB3">
        <w:rPr>
          <w:b w:val="0"/>
          <w:sz w:val="24"/>
          <w:szCs w:val="24"/>
        </w:rPr>
        <w:t>”, El Tamarindo – Departamento de La Unión</w:t>
      </w:r>
    </w:p>
    <w:p w:rsidR="003C6AB3" w:rsidRPr="003C6AB3" w:rsidRDefault="003C6AB3" w:rsidP="003C6AB3">
      <w:pPr>
        <w:pStyle w:val="Ttulo1"/>
        <w:numPr>
          <w:ilvl w:val="0"/>
          <w:numId w:val="4"/>
        </w:numPr>
        <w:spacing w:before="15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 w:rsidRPr="003C6AB3">
        <w:rPr>
          <w:b w:val="0"/>
          <w:sz w:val="24"/>
          <w:szCs w:val="24"/>
        </w:rPr>
        <w:t>“Dr. Mario Zamora Rivas”, La Palma – Departamento de Chalatenango</w:t>
      </w:r>
    </w:p>
    <w:p w:rsidR="003C6AB3" w:rsidRPr="003C6AB3" w:rsidRDefault="003C6AB3" w:rsidP="003C6AB3">
      <w:pPr>
        <w:pStyle w:val="Ttulo1"/>
        <w:numPr>
          <w:ilvl w:val="0"/>
          <w:numId w:val="4"/>
        </w:numPr>
        <w:spacing w:before="15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 w:rsidRPr="003C6AB3">
        <w:rPr>
          <w:b w:val="0"/>
          <w:sz w:val="24"/>
          <w:szCs w:val="24"/>
        </w:rPr>
        <w:t xml:space="preserve">“Dr. Humberto Romero </w:t>
      </w:r>
      <w:proofErr w:type="spellStart"/>
      <w:r w:rsidRPr="003C6AB3">
        <w:rPr>
          <w:b w:val="0"/>
          <w:sz w:val="24"/>
          <w:szCs w:val="24"/>
        </w:rPr>
        <w:t>Alvergue</w:t>
      </w:r>
      <w:proofErr w:type="spellEnd"/>
      <w:r w:rsidRPr="003C6AB3">
        <w:rPr>
          <w:b w:val="0"/>
          <w:sz w:val="24"/>
          <w:szCs w:val="24"/>
        </w:rPr>
        <w:t xml:space="preserve">”, </w:t>
      </w:r>
      <w:proofErr w:type="spellStart"/>
      <w:r w:rsidRPr="003C6AB3">
        <w:rPr>
          <w:b w:val="0"/>
          <w:sz w:val="24"/>
          <w:szCs w:val="24"/>
        </w:rPr>
        <w:t>Conchalío</w:t>
      </w:r>
      <w:proofErr w:type="spellEnd"/>
      <w:r w:rsidRPr="003C6AB3">
        <w:rPr>
          <w:b w:val="0"/>
          <w:sz w:val="24"/>
          <w:szCs w:val="24"/>
        </w:rPr>
        <w:t xml:space="preserve"> – Departamento de La Libertad</w:t>
      </w:r>
    </w:p>
    <w:p w:rsidR="0022268A" w:rsidRPr="000B222D" w:rsidRDefault="0022268A" w:rsidP="00BB49D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Insumos para atención a niñez y adolescencia (C.53 CCT)</w:t>
      </w:r>
    </w:p>
    <w:p w:rsidR="00FE2BA4" w:rsidRPr="000B222D" w:rsidRDefault="00FE2BA4" w:rsidP="00FE2BA4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>Se está realizando gestiones para celebrar en el mes de octubre a la niñez y la adolescencia.</w:t>
      </w:r>
    </w:p>
    <w:p w:rsidR="00FE2BA4" w:rsidRPr="000B222D" w:rsidRDefault="00AB41DA" w:rsidP="00FE2BA4">
      <w:pPr>
        <w:pStyle w:val="Prrafodelista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222D">
        <w:rPr>
          <w:rFonts w:ascii="Times New Roman" w:hAnsi="Times New Roman" w:cs="Times New Roman"/>
          <w:sz w:val="24"/>
          <w:szCs w:val="24"/>
        </w:rPr>
        <w:t xml:space="preserve">Se está realizando gestiones </w:t>
      </w:r>
      <w:r w:rsidR="00FE2BA4" w:rsidRPr="000B222D">
        <w:rPr>
          <w:rFonts w:ascii="Times New Roman" w:hAnsi="Times New Roman" w:cs="Times New Roman"/>
          <w:sz w:val="24"/>
          <w:szCs w:val="24"/>
        </w:rPr>
        <w:t>con</w:t>
      </w:r>
      <w:r w:rsidRPr="000B222D">
        <w:rPr>
          <w:rFonts w:ascii="Times New Roman" w:hAnsi="Times New Roman" w:cs="Times New Roman"/>
          <w:sz w:val="24"/>
          <w:szCs w:val="24"/>
        </w:rPr>
        <w:t xml:space="preserve"> la</w:t>
      </w:r>
      <w:r w:rsidR="00FE2BA4" w:rsidRPr="000B222D">
        <w:rPr>
          <w:rFonts w:ascii="Times New Roman" w:hAnsi="Times New Roman" w:cs="Times New Roman"/>
          <w:sz w:val="24"/>
          <w:szCs w:val="24"/>
        </w:rPr>
        <w:t xml:space="preserve"> </w:t>
      </w:r>
      <w:r w:rsidRPr="000B222D">
        <w:rPr>
          <w:rFonts w:ascii="Times New Roman" w:hAnsi="Times New Roman" w:cs="Times New Roman"/>
          <w:sz w:val="24"/>
          <w:szCs w:val="24"/>
        </w:rPr>
        <w:t>U</w:t>
      </w:r>
      <w:r w:rsidR="00FE2BA4" w:rsidRPr="000B222D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044CEB" w:rsidRPr="000B222D">
        <w:rPr>
          <w:rFonts w:ascii="Times New Roman" w:hAnsi="Times New Roman" w:cs="Times New Roman"/>
          <w:sz w:val="24"/>
          <w:szCs w:val="24"/>
        </w:rPr>
        <w:t>Tecnológica</w:t>
      </w:r>
      <w:r w:rsidR="00FE2BA4" w:rsidRPr="000B222D">
        <w:rPr>
          <w:rFonts w:ascii="Times New Roman" w:hAnsi="Times New Roman" w:cs="Times New Roman"/>
          <w:sz w:val="24"/>
          <w:szCs w:val="24"/>
        </w:rPr>
        <w:t xml:space="preserve"> de El Salvador, para que estudiantes </w:t>
      </w:r>
      <w:r w:rsidRPr="000B222D">
        <w:rPr>
          <w:rFonts w:ascii="Times New Roman" w:hAnsi="Times New Roman" w:cs="Times New Roman"/>
          <w:sz w:val="24"/>
          <w:szCs w:val="24"/>
        </w:rPr>
        <w:t xml:space="preserve">de último año </w:t>
      </w:r>
      <w:r w:rsidR="00FE2BA4" w:rsidRPr="000B222D">
        <w:rPr>
          <w:rFonts w:ascii="Times New Roman" w:hAnsi="Times New Roman" w:cs="Times New Roman"/>
          <w:sz w:val="24"/>
          <w:szCs w:val="24"/>
        </w:rPr>
        <w:t>de la carrera de Idiomas</w:t>
      </w:r>
      <w:r w:rsidRPr="000B222D">
        <w:rPr>
          <w:rFonts w:ascii="Times New Roman" w:hAnsi="Times New Roman" w:cs="Times New Roman"/>
          <w:sz w:val="24"/>
          <w:szCs w:val="24"/>
        </w:rPr>
        <w:t>,</w:t>
      </w:r>
      <w:r w:rsidR="00FE2BA4" w:rsidRPr="000B222D">
        <w:rPr>
          <w:rFonts w:ascii="Times New Roman" w:hAnsi="Times New Roman" w:cs="Times New Roman"/>
          <w:sz w:val="24"/>
          <w:szCs w:val="24"/>
        </w:rPr>
        <w:t xml:space="preserve"> impartan clases de inglés gratis a las hijas e hijos de las y los empleados del CONNA.,</w:t>
      </w:r>
      <w:r w:rsidRPr="000B222D">
        <w:rPr>
          <w:rFonts w:ascii="Times New Roman" w:hAnsi="Times New Roman" w:cs="Times New Roman"/>
          <w:sz w:val="24"/>
          <w:szCs w:val="24"/>
        </w:rPr>
        <w:t xml:space="preserve"> en los meses de Octubre, Noviembre y Diciembre.</w:t>
      </w:r>
    </w:p>
    <w:p w:rsidR="00EC49BC" w:rsidRDefault="00EC49BC" w:rsidP="00EC49BC">
      <w:pPr>
        <w:spacing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EC49BC">
      <w:pPr>
        <w:spacing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EC49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</w:t>
      </w:r>
    </w:p>
    <w:p w:rsidR="00EC49BC" w:rsidRDefault="00EC49BC" w:rsidP="00EC49BC">
      <w:pPr>
        <w:spacing w:line="360" w:lineRule="auto"/>
        <w:jc w:val="both"/>
        <w:rPr>
          <w:rFonts w:ascii="Times New Roman" w:hAnsi="Times New Roman" w:cs="Times New Roman"/>
        </w:rPr>
      </w:pPr>
    </w:p>
    <w:p w:rsidR="00EC49BC" w:rsidRDefault="00EC49BC" w:rsidP="00EC49BC">
      <w:pPr>
        <w:spacing w:line="360" w:lineRule="auto"/>
        <w:jc w:val="both"/>
        <w:rPr>
          <w:rFonts w:ascii="Times New Roman" w:hAnsi="Times New Roman" w:cs="Times New Roman"/>
        </w:rPr>
      </w:pPr>
    </w:p>
    <w:p w:rsidR="00EC49BC" w:rsidRPr="00EC49BC" w:rsidRDefault="00EC49BC" w:rsidP="00EC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9BC">
        <w:rPr>
          <w:rFonts w:ascii="Times New Roman" w:hAnsi="Times New Roman" w:cs="Times New Roman"/>
          <w:b/>
        </w:rPr>
        <w:t>Silvia Soledad Orellana Guillén</w:t>
      </w:r>
    </w:p>
    <w:p w:rsidR="00EC49BC" w:rsidRPr="00EC49BC" w:rsidRDefault="00EC49BC" w:rsidP="00EC49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9BC">
        <w:rPr>
          <w:rFonts w:ascii="Times New Roman" w:hAnsi="Times New Roman" w:cs="Times New Roman"/>
          <w:b/>
        </w:rPr>
        <w:t>Oficial de Información</w:t>
      </w:r>
    </w:p>
    <w:sectPr w:rsidR="00EC49BC" w:rsidRPr="00EC49B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F5" w:rsidRDefault="006E42F5" w:rsidP="005B4673">
      <w:pPr>
        <w:spacing w:after="0" w:line="240" w:lineRule="auto"/>
      </w:pPr>
      <w:r>
        <w:separator/>
      </w:r>
    </w:p>
  </w:endnote>
  <w:endnote w:type="continuationSeparator" w:id="0">
    <w:p w:rsidR="006E42F5" w:rsidRDefault="006E42F5" w:rsidP="005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673" w:rsidRDefault="005B4673" w:rsidP="005B4673">
    <w:pPr>
      <w:tabs>
        <w:tab w:val="center" w:pos="4419"/>
        <w:tab w:val="right" w:pos="8838"/>
      </w:tabs>
      <w:spacing w:after="0" w:line="240" w:lineRule="auto"/>
      <w:jc w:val="center"/>
      <w:rPr>
        <w:rFonts w:ascii="Monotype Corsiva" w:eastAsia="Calibri" w:hAnsi="Monotype Corsiva"/>
        <w:color w:val="29B7EB"/>
      </w:rPr>
    </w:pPr>
    <w:r>
      <w:rPr>
        <w:rFonts w:ascii="Monotype Corsiva" w:eastAsia="Calibri" w:hAnsi="Monotype Corsiva"/>
        <w:color w:val="29B7EB"/>
      </w:rPr>
      <w:t>“La niñez y la adolescencia nuestra prioridad”</w:t>
    </w:r>
  </w:p>
  <w:p w:rsidR="005B4673" w:rsidRDefault="005B4673" w:rsidP="005B4673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Tel. 2511-5450 y 2511-5465    www.conna.gob.sv</w:t>
    </w:r>
  </w:p>
  <w:p w:rsidR="005B4673" w:rsidRDefault="005B4673" w:rsidP="005B4673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>
      <w:rPr>
        <w:rFonts w:ascii="Times New Roman" w:eastAsia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sz w:val="18"/>
        <w:szCs w:val="18"/>
      </w:rPr>
      <w:t>Col. Costa Rica, Av. Irazú y Final Calle Santa Marta, N°2, San Salvador, El Salvador</w:t>
    </w:r>
  </w:p>
  <w:p w:rsidR="005B4673" w:rsidRDefault="005B4673" w:rsidP="005B46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F5" w:rsidRDefault="006E42F5" w:rsidP="005B4673">
      <w:pPr>
        <w:spacing w:after="0" w:line="240" w:lineRule="auto"/>
      </w:pPr>
      <w:r>
        <w:separator/>
      </w:r>
    </w:p>
  </w:footnote>
  <w:footnote w:type="continuationSeparator" w:id="0">
    <w:p w:rsidR="006E42F5" w:rsidRDefault="006E42F5" w:rsidP="005B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673" w:rsidRDefault="005B4673" w:rsidP="005B4673">
    <w:pPr>
      <w:pStyle w:val="Encabezado"/>
      <w:tabs>
        <w:tab w:val="left" w:pos="945"/>
      </w:tabs>
      <w:rPr>
        <w:rFonts w:ascii="Calibri" w:eastAsia="Calibri" w:hAnsi="Calibri"/>
        <w:noProof/>
      </w:rPr>
    </w:pPr>
    <w:r>
      <w:rPr>
        <w:noProof/>
        <w:lang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1" r="17384" b="134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 Demi" w:hAnsi="Berlin Sans FB Demi" w:cs="Calibri"/>
        <w:b/>
        <w:sz w:val="20"/>
        <w:szCs w:val="20"/>
      </w:rPr>
      <w:t xml:space="preserve">         </w:t>
    </w:r>
    <w:r>
      <w:rPr>
        <w:rFonts w:ascii="Berlin Sans FB Demi" w:hAnsi="Berlin Sans FB Demi" w:cs="Calibri"/>
        <w:b/>
        <w:sz w:val="20"/>
        <w:szCs w:val="20"/>
      </w:rPr>
      <w:tab/>
    </w:r>
    <w:r>
      <w:rPr>
        <w:rFonts w:ascii="Berlin Sans FB Demi" w:hAnsi="Berlin Sans FB Demi" w:cs="Calibri"/>
        <w:b/>
        <w:sz w:val="20"/>
        <w:szCs w:val="20"/>
      </w:rPr>
      <w:tab/>
    </w:r>
  </w:p>
  <w:p w:rsidR="005B4673" w:rsidRDefault="005B46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E33"/>
    <w:multiLevelType w:val="hybridMultilevel"/>
    <w:tmpl w:val="630E7CF6"/>
    <w:lvl w:ilvl="0" w:tplc="440A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30D159D"/>
    <w:multiLevelType w:val="hybridMultilevel"/>
    <w:tmpl w:val="9B8E1A5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75657"/>
    <w:multiLevelType w:val="hybridMultilevel"/>
    <w:tmpl w:val="3EBADE5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761C"/>
    <w:multiLevelType w:val="hybridMultilevel"/>
    <w:tmpl w:val="BFB61C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1672A"/>
    <w:multiLevelType w:val="hybridMultilevel"/>
    <w:tmpl w:val="8B8C04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95EDC"/>
    <w:multiLevelType w:val="hybridMultilevel"/>
    <w:tmpl w:val="55B45F7A"/>
    <w:lvl w:ilvl="0" w:tplc="33D025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D7"/>
    <w:rsid w:val="00012538"/>
    <w:rsid w:val="00044CEB"/>
    <w:rsid w:val="00054BF5"/>
    <w:rsid w:val="0006087E"/>
    <w:rsid w:val="000B222D"/>
    <w:rsid w:val="000F2BA8"/>
    <w:rsid w:val="00111EE7"/>
    <w:rsid w:val="00113CF0"/>
    <w:rsid w:val="00131D1F"/>
    <w:rsid w:val="001424C5"/>
    <w:rsid w:val="00157B2E"/>
    <w:rsid w:val="00181BFA"/>
    <w:rsid w:val="001C1AB4"/>
    <w:rsid w:val="001E7F10"/>
    <w:rsid w:val="0020305F"/>
    <w:rsid w:val="0022268A"/>
    <w:rsid w:val="00240867"/>
    <w:rsid w:val="00277787"/>
    <w:rsid w:val="00291F1D"/>
    <w:rsid w:val="002B3745"/>
    <w:rsid w:val="002F40C1"/>
    <w:rsid w:val="00310C1A"/>
    <w:rsid w:val="003C2E5E"/>
    <w:rsid w:val="003C6AB3"/>
    <w:rsid w:val="00403649"/>
    <w:rsid w:val="00411358"/>
    <w:rsid w:val="00467B0D"/>
    <w:rsid w:val="00491D0B"/>
    <w:rsid w:val="00500752"/>
    <w:rsid w:val="00535EC6"/>
    <w:rsid w:val="00561AFF"/>
    <w:rsid w:val="005B2CC0"/>
    <w:rsid w:val="005B4673"/>
    <w:rsid w:val="005C50E3"/>
    <w:rsid w:val="005E7DC3"/>
    <w:rsid w:val="00641F6E"/>
    <w:rsid w:val="006B4D27"/>
    <w:rsid w:val="006C6E98"/>
    <w:rsid w:val="006E42F5"/>
    <w:rsid w:val="0070457B"/>
    <w:rsid w:val="00841398"/>
    <w:rsid w:val="008709B6"/>
    <w:rsid w:val="00883C97"/>
    <w:rsid w:val="008E09C0"/>
    <w:rsid w:val="00950FA6"/>
    <w:rsid w:val="00A36269"/>
    <w:rsid w:val="00A92618"/>
    <w:rsid w:val="00A96A96"/>
    <w:rsid w:val="00AA60E9"/>
    <w:rsid w:val="00AB41DA"/>
    <w:rsid w:val="00B4167B"/>
    <w:rsid w:val="00B57E59"/>
    <w:rsid w:val="00B60FF2"/>
    <w:rsid w:val="00B72F4C"/>
    <w:rsid w:val="00B937BF"/>
    <w:rsid w:val="00B94748"/>
    <w:rsid w:val="00BB49D5"/>
    <w:rsid w:val="00BE1CD7"/>
    <w:rsid w:val="00C02838"/>
    <w:rsid w:val="00C308FC"/>
    <w:rsid w:val="00C53FCD"/>
    <w:rsid w:val="00C57636"/>
    <w:rsid w:val="00C615AB"/>
    <w:rsid w:val="00C80C5D"/>
    <w:rsid w:val="00C85153"/>
    <w:rsid w:val="00CD51DF"/>
    <w:rsid w:val="00CE1D79"/>
    <w:rsid w:val="00CF7329"/>
    <w:rsid w:val="00D0641E"/>
    <w:rsid w:val="00D3331D"/>
    <w:rsid w:val="00D566C5"/>
    <w:rsid w:val="00D659CB"/>
    <w:rsid w:val="00DA725A"/>
    <w:rsid w:val="00DB6D9D"/>
    <w:rsid w:val="00E00128"/>
    <w:rsid w:val="00E52C4F"/>
    <w:rsid w:val="00E83EF5"/>
    <w:rsid w:val="00E864FB"/>
    <w:rsid w:val="00E947AE"/>
    <w:rsid w:val="00E969DD"/>
    <w:rsid w:val="00EC49BC"/>
    <w:rsid w:val="00F11F91"/>
    <w:rsid w:val="00F635C5"/>
    <w:rsid w:val="00F82BC4"/>
    <w:rsid w:val="00F83815"/>
    <w:rsid w:val="00F83BF0"/>
    <w:rsid w:val="00FB1334"/>
    <w:rsid w:val="00FE2BA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39962-80C8-40C5-B760-7259D823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C6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E1CD7"/>
    <w:pPr>
      <w:ind w:left="720"/>
      <w:contextualSpacing/>
    </w:pPr>
  </w:style>
  <w:style w:type="paragraph" w:styleId="Sinespaciado">
    <w:name w:val="No Spacing"/>
    <w:uiPriority w:val="99"/>
    <w:qFormat/>
    <w:rsid w:val="00467B0D"/>
    <w:pPr>
      <w:spacing w:after="0" w:line="240" w:lineRule="auto"/>
      <w:jc w:val="center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F1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B4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B4673"/>
  </w:style>
  <w:style w:type="paragraph" w:styleId="Piedepgina">
    <w:name w:val="footer"/>
    <w:basedOn w:val="Normal"/>
    <w:link w:val="PiedepginaCar"/>
    <w:uiPriority w:val="99"/>
    <w:unhideWhenUsed/>
    <w:rsid w:val="005B4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673"/>
  </w:style>
  <w:style w:type="character" w:customStyle="1" w:styleId="Ttulo1Car">
    <w:name w:val="Título 1 Car"/>
    <w:basedOn w:val="Fuentedeprrafopredeter"/>
    <w:link w:val="Ttulo1"/>
    <w:uiPriority w:val="9"/>
    <w:rsid w:val="003C6AB3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Merary Noemi Urquilla de Avendaño</dc:creator>
  <cp:keywords/>
  <dc:description/>
  <cp:lastModifiedBy>Maria Ines MH. Hernandez Vidal</cp:lastModifiedBy>
  <cp:revision>2</cp:revision>
  <cp:lastPrinted>2018-07-31T19:34:00Z</cp:lastPrinted>
  <dcterms:created xsi:type="dcterms:W3CDTF">2018-12-18T17:51:00Z</dcterms:created>
  <dcterms:modified xsi:type="dcterms:W3CDTF">2018-12-18T17:51:00Z</dcterms:modified>
</cp:coreProperties>
</file>